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1C" w:rsidRPr="006E1651" w:rsidRDefault="002B0F1C" w:rsidP="002B0F1C">
      <w:pPr>
        <w:pStyle w:val="Heading1"/>
        <w:keepNext w:val="0"/>
        <w:widowControl w:val="0"/>
        <w:spacing w:before="0" w:after="0"/>
        <w:rPr>
          <w:rFonts w:ascii="Verdana" w:hAnsi="Verdana"/>
          <w:sz w:val="28"/>
          <w:szCs w:val="28"/>
        </w:rPr>
      </w:pPr>
      <w:r w:rsidRPr="006E1651">
        <w:rPr>
          <w:rFonts w:ascii="Verdana" w:hAnsi="Verdana"/>
          <w:sz w:val="28"/>
          <w:szCs w:val="28"/>
        </w:rPr>
        <w:t xml:space="preserve">Positive obligations </w:t>
      </w:r>
      <w:r w:rsidR="00F855E4" w:rsidRPr="006E1651">
        <w:rPr>
          <w:rFonts w:ascii="Verdana" w:hAnsi="Verdana"/>
          <w:sz w:val="28"/>
          <w:szCs w:val="28"/>
        </w:rPr>
        <w:t>under the European Convention</w:t>
      </w:r>
      <w:r w:rsidR="00321BA6">
        <w:rPr>
          <w:rFonts w:ascii="Verdana" w:hAnsi="Verdana"/>
          <w:sz w:val="28"/>
          <w:szCs w:val="28"/>
        </w:rPr>
        <w:t xml:space="preserve"> on Human Rights</w:t>
      </w:r>
    </w:p>
    <w:p w:rsidR="00215350" w:rsidRPr="006928B9" w:rsidRDefault="00215350" w:rsidP="00215350">
      <w:pPr>
        <w:ind w:left="720"/>
        <w:rPr>
          <w:rFonts w:ascii="Verdana" w:hAnsi="Verdana"/>
          <w:color w:val="000000"/>
          <w:szCs w:val="22"/>
        </w:rPr>
      </w:pPr>
    </w:p>
    <w:p w:rsidR="00215350" w:rsidRPr="006928B9" w:rsidRDefault="00215350" w:rsidP="00215350">
      <w:pPr>
        <w:rPr>
          <w:rFonts w:ascii="Verdana" w:hAnsi="Verdana"/>
          <w:smallCaps/>
          <w:szCs w:val="22"/>
        </w:rPr>
      </w:pPr>
      <w:r w:rsidRPr="006928B9">
        <w:rPr>
          <w:rFonts w:ascii="Verdana" w:hAnsi="Verdana"/>
          <w:smallCaps/>
          <w:szCs w:val="22"/>
        </w:rPr>
        <w:t>Hugh Tomlinson QC</w:t>
      </w:r>
    </w:p>
    <w:p w:rsidR="00215350" w:rsidRPr="006928B9" w:rsidRDefault="00215350" w:rsidP="00215350">
      <w:pPr>
        <w:rPr>
          <w:rFonts w:ascii="Verdana" w:hAnsi="Verdana"/>
          <w:szCs w:val="22"/>
        </w:rPr>
      </w:pPr>
      <w:r w:rsidRPr="006928B9">
        <w:rPr>
          <w:rFonts w:ascii="Verdana" w:hAnsi="Verdana"/>
          <w:szCs w:val="22"/>
        </w:rPr>
        <w:t>Matrix Chambers</w:t>
      </w:r>
    </w:p>
    <w:p w:rsidR="00215350" w:rsidRPr="006928B9" w:rsidRDefault="00215350" w:rsidP="00215350">
      <w:pPr>
        <w:rPr>
          <w:rFonts w:ascii="Verdana" w:hAnsi="Verdana"/>
          <w:szCs w:val="22"/>
        </w:rPr>
      </w:pPr>
    </w:p>
    <w:p w:rsidR="009454E3" w:rsidRPr="00321BA6" w:rsidRDefault="009454E3" w:rsidP="00215350">
      <w:pPr>
        <w:rPr>
          <w:rFonts w:ascii="Verdana" w:hAnsi="Verdana"/>
          <w:b/>
          <w:smallCaps/>
          <w:szCs w:val="22"/>
        </w:rPr>
      </w:pPr>
      <w:r w:rsidRPr="00321BA6">
        <w:rPr>
          <w:rFonts w:ascii="Verdana" w:hAnsi="Verdana"/>
          <w:b/>
          <w:smallCaps/>
          <w:szCs w:val="22"/>
        </w:rPr>
        <w:t>Introduction</w:t>
      </w:r>
    </w:p>
    <w:p w:rsidR="009454E3" w:rsidRPr="006928B9" w:rsidRDefault="009454E3" w:rsidP="00215350">
      <w:pPr>
        <w:rPr>
          <w:rFonts w:ascii="Verdana" w:hAnsi="Verdana"/>
          <w:b/>
          <w:szCs w:val="22"/>
        </w:rPr>
      </w:pPr>
    </w:p>
    <w:p w:rsidR="00904381" w:rsidRDefault="00904381" w:rsidP="002B0F1C">
      <w:pPr>
        <w:widowControl w:val="0"/>
        <w:rPr>
          <w:rFonts w:ascii="Verdana" w:hAnsi="Verdana"/>
          <w:szCs w:val="22"/>
        </w:rPr>
      </w:pPr>
      <w:r>
        <w:rPr>
          <w:rFonts w:ascii="Verdana" w:hAnsi="Verdana"/>
          <w:szCs w:val="22"/>
        </w:rPr>
        <w:t>In this paper I want to provide an overview of the case of the European Court of Human Rights relating to positive obligations.</w:t>
      </w:r>
      <w:r w:rsidR="002719A7">
        <w:rPr>
          <w:rStyle w:val="FootnoteReference"/>
          <w:rFonts w:ascii="Verdana" w:hAnsi="Verdana"/>
          <w:szCs w:val="22"/>
        </w:rPr>
        <w:footnoteReference w:id="1"/>
      </w:r>
      <w:r>
        <w:rPr>
          <w:rFonts w:ascii="Verdana" w:hAnsi="Verdana"/>
          <w:szCs w:val="22"/>
        </w:rPr>
        <w:t xml:space="preserve">  This case law has been developed in both Strasbourg and in other international jurisdictions and has greatly extended the range and impact of </w:t>
      </w:r>
      <w:r w:rsidR="0053749C">
        <w:rPr>
          <w:rFonts w:ascii="Verdana" w:hAnsi="Verdana"/>
          <w:szCs w:val="22"/>
        </w:rPr>
        <w:t>Convention rights</w:t>
      </w:r>
      <w:r>
        <w:rPr>
          <w:rFonts w:ascii="Verdana" w:hAnsi="Verdana"/>
          <w:szCs w:val="22"/>
        </w:rPr>
        <w:t>.  One recent example illustrates the point.</w:t>
      </w:r>
    </w:p>
    <w:p w:rsidR="00904381" w:rsidRDefault="00904381" w:rsidP="002B0F1C">
      <w:pPr>
        <w:widowControl w:val="0"/>
        <w:rPr>
          <w:rFonts w:ascii="Verdana" w:hAnsi="Verdana"/>
          <w:szCs w:val="22"/>
        </w:rPr>
      </w:pPr>
    </w:p>
    <w:p w:rsidR="002B0F1C" w:rsidRPr="006928B9" w:rsidRDefault="00FC4C7A" w:rsidP="002B0F1C">
      <w:pPr>
        <w:widowControl w:val="0"/>
        <w:rPr>
          <w:rFonts w:ascii="Verdana" w:hAnsi="Verdana"/>
          <w:szCs w:val="22"/>
        </w:rPr>
      </w:pPr>
      <w:r w:rsidRPr="006928B9">
        <w:rPr>
          <w:rFonts w:ascii="Verdana" w:hAnsi="Verdana"/>
          <w:szCs w:val="22"/>
        </w:rPr>
        <w:t>On 7 June 2012 the Grand Chamber of the Court of Human Rights found that Italy had violated Article 10 of the Convention by failing to allocate television frequencies to the Europa 7 Channel.  Just satisfaction of €10,000,000 was awarded.</w:t>
      </w:r>
      <w:r w:rsidRPr="006928B9">
        <w:rPr>
          <w:rStyle w:val="FootnoteReference"/>
          <w:rFonts w:ascii="Verdana" w:hAnsi="Verdana"/>
          <w:szCs w:val="22"/>
        </w:rPr>
        <w:footnoteReference w:id="2"/>
      </w:r>
      <w:r w:rsidRPr="006928B9">
        <w:rPr>
          <w:rFonts w:ascii="Verdana" w:hAnsi="Verdana"/>
          <w:szCs w:val="22"/>
        </w:rPr>
        <w:t xml:space="preserve">  A first sight this result might seem surprising.  Article 10 does provide any “right to television frequencies”.  So how did this failure by the Italian State to provide something which the Convention does not mention result in a finding of violation and the obligation to pay a substantial sum?  This case is simply a recent and particularly striking example of the application of the </w:t>
      </w:r>
      <w:proofErr w:type="gramStart"/>
      <w:r w:rsidRPr="006928B9">
        <w:rPr>
          <w:rFonts w:ascii="Verdana" w:hAnsi="Verdana"/>
          <w:szCs w:val="22"/>
        </w:rPr>
        <w:t>doc</w:t>
      </w:r>
      <w:r w:rsidR="00181AA0">
        <w:rPr>
          <w:rFonts w:ascii="Verdana" w:hAnsi="Verdana"/>
          <w:szCs w:val="22"/>
        </w:rPr>
        <w:t>trine</w:t>
      </w:r>
      <w:proofErr w:type="gramEnd"/>
      <w:r w:rsidR="00181AA0">
        <w:rPr>
          <w:rFonts w:ascii="Verdana" w:hAnsi="Verdana"/>
          <w:szCs w:val="22"/>
        </w:rPr>
        <w:t xml:space="preserve"> of “positive obligations”.</w:t>
      </w:r>
    </w:p>
    <w:p w:rsidR="00FC4C7A" w:rsidRPr="006928B9" w:rsidRDefault="00FC4C7A" w:rsidP="002B0F1C">
      <w:pPr>
        <w:widowControl w:val="0"/>
        <w:rPr>
          <w:rFonts w:ascii="Verdana" w:hAnsi="Verdana"/>
          <w:szCs w:val="22"/>
        </w:rPr>
      </w:pPr>
    </w:p>
    <w:p w:rsidR="00FC4C7A" w:rsidRPr="006928B9" w:rsidRDefault="00FC4C7A" w:rsidP="00FC4C7A">
      <w:pPr>
        <w:widowControl w:val="0"/>
        <w:rPr>
          <w:rFonts w:ascii="Verdana" w:hAnsi="Verdana"/>
          <w:szCs w:val="22"/>
        </w:rPr>
      </w:pPr>
      <w:r w:rsidRPr="006928B9">
        <w:rPr>
          <w:rFonts w:ascii="Verdana" w:hAnsi="Verdana"/>
          <w:szCs w:val="22"/>
        </w:rPr>
        <w:t>The stages in the argument are deceptively simple.  First, there can be no democracy without pluralism.</w:t>
      </w:r>
      <w:r w:rsidR="0034260A" w:rsidRPr="006928B9">
        <w:rPr>
          <w:rStyle w:val="FootnoteReference"/>
          <w:rFonts w:ascii="Verdana" w:hAnsi="Verdana"/>
          <w:szCs w:val="22"/>
        </w:rPr>
        <w:footnoteReference w:id="3"/>
      </w:r>
      <w:r w:rsidRPr="006928B9">
        <w:rPr>
          <w:rFonts w:ascii="Verdana" w:hAnsi="Verdana"/>
          <w:szCs w:val="22"/>
        </w:rPr>
        <w:t xml:space="preserve"> Second, political pluralism requires</w:t>
      </w:r>
      <w:r w:rsidR="0034260A" w:rsidRPr="006928B9">
        <w:rPr>
          <w:rFonts w:ascii="Verdana" w:hAnsi="Verdana"/>
          <w:szCs w:val="22"/>
        </w:rPr>
        <w:t xml:space="preserve"> media pluralism.</w:t>
      </w:r>
      <w:r w:rsidR="0034260A" w:rsidRPr="006928B9">
        <w:rPr>
          <w:rStyle w:val="FootnoteReference"/>
          <w:rFonts w:ascii="Verdana" w:hAnsi="Verdana"/>
          <w:szCs w:val="22"/>
        </w:rPr>
        <w:footnoteReference w:id="4"/>
      </w:r>
      <w:r w:rsidR="0034260A" w:rsidRPr="006928B9">
        <w:rPr>
          <w:rFonts w:ascii="Verdana" w:hAnsi="Verdana"/>
          <w:szCs w:val="22"/>
        </w:rPr>
        <w:t xml:space="preserve">  Third, in order to secure pluralism in the audio visual media, the state must allow effective access to the market to guarantee </w:t>
      </w:r>
      <w:r w:rsidR="00C81184" w:rsidRPr="006928B9">
        <w:rPr>
          <w:rFonts w:ascii="Verdana" w:hAnsi="Verdana"/>
          <w:szCs w:val="22"/>
        </w:rPr>
        <w:t>diversity of overall programme content.</w:t>
      </w:r>
      <w:r w:rsidR="00C81184" w:rsidRPr="006928B9">
        <w:rPr>
          <w:rStyle w:val="FootnoteReference"/>
          <w:rFonts w:ascii="Verdana" w:hAnsi="Verdana"/>
          <w:szCs w:val="22"/>
        </w:rPr>
        <w:footnoteReference w:id="5"/>
      </w:r>
      <w:r w:rsidR="00C81184" w:rsidRPr="006928B9">
        <w:rPr>
          <w:rFonts w:ascii="Verdana" w:hAnsi="Verdana"/>
          <w:szCs w:val="22"/>
        </w:rPr>
        <w:t xml:space="preserve">  It is said to follow, that</w:t>
      </w:r>
    </w:p>
    <w:p w:rsidR="00C81184" w:rsidRPr="006928B9" w:rsidRDefault="00C81184" w:rsidP="00C81184">
      <w:pPr>
        <w:widowControl w:val="0"/>
        <w:ind w:left="720" w:right="836"/>
        <w:rPr>
          <w:rFonts w:ascii="Verdana" w:hAnsi="Verdana"/>
          <w:szCs w:val="22"/>
        </w:rPr>
      </w:pPr>
      <w:bookmarkStart w:id="0" w:name="para134"/>
      <w:r w:rsidRPr="006928B9">
        <w:rPr>
          <w:rFonts w:ascii="Verdana" w:hAnsi="Verdana"/>
          <w:szCs w:val="22"/>
        </w:rPr>
        <w:t>“</w:t>
      </w:r>
      <w:proofErr w:type="gramStart"/>
      <w:r w:rsidRPr="006928B9">
        <w:rPr>
          <w:rFonts w:ascii="Verdana" w:hAnsi="Verdana"/>
          <w:szCs w:val="22"/>
        </w:rPr>
        <w:t>in</w:t>
      </w:r>
      <w:proofErr w:type="gramEnd"/>
      <w:r w:rsidRPr="006928B9">
        <w:rPr>
          <w:rFonts w:ascii="Verdana" w:hAnsi="Verdana"/>
          <w:szCs w:val="22"/>
        </w:rPr>
        <w:t xml:space="preserve"> such a sensitive sector as the audiovisual media, in addition to its negative duty of non-interference the State has a positive obligation to put in place an appropriate legislative and administrative framework to guarantee effective pluralism</w:t>
      </w:r>
      <w:bookmarkEnd w:id="0"/>
      <w:r w:rsidRPr="006928B9">
        <w:rPr>
          <w:rFonts w:ascii="Verdana" w:hAnsi="Verdana"/>
          <w:szCs w:val="22"/>
        </w:rPr>
        <w:t>”</w:t>
      </w:r>
      <w:r w:rsidRPr="006928B9">
        <w:rPr>
          <w:rStyle w:val="FootnoteReference"/>
          <w:rFonts w:ascii="Verdana" w:hAnsi="Verdana"/>
          <w:szCs w:val="22"/>
        </w:rPr>
        <w:footnoteReference w:id="6"/>
      </w:r>
    </w:p>
    <w:p w:rsidR="00C81184" w:rsidRPr="006928B9" w:rsidRDefault="00C81184" w:rsidP="002B0F1C">
      <w:pPr>
        <w:widowControl w:val="0"/>
        <w:rPr>
          <w:rFonts w:ascii="Verdana" w:hAnsi="Verdana"/>
          <w:szCs w:val="22"/>
        </w:rPr>
      </w:pPr>
    </w:p>
    <w:p w:rsidR="00FC4C7A" w:rsidRPr="006928B9" w:rsidRDefault="00C81184" w:rsidP="002B0F1C">
      <w:pPr>
        <w:widowControl w:val="0"/>
        <w:rPr>
          <w:rFonts w:ascii="Verdana" w:hAnsi="Verdana"/>
          <w:szCs w:val="22"/>
        </w:rPr>
      </w:pPr>
      <w:r w:rsidRPr="006928B9">
        <w:rPr>
          <w:rFonts w:ascii="Verdana" w:hAnsi="Verdana"/>
          <w:szCs w:val="22"/>
        </w:rPr>
        <w:t>In other words, the Court has implied into Article 10 a positive obligation to guarantee effective media pluralism by providing television frequencies.  There was a violation of this obligation because the applicable legislative framework was not “prescribed by law”:</w:t>
      </w:r>
    </w:p>
    <w:p w:rsidR="00C81184" w:rsidRPr="006928B9" w:rsidRDefault="00C81184" w:rsidP="00C81184">
      <w:pPr>
        <w:widowControl w:val="0"/>
        <w:ind w:left="720" w:right="746"/>
        <w:rPr>
          <w:rFonts w:ascii="Verdana" w:hAnsi="Verdana"/>
          <w:szCs w:val="22"/>
        </w:rPr>
      </w:pPr>
      <w:bookmarkStart w:id="1" w:name="para156"/>
      <w:r w:rsidRPr="006928B9">
        <w:rPr>
          <w:rFonts w:ascii="Verdana" w:hAnsi="Verdana"/>
          <w:szCs w:val="22"/>
        </w:rPr>
        <w:lastRenderedPageBreak/>
        <w:t>“the legislative framework, as applied to the applicant company, which was unable to operate in the television broadcasting sector for more than ten years despite having been granted a licence in a public tendering procedure, did not satisfy the foreseeability requirement under the Convention and deprived the company of the measure of protection against arbitrariness required by the rule of law in a democratic society</w:t>
      </w:r>
      <w:bookmarkEnd w:id="1"/>
      <w:r w:rsidRPr="006928B9">
        <w:rPr>
          <w:rFonts w:ascii="Verdana" w:hAnsi="Verdana"/>
          <w:szCs w:val="22"/>
        </w:rPr>
        <w:t>”</w:t>
      </w:r>
      <w:r w:rsidRPr="006928B9">
        <w:rPr>
          <w:rStyle w:val="FootnoteReference"/>
          <w:rFonts w:ascii="Verdana" w:hAnsi="Verdana"/>
          <w:szCs w:val="22"/>
        </w:rPr>
        <w:footnoteReference w:id="7"/>
      </w:r>
    </w:p>
    <w:p w:rsidR="00FC4C7A" w:rsidRPr="006928B9" w:rsidRDefault="00FC4C7A" w:rsidP="002B0F1C">
      <w:pPr>
        <w:widowControl w:val="0"/>
        <w:rPr>
          <w:rFonts w:ascii="Verdana" w:hAnsi="Verdana"/>
          <w:szCs w:val="22"/>
        </w:rPr>
      </w:pPr>
    </w:p>
    <w:p w:rsidR="000B67CD" w:rsidRPr="006928B9" w:rsidRDefault="00C81184" w:rsidP="000B67CD">
      <w:pPr>
        <w:widowControl w:val="0"/>
        <w:rPr>
          <w:rFonts w:ascii="Verdana" w:hAnsi="Verdana"/>
          <w:szCs w:val="22"/>
        </w:rPr>
      </w:pPr>
      <w:r w:rsidRPr="006928B9">
        <w:rPr>
          <w:rFonts w:ascii="Verdana" w:hAnsi="Verdana"/>
          <w:szCs w:val="22"/>
        </w:rPr>
        <w:t>This case is</w:t>
      </w:r>
      <w:r w:rsidR="005C5D4D" w:rsidRPr="006928B9">
        <w:rPr>
          <w:rFonts w:ascii="Verdana" w:hAnsi="Verdana"/>
          <w:szCs w:val="22"/>
        </w:rPr>
        <w:t xml:space="preserve"> recent </w:t>
      </w:r>
      <w:r w:rsidRPr="006928B9">
        <w:rPr>
          <w:rFonts w:ascii="Verdana" w:hAnsi="Verdana"/>
          <w:szCs w:val="22"/>
        </w:rPr>
        <w:t>illustration of the extraordinary power of the doctrine of “implied positive obligations” which</w:t>
      </w:r>
      <w:r w:rsidR="000B67CD" w:rsidRPr="006928B9">
        <w:rPr>
          <w:rFonts w:ascii="Verdana" w:hAnsi="Verdana"/>
          <w:szCs w:val="22"/>
        </w:rPr>
        <w:t xml:space="preserve"> has been developed by the Court of Human Rights since they were first recognised, almost exactly 44 years ago in the </w:t>
      </w:r>
      <w:r w:rsidR="000B67CD" w:rsidRPr="006928B9">
        <w:rPr>
          <w:rFonts w:ascii="Verdana" w:hAnsi="Verdana"/>
          <w:i/>
          <w:szCs w:val="22"/>
        </w:rPr>
        <w:t xml:space="preserve">Belgian Linguistics </w:t>
      </w:r>
      <w:r w:rsidR="000B67CD" w:rsidRPr="006928B9">
        <w:rPr>
          <w:rFonts w:ascii="Verdana" w:hAnsi="Verdana"/>
          <w:szCs w:val="22"/>
        </w:rPr>
        <w:t>case.</w:t>
      </w:r>
      <w:r w:rsidR="000B67CD" w:rsidRPr="006928B9">
        <w:rPr>
          <w:rStyle w:val="FootnoteReference"/>
          <w:rFonts w:ascii="Verdana" w:hAnsi="Verdana"/>
          <w:szCs w:val="22"/>
        </w:rPr>
        <w:footnoteReference w:id="8"/>
      </w:r>
      <w:r w:rsidR="003766F1" w:rsidRPr="006928B9">
        <w:rPr>
          <w:rFonts w:ascii="Verdana" w:hAnsi="Verdana"/>
          <w:szCs w:val="22"/>
        </w:rPr>
        <w:t xml:space="preserve"> </w:t>
      </w:r>
      <w:r w:rsidR="000B67CD" w:rsidRPr="006928B9">
        <w:rPr>
          <w:rFonts w:ascii="Verdana" w:hAnsi="Verdana"/>
          <w:szCs w:val="22"/>
        </w:rPr>
        <w:t>This was, as the Norwegian Judge pointed out in his dissent, not justified by the wording of the Convention provision in question.</w:t>
      </w:r>
      <w:r w:rsidR="000B67CD" w:rsidRPr="006928B9">
        <w:rPr>
          <w:rStyle w:val="FootnoteReference"/>
          <w:rFonts w:ascii="Verdana" w:hAnsi="Verdana"/>
          <w:szCs w:val="22"/>
        </w:rPr>
        <w:footnoteReference w:id="9"/>
      </w:r>
      <w:r w:rsidR="000B67CD" w:rsidRPr="006928B9">
        <w:rPr>
          <w:rFonts w:ascii="Verdana" w:hAnsi="Verdana"/>
          <w:szCs w:val="22"/>
        </w:rPr>
        <w:t xml:space="preserve"> But positive obligations have, since that seminal case, penetrated all parts of the Convention and have become of the first importance in its case law.</w:t>
      </w:r>
    </w:p>
    <w:p w:rsidR="00E145EE" w:rsidRPr="006928B9" w:rsidRDefault="00E145EE" w:rsidP="000B67CD">
      <w:pPr>
        <w:widowControl w:val="0"/>
        <w:rPr>
          <w:rFonts w:ascii="Verdana" w:hAnsi="Verdana"/>
          <w:szCs w:val="22"/>
        </w:rPr>
      </w:pPr>
    </w:p>
    <w:p w:rsidR="00E145EE" w:rsidRPr="006928B9" w:rsidRDefault="00E145EE" w:rsidP="000B67CD">
      <w:pPr>
        <w:widowControl w:val="0"/>
        <w:rPr>
          <w:rFonts w:ascii="Verdana" w:hAnsi="Verdana"/>
          <w:szCs w:val="22"/>
        </w:rPr>
      </w:pPr>
      <w:r w:rsidRPr="006928B9">
        <w:rPr>
          <w:rFonts w:ascii="Verdana" w:hAnsi="Verdana"/>
          <w:szCs w:val="22"/>
        </w:rPr>
        <w:t xml:space="preserve">Positive obligations are controversial. States are placed under obligations to </w:t>
      </w:r>
      <w:r w:rsidR="00EE791F" w:rsidRPr="006928B9">
        <w:rPr>
          <w:rFonts w:ascii="Verdana" w:hAnsi="Verdana"/>
          <w:szCs w:val="22"/>
        </w:rPr>
        <w:t xml:space="preserve">take action which affects private parties </w:t>
      </w:r>
      <w:r w:rsidRPr="006928B9">
        <w:rPr>
          <w:rFonts w:ascii="Verdana" w:hAnsi="Verdana"/>
          <w:szCs w:val="22"/>
        </w:rPr>
        <w:t xml:space="preserve">and to provide benefits which are not set out in the Convention. </w:t>
      </w:r>
      <w:r w:rsidR="00EE791F" w:rsidRPr="006928B9">
        <w:rPr>
          <w:rFonts w:ascii="Verdana" w:hAnsi="Verdana"/>
          <w:szCs w:val="22"/>
        </w:rPr>
        <w:t xml:space="preserve"> These benefits seem arbitrary:  why, i</w:t>
      </w:r>
      <w:r w:rsidRPr="006928B9">
        <w:rPr>
          <w:rFonts w:ascii="Verdana" w:hAnsi="Verdana"/>
          <w:szCs w:val="22"/>
        </w:rPr>
        <w:t>f there is an implied positive obligation to provide television frequencies</w:t>
      </w:r>
      <w:r w:rsidR="00EE791F" w:rsidRPr="006928B9">
        <w:rPr>
          <w:rFonts w:ascii="Verdana" w:hAnsi="Verdana"/>
          <w:szCs w:val="22"/>
        </w:rPr>
        <w:t xml:space="preserve"> is there not </w:t>
      </w:r>
      <w:r w:rsidRPr="006928B9">
        <w:rPr>
          <w:rFonts w:ascii="Verdana" w:hAnsi="Verdana"/>
          <w:szCs w:val="22"/>
        </w:rPr>
        <w:t>an obligation to provide food or housing</w:t>
      </w:r>
      <w:r w:rsidR="00EE791F" w:rsidRPr="006928B9">
        <w:rPr>
          <w:rFonts w:ascii="Verdana" w:hAnsi="Verdana"/>
          <w:szCs w:val="22"/>
        </w:rPr>
        <w:t xml:space="preserve">? </w:t>
      </w:r>
      <w:r w:rsidRPr="006928B9">
        <w:rPr>
          <w:rFonts w:ascii="Verdana" w:hAnsi="Verdana"/>
          <w:szCs w:val="22"/>
        </w:rPr>
        <w:t>The problem with positive obligations is that “their scope appears open-ended” and the Strasbourg court “does not set general conceptual limitations” for its interventions” in developing them.</w:t>
      </w:r>
      <w:r w:rsidRPr="006928B9">
        <w:rPr>
          <w:rStyle w:val="FootnoteReference"/>
          <w:rFonts w:ascii="Verdana" w:hAnsi="Verdana"/>
          <w:szCs w:val="22"/>
        </w:rPr>
        <w:footnoteReference w:id="10"/>
      </w:r>
      <w:r w:rsidRPr="006928B9">
        <w:rPr>
          <w:rFonts w:ascii="Verdana" w:hAnsi="Verdana"/>
          <w:szCs w:val="22"/>
        </w:rPr>
        <w:t xml:space="preserve"> </w:t>
      </w:r>
    </w:p>
    <w:p w:rsidR="00904381" w:rsidRDefault="00904381" w:rsidP="00904381">
      <w:pPr>
        <w:widowControl w:val="0"/>
        <w:rPr>
          <w:rFonts w:ascii="Verdana" w:hAnsi="Verdana"/>
          <w:szCs w:val="22"/>
        </w:rPr>
      </w:pPr>
    </w:p>
    <w:p w:rsidR="00904381" w:rsidRPr="006928B9" w:rsidRDefault="00904381" w:rsidP="00904381">
      <w:pPr>
        <w:widowControl w:val="0"/>
        <w:rPr>
          <w:rFonts w:ascii="Verdana" w:hAnsi="Verdana"/>
          <w:szCs w:val="22"/>
        </w:rPr>
      </w:pPr>
      <w:r>
        <w:rPr>
          <w:rFonts w:ascii="Verdana" w:hAnsi="Verdana"/>
          <w:szCs w:val="22"/>
        </w:rPr>
        <w:t xml:space="preserve">I will first look at </w:t>
      </w:r>
      <w:r w:rsidRPr="006928B9">
        <w:rPr>
          <w:rFonts w:ascii="Verdana" w:hAnsi="Verdana"/>
          <w:szCs w:val="22"/>
        </w:rPr>
        <w:t xml:space="preserve">the development of </w:t>
      </w:r>
      <w:r>
        <w:rPr>
          <w:rFonts w:ascii="Verdana" w:hAnsi="Verdana"/>
          <w:szCs w:val="22"/>
        </w:rPr>
        <w:t xml:space="preserve">the doctrine of </w:t>
      </w:r>
      <w:r w:rsidRPr="006928B9">
        <w:rPr>
          <w:rFonts w:ascii="Verdana" w:hAnsi="Verdana"/>
          <w:szCs w:val="22"/>
        </w:rPr>
        <w:t>positive obligations</w:t>
      </w:r>
      <w:r>
        <w:rPr>
          <w:rFonts w:ascii="Verdana" w:hAnsi="Verdana"/>
          <w:szCs w:val="22"/>
        </w:rPr>
        <w:t xml:space="preserve"> in the court’s case law.  I will then briefly consider</w:t>
      </w:r>
      <w:r w:rsidRPr="006928B9">
        <w:rPr>
          <w:rFonts w:ascii="Verdana" w:hAnsi="Verdana"/>
          <w:szCs w:val="22"/>
        </w:rPr>
        <w:t xml:space="preserve"> the range of obligations which have been developed</w:t>
      </w:r>
      <w:r>
        <w:rPr>
          <w:rFonts w:ascii="Verdana" w:hAnsi="Verdana"/>
          <w:szCs w:val="22"/>
        </w:rPr>
        <w:t xml:space="preserve">.  Finally, I will say </w:t>
      </w:r>
      <w:r w:rsidRPr="006928B9">
        <w:rPr>
          <w:rFonts w:ascii="Verdana" w:hAnsi="Verdana"/>
          <w:szCs w:val="22"/>
        </w:rPr>
        <w:t>something about the “theory of positive obligations” – the circumstances in which they are imposed.</w:t>
      </w:r>
    </w:p>
    <w:p w:rsidR="00904381" w:rsidRPr="006928B9" w:rsidRDefault="00904381" w:rsidP="000B67CD">
      <w:pPr>
        <w:widowControl w:val="0"/>
        <w:rPr>
          <w:rFonts w:ascii="Verdana" w:hAnsi="Verdana"/>
          <w:szCs w:val="22"/>
        </w:rPr>
      </w:pPr>
    </w:p>
    <w:p w:rsidR="009454E3" w:rsidRPr="00321BA6" w:rsidRDefault="009454E3" w:rsidP="000B67CD">
      <w:pPr>
        <w:widowControl w:val="0"/>
        <w:rPr>
          <w:rFonts w:ascii="Verdana" w:hAnsi="Verdana"/>
          <w:b/>
          <w:smallCaps/>
          <w:szCs w:val="22"/>
        </w:rPr>
      </w:pPr>
      <w:r w:rsidRPr="00321BA6">
        <w:rPr>
          <w:rFonts w:ascii="Verdana" w:hAnsi="Verdana"/>
          <w:b/>
          <w:smallCaps/>
          <w:szCs w:val="22"/>
        </w:rPr>
        <w:t>History</w:t>
      </w:r>
      <w:r w:rsidR="00321BA6" w:rsidRPr="00321BA6">
        <w:rPr>
          <w:rFonts w:ascii="Verdana" w:hAnsi="Verdana"/>
          <w:b/>
          <w:smallCaps/>
          <w:szCs w:val="22"/>
        </w:rPr>
        <w:t xml:space="preserve"> of the Development of the Concept</w:t>
      </w:r>
    </w:p>
    <w:p w:rsidR="000B67CD" w:rsidRPr="006928B9" w:rsidRDefault="000B67CD" w:rsidP="000B67CD">
      <w:pPr>
        <w:widowControl w:val="0"/>
        <w:rPr>
          <w:rFonts w:ascii="Verdana" w:hAnsi="Verdana"/>
          <w:szCs w:val="22"/>
        </w:rPr>
      </w:pPr>
    </w:p>
    <w:p w:rsidR="00321BA6" w:rsidRDefault="00321BA6" w:rsidP="003766F1">
      <w:pPr>
        <w:widowControl w:val="0"/>
        <w:rPr>
          <w:rFonts w:ascii="Verdana" w:hAnsi="Verdana"/>
          <w:szCs w:val="22"/>
        </w:rPr>
      </w:pPr>
      <w:r>
        <w:rPr>
          <w:rFonts w:ascii="Verdana" w:hAnsi="Verdana"/>
          <w:szCs w:val="22"/>
        </w:rPr>
        <w:t>It is important to note, at the outset, that n</w:t>
      </w:r>
      <w:r w:rsidR="009454E3" w:rsidRPr="006928B9">
        <w:rPr>
          <w:rFonts w:ascii="Verdana" w:hAnsi="Verdana"/>
          <w:szCs w:val="22"/>
        </w:rPr>
        <w:t>ot all positive obligations in the Co</w:t>
      </w:r>
      <w:r w:rsidR="003877ED" w:rsidRPr="006928B9">
        <w:rPr>
          <w:rFonts w:ascii="Verdana" w:hAnsi="Verdana"/>
          <w:szCs w:val="22"/>
        </w:rPr>
        <w:t>n</w:t>
      </w:r>
      <w:r w:rsidR="009454E3" w:rsidRPr="006928B9">
        <w:rPr>
          <w:rFonts w:ascii="Verdana" w:hAnsi="Verdana"/>
          <w:szCs w:val="22"/>
        </w:rPr>
        <w:t xml:space="preserve">vention are implied. Some derive </w:t>
      </w:r>
      <w:r w:rsidR="002B0F1C" w:rsidRPr="006928B9">
        <w:rPr>
          <w:rFonts w:ascii="Verdana" w:hAnsi="Verdana"/>
          <w:szCs w:val="22"/>
        </w:rPr>
        <w:t xml:space="preserve">from the express words of the Convention itself, for example: </w:t>
      </w:r>
      <w:r w:rsidR="000B67CD" w:rsidRPr="006928B9">
        <w:rPr>
          <w:rFonts w:ascii="Verdana" w:hAnsi="Verdana"/>
          <w:szCs w:val="22"/>
        </w:rPr>
        <w:t xml:space="preserve">under Article 2, </w:t>
      </w:r>
      <w:r w:rsidR="002B0F1C" w:rsidRPr="006928B9">
        <w:rPr>
          <w:rFonts w:ascii="Verdana" w:hAnsi="Verdana"/>
          <w:szCs w:val="22"/>
        </w:rPr>
        <w:t>the obligati</w:t>
      </w:r>
      <w:r w:rsidR="000B67CD" w:rsidRPr="006928B9">
        <w:rPr>
          <w:rFonts w:ascii="Verdana" w:hAnsi="Verdana"/>
          <w:szCs w:val="22"/>
        </w:rPr>
        <w:t>on to protect the right to life,</w:t>
      </w:r>
      <w:r w:rsidR="002B0F1C" w:rsidRPr="006928B9">
        <w:rPr>
          <w:rStyle w:val="FootnoteReference"/>
          <w:rFonts w:ascii="Verdana" w:hAnsi="Verdana"/>
          <w:szCs w:val="22"/>
        </w:rPr>
        <w:footnoteReference w:id="11"/>
      </w:r>
      <w:r w:rsidR="000B67CD" w:rsidRPr="006928B9">
        <w:rPr>
          <w:rFonts w:ascii="Verdana" w:hAnsi="Verdana"/>
          <w:szCs w:val="22"/>
        </w:rPr>
        <w:t xml:space="preserve"> </w:t>
      </w:r>
      <w:r w:rsidR="001A04C2" w:rsidRPr="006928B9">
        <w:rPr>
          <w:rFonts w:ascii="Verdana" w:hAnsi="Verdana"/>
          <w:szCs w:val="22"/>
        </w:rPr>
        <w:t xml:space="preserve">under Article 5 to </w:t>
      </w:r>
      <w:r w:rsidR="0084319D" w:rsidRPr="006928B9">
        <w:rPr>
          <w:rFonts w:ascii="Verdana" w:hAnsi="Verdana"/>
          <w:szCs w:val="22"/>
        </w:rPr>
        <w:t xml:space="preserve">inform and </w:t>
      </w:r>
      <w:r w:rsidR="001A04C2" w:rsidRPr="006928B9">
        <w:rPr>
          <w:rFonts w:ascii="Verdana" w:hAnsi="Verdana"/>
          <w:szCs w:val="22"/>
        </w:rPr>
        <w:t xml:space="preserve">arrested person </w:t>
      </w:r>
      <w:r w:rsidR="0084319D" w:rsidRPr="006928B9">
        <w:rPr>
          <w:rFonts w:ascii="Verdana" w:hAnsi="Verdana"/>
          <w:szCs w:val="22"/>
        </w:rPr>
        <w:t xml:space="preserve">of reason for arrest and bring him or her </w:t>
      </w:r>
      <w:r w:rsidR="001A04C2" w:rsidRPr="006928B9">
        <w:rPr>
          <w:rFonts w:ascii="Verdana" w:hAnsi="Verdana"/>
          <w:szCs w:val="22"/>
        </w:rPr>
        <w:t>promptly before a judge</w:t>
      </w:r>
      <w:r w:rsidR="0084319D" w:rsidRPr="006928B9">
        <w:rPr>
          <w:rFonts w:ascii="Verdana" w:hAnsi="Verdana"/>
          <w:szCs w:val="22"/>
        </w:rPr>
        <w:t>,</w:t>
      </w:r>
      <w:r w:rsidR="001A04C2" w:rsidRPr="006928B9">
        <w:rPr>
          <w:rFonts w:ascii="Verdana" w:hAnsi="Verdana"/>
          <w:szCs w:val="22"/>
        </w:rPr>
        <w:t xml:space="preserve"> </w:t>
      </w:r>
      <w:r w:rsidR="000B67CD" w:rsidRPr="006928B9">
        <w:rPr>
          <w:rFonts w:ascii="Verdana" w:hAnsi="Verdana"/>
          <w:szCs w:val="22"/>
        </w:rPr>
        <w:t xml:space="preserve">under Article 6 </w:t>
      </w:r>
      <w:r w:rsidR="002B0F1C" w:rsidRPr="006928B9">
        <w:rPr>
          <w:rFonts w:ascii="Verdana" w:hAnsi="Verdana"/>
          <w:szCs w:val="22"/>
        </w:rPr>
        <w:t xml:space="preserve">the obligation to provide courts, legal aid and </w:t>
      </w:r>
      <w:r w:rsidR="000B67CD" w:rsidRPr="006928B9">
        <w:rPr>
          <w:rFonts w:ascii="Verdana" w:hAnsi="Verdana"/>
          <w:szCs w:val="22"/>
        </w:rPr>
        <w:t>interpreters and under Article 3 of the First Protocol, the</w:t>
      </w:r>
      <w:r w:rsidR="002B0F1C" w:rsidRPr="006928B9">
        <w:rPr>
          <w:rFonts w:ascii="Verdana" w:hAnsi="Verdana"/>
          <w:szCs w:val="22"/>
        </w:rPr>
        <w:t xml:space="preserve"> ob</w:t>
      </w:r>
      <w:r w:rsidR="001A04C2" w:rsidRPr="006928B9">
        <w:rPr>
          <w:rFonts w:ascii="Verdana" w:hAnsi="Verdana"/>
          <w:szCs w:val="22"/>
        </w:rPr>
        <w:t xml:space="preserve">ligation to hold free elections.  </w:t>
      </w:r>
    </w:p>
    <w:p w:rsidR="00321BA6" w:rsidRDefault="00321BA6" w:rsidP="003766F1">
      <w:pPr>
        <w:widowControl w:val="0"/>
        <w:rPr>
          <w:rFonts w:ascii="Verdana" w:hAnsi="Verdana"/>
          <w:szCs w:val="22"/>
        </w:rPr>
      </w:pPr>
    </w:p>
    <w:p w:rsidR="002B0F1C" w:rsidRPr="006928B9" w:rsidRDefault="00321BA6" w:rsidP="003766F1">
      <w:pPr>
        <w:widowControl w:val="0"/>
        <w:rPr>
          <w:rFonts w:ascii="Verdana" w:hAnsi="Verdana"/>
          <w:szCs w:val="22"/>
        </w:rPr>
      </w:pPr>
      <w:r>
        <w:rPr>
          <w:rFonts w:ascii="Verdana" w:hAnsi="Verdana"/>
          <w:szCs w:val="22"/>
        </w:rPr>
        <w:t>However, o</w:t>
      </w:r>
      <w:r w:rsidR="009454E3" w:rsidRPr="006928B9">
        <w:rPr>
          <w:rFonts w:ascii="Verdana" w:hAnsi="Verdana"/>
          <w:szCs w:val="22"/>
        </w:rPr>
        <w:t>ver the past 44 years the Court has gradually supplemented</w:t>
      </w:r>
      <w:r w:rsidR="00C1555E" w:rsidRPr="006928B9">
        <w:rPr>
          <w:rFonts w:ascii="Verdana" w:hAnsi="Verdana"/>
          <w:szCs w:val="22"/>
        </w:rPr>
        <w:t xml:space="preserve"> this limited range of </w:t>
      </w:r>
      <w:r w:rsidR="009454E3" w:rsidRPr="006928B9">
        <w:rPr>
          <w:rFonts w:ascii="Verdana" w:hAnsi="Verdana"/>
          <w:szCs w:val="22"/>
        </w:rPr>
        <w:t xml:space="preserve">express </w:t>
      </w:r>
      <w:r w:rsidR="00C1555E" w:rsidRPr="006928B9">
        <w:rPr>
          <w:rFonts w:ascii="Verdana" w:hAnsi="Verdana"/>
          <w:szCs w:val="22"/>
        </w:rPr>
        <w:t xml:space="preserve">positive obligations </w:t>
      </w:r>
      <w:r w:rsidR="009454E3" w:rsidRPr="006928B9">
        <w:rPr>
          <w:rFonts w:ascii="Verdana" w:hAnsi="Verdana"/>
          <w:szCs w:val="22"/>
        </w:rPr>
        <w:t xml:space="preserve">with </w:t>
      </w:r>
      <w:r w:rsidR="00C1555E" w:rsidRPr="006928B9">
        <w:rPr>
          <w:rFonts w:ascii="Verdana" w:hAnsi="Verdana"/>
          <w:szCs w:val="22"/>
        </w:rPr>
        <w:t>a wide, and increasing, range of “implied positive obligations”.</w:t>
      </w:r>
    </w:p>
    <w:p w:rsidR="002B0F1C" w:rsidRPr="006928B9" w:rsidRDefault="002B0F1C" w:rsidP="002B0F1C">
      <w:pPr>
        <w:widowControl w:val="0"/>
        <w:rPr>
          <w:rFonts w:ascii="Verdana" w:hAnsi="Verdana"/>
          <w:szCs w:val="22"/>
        </w:rPr>
      </w:pPr>
    </w:p>
    <w:p w:rsidR="002B0F1C" w:rsidRPr="006928B9" w:rsidRDefault="00C1555E" w:rsidP="003766F1">
      <w:pPr>
        <w:widowControl w:val="0"/>
        <w:rPr>
          <w:rFonts w:ascii="Verdana" w:hAnsi="Verdana"/>
          <w:szCs w:val="22"/>
        </w:rPr>
      </w:pPr>
      <w:r w:rsidRPr="006928B9">
        <w:rPr>
          <w:rFonts w:ascii="Verdana" w:hAnsi="Verdana"/>
          <w:szCs w:val="22"/>
        </w:rPr>
        <w:lastRenderedPageBreak/>
        <w:t xml:space="preserve">The </w:t>
      </w:r>
      <w:r w:rsidR="003766F1" w:rsidRPr="006928B9">
        <w:rPr>
          <w:rFonts w:ascii="Verdana" w:hAnsi="Verdana"/>
          <w:szCs w:val="22"/>
        </w:rPr>
        <w:t xml:space="preserve">implied </w:t>
      </w:r>
      <w:r w:rsidR="002B0F1C" w:rsidRPr="006928B9">
        <w:rPr>
          <w:rFonts w:ascii="Verdana" w:hAnsi="Verdana"/>
          <w:szCs w:val="22"/>
        </w:rPr>
        <w:t>positive obligations</w:t>
      </w:r>
      <w:r w:rsidR="003766F1" w:rsidRPr="006928B9">
        <w:rPr>
          <w:rFonts w:ascii="Verdana" w:hAnsi="Verdana"/>
          <w:szCs w:val="22"/>
        </w:rPr>
        <w:t xml:space="preserve"> recognised in </w:t>
      </w:r>
      <w:r w:rsidR="003766F1" w:rsidRPr="006928B9">
        <w:rPr>
          <w:rFonts w:ascii="Verdana" w:hAnsi="Verdana"/>
          <w:i/>
          <w:szCs w:val="22"/>
        </w:rPr>
        <w:t xml:space="preserve">Belgian Linguistics, </w:t>
      </w:r>
      <w:r w:rsidR="005D5EF2" w:rsidRPr="006928B9">
        <w:rPr>
          <w:rFonts w:ascii="Verdana" w:hAnsi="Verdana"/>
          <w:szCs w:val="22"/>
        </w:rPr>
        <w:t xml:space="preserve">did not make an immediate impact.  They </w:t>
      </w:r>
      <w:r w:rsidR="003766F1" w:rsidRPr="006928B9">
        <w:rPr>
          <w:rFonts w:ascii="Verdana" w:hAnsi="Verdana"/>
          <w:szCs w:val="22"/>
        </w:rPr>
        <w:t xml:space="preserve">were not relied on in any judgment </w:t>
      </w:r>
      <w:r w:rsidR="00AF0F60" w:rsidRPr="006928B9">
        <w:rPr>
          <w:rFonts w:ascii="Verdana" w:hAnsi="Verdana"/>
          <w:szCs w:val="22"/>
        </w:rPr>
        <w:t xml:space="preserve">over the next decade.  </w:t>
      </w:r>
      <w:r w:rsidR="005C5D4D" w:rsidRPr="006928B9">
        <w:rPr>
          <w:rFonts w:ascii="Verdana" w:hAnsi="Verdana"/>
          <w:szCs w:val="22"/>
        </w:rPr>
        <w:t xml:space="preserve">The decisive development came in 1979.  </w:t>
      </w:r>
      <w:r w:rsidR="00AF0F60" w:rsidRPr="006928B9">
        <w:rPr>
          <w:rFonts w:ascii="Verdana" w:hAnsi="Verdana"/>
          <w:szCs w:val="22"/>
        </w:rPr>
        <w:t>However, t</w:t>
      </w:r>
      <w:r w:rsidR="002B0F1C" w:rsidRPr="006928B9">
        <w:rPr>
          <w:rFonts w:ascii="Verdana" w:hAnsi="Verdana"/>
          <w:szCs w:val="22"/>
        </w:rPr>
        <w:t>he concept was</w:t>
      </w:r>
      <w:r w:rsidR="003766F1" w:rsidRPr="006928B9">
        <w:rPr>
          <w:rFonts w:ascii="Verdana" w:hAnsi="Verdana"/>
          <w:szCs w:val="22"/>
        </w:rPr>
        <w:t xml:space="preserve"> </w:t>
      </w:r>
      <w:r w:rsidR="002B0F1C" w:rsidRPr="006928B9">
        <w:rPr>
          <w:rFonts w:ascii="Verdana" w:hAnsi="Verdana"/>
          <w:szCs w:val="22"/>
        </w:rPr>
        <w:t xml:space="preserve">developed in </w:t>
      </w:r>
      <w:r w:rsidR="002B0F1C" w:rsidRPr="006928B9">
        <w:rPr>
          <w:rFonts w:ascii="Verdana" w:hAnsi="Verdana"/>
          <w:i/>
          <w:szCs w:val="22"/>
        </w:rPr>
        <w:t>Marckx v Belgium</w:t>
      </w:r>
      <w:r w:rsidR="002B0F1C" w:rsidRPr="006928B9">
        <w:rPr>
          <w:rStyle w:val="FootnoteReference"/>
          <w:rFonts w:ascii="Verdana" w:hAnsi="Verdana"/>
          <w:szCs w:val="22"/>
        </w:rPr>
        <w:footnoteReference w:id="12"/>
      </w:r>
      <w:r w:rsidR="002B0F1C" w:rsidRPr="006928B9">
        <w:rPr>
          <w:rFonts w:ascii="Verdana" w:hAnsi="Verdana"/>
          <w:szCs w:val="22"/>
        </w:rPr>
        <w:t xml:space="preserve"> where the Court had to consider Belgian family law which did not recognise an illegitimate child as a member of the mother’s family; and, thus, prevented mother and child from leading a normal family life. The Court</w:t>
      </w:r>
      <w:r w:rsidR="002B0F1C" w:rsidRPr="006928B9">
        <w:rPr>
          <w:rStyle w:val="FootnoteReference"/>
          <w:rFonts w:ascii="Verdana" w:hAnsi="Verdana"/>
          <w:szCs w:val="22"/>
        </w:rPr>
        <w:footnoteReference w:id="13"/>
      </w:r>
      <w:r w:rsidR="002B0F1C" w:rsidRPr="006928B9">
        <w:rPr>
          <w:rFonts w:ascii="Verdana" w:hAnsi="Verdana"/>
          <w:szCs w:val="22"/>
        </w:rPr>
        <w:t xml:space="preserve"> </w:t>
      </w:r>
      <w:r w:rsidR="003766F1" w:rsidRPr="006928B9">
        <w:rPr>
          <w:rFonts w:ascii="Verdana" w:hAnsi="Verdana"/>
          <w:szCs w:val="22"/>
        </w:rPr>
        <w:t xml:space="preserve">said, in terms which have been repeated many times in later judgments, </w:t>
      </w:r>
      <w:r w:rsidR="002B0F1C" w:rsidRPr="006928B9">
        <w:rPr>
          <w:rFonts w:ascii="Verdana" w:hAnsi="Verdana"/>
          <w:szCs w:val="22"/>
        </w:rPr>
        <w:t>that:</w:t>
      </w:r>
    </w:p>
    <w:p w:rsidR="003766F1" w:rsidRPr="006928B9" w:rsidRDefault="00150568" w:rsidP="002B0F1C">
      <w:pPr>
        <w:pStyle w:val="NormalIndent"/>
        <w:widowControl w:val="0"/>
        <w:spacing w:before="0" w:after="0"/>
        <w:ind w:left="720" w:right="691"/>
        <w:rPr>
          <w:rFonts w:ascii="Verdana" w:hAnsi="Verdana"/>
          <w:szCs w:val="22"/>
        </w:rPr>
      </w:pPr>
      <w:r w:rsidRPr="006928B9">
        <w:rPr>
          <w:rFonts w:ascii="Verdana" w:hAnsi="Verdana"/>
          <w:szCs w:val="22"/>
        </w:rPr>
        <w:t>“</w:t>
      </w:r>
      <w:r w:rsidR="002B0F1C" w:rsidRPr="006928B9">
        <w:rPr>
          <w:rFonts w:ascii="Verdana" w:hAnsi="Verdana"/>
          <w:szCs w:val="22"/>
        </w:rPr>
        <w:t xml:space="preserve">By proclaiming in paragraph 1 the right to respect for family life, Article 8 signifies first that the State cannot interfere with the exercise of that right otherwise than in accordance with the strict conditions set out in paragraph 2. As the Court stated in the </w:t>
      </w:r>
      <w:r w:rsidR="002B0F1C" w:rsidRPr="006928B9">
        <w:rPr>
          <w:rFonts w:ascii="Verdana" w:hAnsi="Verdana"/>
          <w:i/>
          <w:szCs w:val="22"/>
        </w:rPr>
        <w:t>Belgian Linguistic</w:t>
      </w:r>
      <w:r w:rsidR="002B0F1C" w:rsidRPr="006928B9">
        <w:rPr>
          <w:rFonts w:ascii="Verdana" w:hAnsi="Verdana"/>
          <w:szCs w:val="22"/>
        </w:rPr>
        <w:t xml:space="preserve"> case, the object of the Article is ‘essentially’ that of protecting the individual from arbitrary interference by the public authorities.</w:t>
      </w:r>
      <w:r w:rsidR="002B0F1C" w:rsidRPr="006928B9">
        <w:rPr>
          <w:rStyle w:val="FootnoteReference"/>
          <w:rFonts w:ascii="Verdana" w:hAnsi="Verdana"/>
          <w:szCs w:val="22"/>
        </w:rPr>
        <w:footnoteReference w:id="14"/>
      </w:r>
      <w:r w:rsidR="002B0F1C" w:rsidRPr="006928B9">
        <w:rPr>
          <w:rFonts w:ascii="Verdana" w:hAnsi="Verdana"/>
          <w:szCs w:val="22"/>
        </w:rPr>
        <w:t xml:space="preserve"> Nevertheless, it does not merely compel the State to abstain from such interference: in addition to this primarily negative undertaking, there may be positive obligations inherent in an effective ‘respect’ for family life</w:t>
      </w:r>
      <w:r w:rsidR="003766F1" w:rsidRPr="006928B9">
        <w:rPr>
          <w:rFonts w:ascii="Verdana" w:hAnsi="Verdana"/>
          <w:szCs w:val="22"/>
        </w:rPr>
        <w:t>”</w:t>
      </w:r>
      <w:r w:rsidR="002B0F1C" w:rsidRPr="006928B9">
        <w:rPr>
          <w:rFonts w:ascii="Verdana" w:hAnsi="Verdana"/>
          <w:szCs w:val="22"/>
        </w:rPr>
        <w:t>.</w:t>
      </w:r>
    </w:p>
    <w:p w:rsidR="00450B35" w:rsidRPr="006928B9" w:rsidRDefault="00450B35" w:rsidP="002B0F1C">
      <w:pPr>
        <w:pStyle w:val="NormalIndent"/>
        <w:widowControl w:val="0"/>
        <w:spacing w:before="0" w:after="0"/>
        <w:ind w:left="720" w:right="691"/>
        <w:rPr>
          <w:rFonts w:ascii="Verdana" w:hAnsi="Verdana"/>
          <w:szCs w:val="22"/>
        </w:rPr>
      </w:pPr>
    </w:p>
    <w:p w:rsidR="00450B35" w:rsidRPr="006928B9" w:rsidRDefault="00450B35" w:rsidP="00450B35">
      <w:pPr>
        <w:pStyle w:val="NormalIndent"/>
        <w:widowControl w:val="0"/>
        <w:spacing w:before="0" w:after="0"/>
        <w:ind w:left="0" w:right="26"/>
        <w:rPr>
          <w:rFonts w:ascii="Verdana" w:hAnsi="Verdana"/>
          <w:szCs w:val="22"/>
        </w:rPr>
      </w:pPr>
      <w:r w:rsidRPr="006928B9">
        <w:rPr>
          <w:rFonts w:ascii="Verdana" w:hAnsi="Verdana"/>
          <w:szCs w:val="22"/>
        </w:rPr>
        <w:t xml:space="preserve">Four months later, in the case of </w:t>
      </w:r>
      <w:r w:rsidRPr="006928B9">
        <w:rPr>
          <w:rFonts w:ascii="Verdana" w:hAnsi="Verdana"/>
          <w:i/>
          <w:szCs w:val="22"/>
        </w:rPr>
        <w:t>Airey v Ireland</w:t>
      </w:r>
      <w:r w:rsidRPr="006928B9">
        <w:rPr>
          <w:rStyle w:val="FootnoteReference"/>
          <w:rFonts w:ascii="Verdana" w:hAnsi="Verdana"/>
          <w:szCs w:val="22"/>
        </w:rPr>
        <w:footnoteReference w:id="15"/>
      </w:r>
      <w:r w:rsidRPr="006928B9">
        <w:rPr>
          <w:rFonts w:ascii="Verdana" w:hAnsi="Verdana"/>
          <w:i/>
          <w:szCs w:val="22"/>
        </w:rPr>
        <w:t xml:space="preserve"> </w:t>
      </w:r>
      <w:r w:rsidRPr="006928B9">
        <w:rPr>
          <w:rFonts w:ascii="Verdana" w:hAnsi="Verdana"/>
          <w:szCs w:val="22"/>
        </w:rPr>
        <w:t>- the case concerning judicial separation proceedings in Ireland - the Court held that because Article 6 guarantees an “effective right of access to court” this would, in some cases require the state to provide civil legal aid.  There was also a breach of the positive obligation to protect the applicant’s family life by relieving her of the duty to live with her husband:</w:t>
      </w:r>
    </w:p>
    <w:p w:rsidR="00150568" w:rsidRPr="006928B9" w:rsidRDefault="00450B35" w:rsidP="00291868">
      <w:pPr>
        <w:pStyle w:val="NormalIndent"/>
        <w:widowControl w:val="0"/>
        <w:spacing w:before="0" w:after="0"/>
        <w:ind w:left="720" w:right="656"/>
        <w:rPr>
          <w:rFonts w:ascii="Verdana" w:hAnsi="Verdana"/>
          <w:szCs w:val="22"/>
        </w:rPr>
      </w:pPr>
      <w:r w:rsidRPr="006928B9">
        <w:rPr>
          <w:rFonts w:ascii="Verdana" w:hAnsi="Verdana"/>
          <w:szCs w:val="22"/>
        </w:rPr>
        <w:t>“</w:t>
      </w:r>
      <w:r w:rsidR="00291868" w:rsidRPr="006928B9">
        <w:rPr>
          <w:rFonts w:ascii="Verdana" w:hAnsi="Verdana"/>
          <w:szCs w:val="22"/>
        </w:rPr>
        <w:t>Effective respect for private or family life obliges Ireland to make this means of protection effectively accessible, where appropriate, to anyone who may wish to have recourse thereto”</w:t>
      </w:r>
      <w:r w:rsidR="00291868" w:rsidRPr="006928B9">
        <w:rPr>
          <w:rStyle w:val="FootnoteReference"/>
          <w:rFonts w:ascii="Verdana" w:hAnsi="Verdana"/>
          <w:szCs w:val="22"/>
        </w:rPr>
        <w:footnoteReference w:id="16"/>
      </w:r>
      <w:r w:rsidRPr="006928B9">
        <w:rPr>
          <w:rFonts w:ascii="Verdana" w:hAnsi="Verdana"/>
          <w:szCs w:val="22"/>
        </w:rPr>
        <w:t xml:space="preserve"> </w:t>
      </w:r>
    </w:p>
    <w:p w:rsidR="00291868" w:rsidRPr="006928B9" w:rsidRDefault="00291868" w:rsidP="00450B35">
      <w:pPr>
        <w:pStyle w:val="NormalIndent"/>
        <w:widowControl w:val="0"/>
        <w:spacing w:before="0" w:after="0"/>
        <w:ind w:left="0" w:right="26"/>
        <w:rPr>
          <w:rFonts w:ascii="Verdana" w:hAnsi="Verdana"/>
          <w:szCs w:val="22"/>
        </w:rPr>
      </w:pPr>
    </w:p>
    <w:p w:rsidR="005C5D4D" w:rsidRPr="006928B9" w:rsidRDefault="0084319D" w:rsidP="00450B35">
      <w:pPr>
        <w:pStyle w:val="NormalIndent"/>
        <w:widowControl w:val="0"/>
        <w:spacing w:before="0" w:after="0"/>
        <w:ind w:left="0" w:right="26"/>
        <w:rPr>
          <w:rFonts w:ascii="Verdana" w:hAnsi="Verdana"/>
          <w:szCs w:val="22"/>
        </w:rPr>
      </w:pPr>
      <w:r w:rsidRPr="006928B9">
        <w:rPr>
          <w:rFonts w:ascii="Verdana" w:hAnsi="Verdana"/>
          <w:szCs w:val="22"/>
        </w:rPr>
        <w:t xml:space="preserve">Taken together </w:t>
      </w:r>
      <w:r w:rsidRPr="006928B9">
        <w:rPr>
          <w:rFonts w:ascii="Verdana" w:hAnsi="Verdana"/>
          <w:i/>
          <w:szCs w:val="22"/>
        </w:rPr>
        <w:t xml:space="preserve">Marckx </w:t>
      </w:r>
      <w:r w:rsidRPr="006928B9">
        <w:rPr>
          <w:rFonts w:ascii="Verdana" w:hAnsi="Verdana"/>
          <w:szCs w:val="22"/>
        </w:rPr>
        <w:t xml:space="preserve">and </w:t>
      </w:r>
      <w:r w:rsidRPr="006928B9">
        <w:rPr>
          <w:rFonts w:ascii="Verdana" w:hAnsi="Verdana"/>
          <w:i/>
          <w:szCs w:val="22"/>
        </w:rPr>
        <w:t xml:space="preserve">Airey </w:t>
      </w:r>
      <w:r w:rsidR="005C5D4D" w:rsidRPr="006928B9">
        <w:rPr>
          <w:rFonts w:ascii="Verdana" w:hAnsi="Verdana"/>
          <w:szCs w:val="22"/>
        </w:rPr>
        <w:t>were “groundbreaking”,</w:t>
      </w:r>
      <w:r w:rsidR="005C5D4D" w:rsidRPr="006928B9">
        <w:rPr>
          <w:rStyle w:val="FootnoteReference"/>
          <w:rFonts w:ascii="Verdana" w:hAnsi="Verdana"/>
          <w:szCs w:val="22"/>
        </w:rPr>
        <w:footnoteReference w:id="17"/>
      </w:r>
      <w:r w:rsidR="005C5D4D" w:rsidRPr="006928B9">
        <w:rPr>
          <w:rFonts w:ascii="Verdana" w:hAnsi="Verdana"/>
          <w:szCs w:val="22"/>
        </w:rPr>
        <w:t xml:space="preserve"> a “change in the legal content and function of basic rights”.</w:t>
      </w:r>
      <w:r w:rsidR="005C5D4D" w:rsidRPr="006928B9">
        <w:rPr>
          <w:rStyle w:val="FootnoteReference"/>
          <w:rFonts w:ascii="Verdana" w:hAnsi="Verdana"/>
          <w:szCs w:val="22"/>
        </w:rPr>
        <w:footnoteReference w:id="18"/>
      </w:r>
    </w:p>
    <w:p w:rsidR="005D5EF2" w:rsidRPr="006928B9" w:rsidRDefault="005D5EF2" w:rsidP="00450B35">
      <w:pPr>
        <w:pStyle w:val="NormalIndent"/>
        <w:widowControl w:val="0"/>
        <w:spacing w:before="0" w:after="0"/>
        <w:ind w:left="0" w:right="26"/>
        <w:rPr>
          <w:rFonts w:ascii="Verdana" w:hAnsi="Verdana"/>
          <w:szCs w:val="22"/>
        </w:rPr>
      </w:pPr>
    </w:p>
    <w:p w:rsidR="005D5EF2" w:rsidRPr="006928B9" w:rsidRDefault="005D5EF2" w:rsidP="005D5EF2">
      <w:pPr>
        <w:pStyle w:val="NormalIndent"/>
        <w:widowControl w:val="0"/>
        <w:spacing w:before="0" w:after="0"/>
        <w:ind w:left="0" w:right="26"/>
        <w:rPr>
          <w:rFonts w:ascii="Verdana" w:hAnsi="Verdana"/>
          <w:szCs w:val="22"/>
        </w:rPr>
      </w:pPr>
      <w:r w:rsidRPr="006928B9">
        <w:rPr>
          <w:rFonts w:ascii="Verdana" w:hAnsi="Verdana"/>
          <w:szCs w:val="22"/>
        </w:rPr>
        <w:t xml:space="preserve">To these two </w:t>
      </w:r>
      <w:r w:rsidR="00181AA0">
        <w:rPr>
          <w:rFonts w:ascii="Verdana" w:hAnsi="Verdana"/>
          <w:szCs w:val="22"/>
        </w:rPr>
        <w:t xml:space="preserve">important </w:t>
      </w:r>
      <w:r w:rsidRPr="006928B9">
        <w:rPr>
          <w:rFonts w:ascii="Verdana" w:hAnsi="Verdana"/>
          <w:szCs w:val="22"/>
        </w:rPr>
        <w:t xml:space="preserve">cases must be added a third, </w:t>
      </w:r>
      <w:r w:rsidR="00181AA0">
        <w:rPr>
          <w:rFonts w:ascii="Verdana" w:hAnsi="Verdana"/>
          <w:szCs w:val="22"/>
        </w:rPr>
        <w:t xml:space="preserve">decided </w:t>
      </w:r>
      <w:r w:rsidRPr="006928B9">
        <w:rPr>
          <w:rFonts w:ascii="Verdana" w:hAnsi="Verdana"/>
          <w:szCs w:val="22"/>
        </w:rPr>
        <w:t xml:space="preserve">six years later.  </w:t>
      </w:r>
      <w:r w:rsidR="00181AA0">
        <w:rPr>
          <w:rFonts w:ascii="Verdana" w:hAnsi="Verdana"/>
          <w:szCs w:val="22"/>
        </w:rPr>
        <w:t xml:space="preserve">In </w:t>
      </w:r>
      <w:r w:rsidRPr="006928B9">
        <w:rPr>
          <w:rFonts w:ascii="Verdana" w:hAnsi="Verdana"/>
          <w:i/>
          <w:szCs w:val="22"/>
        </w:rPr>
        <w:t>X &amp; Y v Netherlands</w:t>
      </w:r>
      <w:r w:rsidRPr="006928B9">
        <w:rPr>
          <w:rStyle w:val="FootnoteReference"/>
          <w:rFonts w:ascii="Verdana" w:hAnsi="Verdana"/>
          <w:szCs w:val="22"/>
        </w:rPr>
        <w:footnoteReference w:id="19"/>
      </w:r>
      <w:r w:rsidRPr="006928B9">
        <w:rPr>
          <w:rFonts w:ascii="Verdana" w:hAnsi="Verdana"/>
          <w:szCs w:val="22"/>
        </w:rPr>
        <w:t xml:space="preserve"> the Court found that Article 8 was breached because domestic criminal law did not provide practical and effective protection of mentally ill girl who was sexually assaulted.  In its judgment the court added another sentence to the now familiar formulation of the positive obligation</w:t>
      </w:r>
    </w:p>
    <w:p w:rsidR="005D5EF2" w:rsidRPr="006928B9" w:rsidRDefault="005D5EF2" w:rsidP="005D5EF2">
      <w:pPr>
        <w:pStyle w:val="NormalIndent"/>
        <w:widowControl w:val="0"/>
        <w:spacing w:before="0" w:after="0"/>
        <w:ind w:left="720" w:right="656"/>
        <w:rPr>
          <w:rFonts w:ascii="Verdana" w:hAnsi="Verdana"/>
          <w:szCs w:val="22"/>
        </w:rPr>
      </w:pPr>
      <w:r w:rsidRPr="006928B9">
        <w:rPr>
          <w:rStyle w:val="sb8d990e2"/>
          <w:rFonts w:ascii="Verdana" w:hAnsi="Verdana"/>
          <w:szCs w:val="22"/>
        </w:rPr>
        <w:t>“</w:t>
      </w:r>
      <w:proofErr w:type="gramStart"/>
      <w:r w:rsidRPr="006928B9">
        <w:rPr>
          <w:rStyle w:val="sb8d990e2"/>
          <w:rFonts w:ascii="Verdana" w:hAnsi="Verdana"/>
          <w:szCs w:val="22"/>
        </w:rPr>
        <w:t>there</w:t>
      </w:r>
      <w:proofErr w:type="gramEnd"/>
      <w:r w:rsidRPr="006928B9">
        <w:rPr>
          <w:rStyle w:val="sb8d990e2"/>
          <w:rFonts w:ascii="Verdana" w:hAnsi="Verdana"/>
          <w:szCs w:val="22"/>
        </w:rPr>
        <w:t xml:space="preserve"> may be </w:t>
      </w:r>
      <w:r w:rsidRPr="006928B9">
        <w:rPr>
          <w:rStyle w:val="wordhighlighted"/>
          <w:rFonts w:ascii="Verdana" w:hAnsi="Verdana"/>
          <w:szCs w:val="22"/>
        </w:rPr>
        <w:t>positive obligations</w:t>
      </w:r>
      <w:r w:rsidRPr="006928B9">
        <w:rPr>
          <w:rStyle w:val="sb8d990e2"/>
          <w:rFonts w:ascii="Verdana" w:hAnsi="Verdana"/>
          <w:szCs w:val="22"/>
        </w:rPr>
        <w:t xml:space="preserve"> inherent in an effective respect </w:t>
      </w:r>
      <w:r w:rsidRPr="006928B9">
        <w:rPr>
          <w:rStyle w:val="sb8d990e2"/>
          <w:rFonts w:ascii="Verdana" w:hAnsi="Verdana"/>
          <w:szCs w:val="22"/>
        </w:rPr>
        <w:lastRenderedPageBreak/>
        <w:t xml:space="preserve">for private or family life … </w:t>
      </w:r>
      <w:r w:rsidRPr="00067968">
        <w:rPr>
          <w:rStyle w:val="sb8d990e2"/>
          <w:rFonts w:ascii="Verdana" w:hAnsi="Verdana"/>
          <w:szCs w:val="22"/>
        </w:rPr>
        <w:t>These obligations may involve the adoption of measures designed to secure respect for private life even in the sphere of the relations of individuals between themselves”.</w:t>
      </w:r>
      <w:r w:rsidRPr="00067968">
        <w:rPr>
          <w:rStyle w:val="FootnoteReference"/>
          <w:rFonts w:ascii="Verdana" w:hAnsi="Verdana"/>
          <w:szCs w:val="22"/>
        </w:rPr>
        <w:footnoteReference w:id="20"/>
      </w:r>
    </w:p>
    <w:p w:rsidR="005D5EF2" w:rsidRPr="006928B9" w:rsidRDefault="003820BB" w:rsidP="00450B35">
      <w:pPr>
        <w:pStyle w:val="NormalIndent"/>
        <w:widowControl w:val="0"/>
        <w:spacing w:before="0" w:after="0"/>
        <w:ind w:left="0" w:right="26"/>
        <w:rPr>
          <w:rFonts w:ascii="Verdana" w:hAnsi="Verdana"/>
          <w:szCs w:val="22"/>
        </w:rPr>
      </w:pPr>
      <w:r w:rsidRPr="006928B9">
        <w:rPr>
          <w:rFonts w:ascii="Verdana" w:hAnsi="Verdana"/>
          <w:szCs w:val="22"/>
        </w:rPr>
        <w:t xml:space="preserve">In other words, State may be under positive obligations to ensure that individuals have rights against other individuals.  </w:t>
      </w:r>
      <w:r w:rsidR="005D5EF2" w:rsidRPr="006928B9">
        <w:rPr>
          <w:rFonts w:ascii="Verdana" w:hAnsi="Verdana"/>
          <w:szCs w:val="22"/>
        </w:rPr>
        <w:t xml:space="preserve">This introduces the </w:t>
      </w:r>
      <w:r w:rsidR="005D5EF2" w:rsidRPr="006928B9">
        <w:rPr>
          <w:rFonts w:ascii="Verdana" w:hAnsi="Verdana"/>
          <w:i/>
          <w:szCs w:val="22"/>
        </w:rPr>
        <w:t xml:space="preserve">Drittwirkung </w:t>
      </w:r>
      <w:r w:rsidR="005D5EF2" w:rsidRPr="006928B9">
        <w:rPr>
          <w:rFonts w:ascii="Verdana" w:hAnsi="Verdana"/>
          <w:szCs w:val="22"/>
        </w:rPr>
        <w:t xml:space="preserve">of the Convention – its </w:t>
      </w:r>
      <w:r w:rsidR="001647A3" w:rsidRPr="006928B9">
        <w:rPr>
          <w:rFonts w:ascii="Verdana" w:hAnsi="Verdana"/>
          <w:szCs w:val="22"/>
        </w:rPr>
        <w:t>application to private bodies.</w:t>
      </w:r>
      <w:r w:rsidR="001647A3" w:rsidRPr="006928B9">
        <w:rPr>
          <w:rStyle w:val="FootnoteReference"/>
          <w:rFonts w:ascii="Verdana" w:hAnsi="Verdana"/>
          <w:szCs w:val="22"/>
        </w:rPr>
        <w:footnoteReference w:id="21"/>
      </w:r>
      <w:r w:rsidRPr="006928B9">
        <w:rPr>
          <w:rFonts w:ascii="Verdana" w:hAnsi="Verdana"/>
          <w:szCs w:val="22"/>
        </w:rPr>
        <w:t xml:space="preserve">  This is one key dimension of positive obligations.</w:t>
      </w:r>
    </w:p>
    <w:p w:rsidR="005D5EF2" w:rsidRPr="006928B9" w:rsidRDefault="005D5EF2" w:rsidP="00450B35">
      <w:pPr>
        <w:pStyle w:val="NormalIndent"/>
        <w:widowControl w:val="0"/>
        <w:spacing w:before="0" w:after="0"/>
        <w:ind w:left="0" w:right="26"/>
        <w:rPr>
          <w:rFonts w:ascii="Verdana" w:hAnsi="Verdana"/>
          <w:szCs w:val="22"/>
        </w:rPr>
      </w:pPr>
    </w:p>
    <w:p w:rsidR="003877ED" w:rsidRPr="006928B9" w:rsidRDefault="00AF0F60" w:rsidP="00AF0F60">
      <w:pPr>
        <w:pStyle w:val="NormalIndent"/>
        <w:widowControl w:val="0"/>
        <w:spacing w:before="0" w:after="0"/>
        <w:ind w:left="0" w:right="26"/>
        <w:rPr>
          <w:rFonts w:ascii="Verdana" w:hAnsi="Verdana"/>
          <w:szCs w:val="22"/>
        </w:rPr>
      </w:pPr>
      <w:r w:rsidRPr="006928B9">
        <w:rPr>
          <w:rFonts w:ascii="Verdana" w:hAnsi="Verdana"/>
          <w:szCs w:val="22"/>
        </w:rPr>
        <w:t xml:space="preserve">The statement that </w:t>
      </w:r>
      <w:r w:rsidR="00150568" w:rsidRPr="006928B9">
        <w:rPr>
          <w:rFonts w:ascii="Verdana" w:hAnsi="Verdana"/>
          <w:szCs w:val="22"/>
        </w:rPr>
        <w:t xml:space="preserve">positive obligations </w:t>
      </w:r>
      <w:r w:rsidRPr="006928B9">
        <w:rPr>
          <w:rFonts w:ascii="Verdana" w:hAnsi="Verdana"/>
          <w:szCs w:val="22"/>
        </w:rPr>
        <w:t xml:space="preserve">are </w:t>
      </w:r>
      <w:r w:rsidR="00150568" w:rsidRPr="006928B9">
        <w:rPr>
          <w:rFonts w:ascii="Verdana" w:hAnsi="Verdana"/>
          <w:szCs w:val="22"/>
        </w:rPr>
        <w:t>inherent in the notion of “respect” for private and family life, home and</w:t>
      </w:r>
      <w:r w:rsidR="00A2510C" w:rsidRPr="006928B9">
        <w:rPr>
          <w:rFonts w:ascii="Verdana" w:hAnsi="Verdana"/>
          <w:szCs w:val="22"/>
        </w:rPr>
        <w:t xml:space="preserve"> correspondence in Article 8(1) </w:t>
      </w:r>
      <w:r w:rsidRPr="006928B9">
        <w:rPr>
          <w:rFonts w:ascii="Verdana" w:hAnsi="Verdana"/>
          <w:szCs w:val="22"/>
        </w:rPr>
        <w:t xml:space="preserve">set out one rationale for their implication.  But </w:t>
      </w:r>
      <w:r w:rsidR="00A2510C" w:rsidRPr="006928B9">
        <w:rPr>
          <w:rFonts w:ascii="Verdana" w:hAnsi="Verdana"/>
          <w:szCs w:val="22"/>
        </w:rPr>
        <w:t xml:space="preserve">this cannot be directly applied to other Articles where the obligation </w:t>
      </w:r>
      <w:r w:rsidRPr="006928B9">
        <w:rPr>
          <w:rFonts w:ascii="Verdana" w:hAnsi="Verdana"/>
          <w:szCs w:val="22"/>
        </w:rPr>
        <w:t xml:space="preserve">of </w:t>
      </w:r>
      <w:r w:rsidR="00A2510C" w:rsidRPr="006928B9">
        <w:rPr>
          <w:rFonts w:ascii="Verdana" w:hAnsi="Verdana"/>
          <w:szCs w:val="22"/>
        </w:rPr>
        <w:t>“respect” does not appear.</w:t>
      </w:r>
      <w:r w:rsidR="00C1555E" w:rsidRPr="006928B9">
        <w:rPr>
          <w:rFonts w:ascii="Verdana" w:hAnsi="Verdana"/>
          <w:szCs w:val="22"/>
        </w:rPr>
        <w:t xml:space="preserve">  </w:t>
      </w:r>
    </w:p>
    <w:p w:rsidR="003877ED" w:rsidRPr="006928B9" w:rsidRDefault="003877ED" w:rsidP="00AF0F60">
      <w:pPr>
        <w:pStyle w:val="NormalIndent"/>
        <w:widowControl w:val="0"/>
        <w:spacing w:before="0" w:after="0"/>
        <w:ind w:left="0" w:right="26"/>
        <w:rPr>
          <w:rFonts w:ascii="Verdana" w:hAnsi="Verdana"/>
          <w:szCs w:val="22"/>
        </w:rPr>
      </w:pPr>
    </w:p>
    <w:p w:rsidR="00A20859" w:rsidRPr="006928B9" w:rsidRDefault="00C1555E" w:rsidP="00AF0F60">
      <w:pPr>
        <w:pStyle w:val="NormalIndent"/>
        <w:widowControl w:val="0"/>
        <w:spacing w:before="0" w:after="0"/>
        <w:ind w:left="0" w:right="26"/>
        <w:rPr>
          <w:rFonts w:ascii="Verdana" w:hAnsi="Verdana"/>
          <w:szCs w:val="22"/>
        </w:rPr>
      </w:pPr>
      <w:r w:rsidRPr="006928B9">
        <w:rPr>
          <w:rFonts w:ascii="Verdana" w:hAnsi="Verdana"/>
          <w:szCs w:val="22"/>
        </w:rPr>
        <w:t xml:space="preserve">Positive obligations in </w:t>
      </w:r>
      <w:r w:rsidR="00AF0F60" w:rsidRPr="006928B9">
        <w:rPr>
          <w:rFonts w:ascii="Verdana" w:hAnsi="Verdana"/>
          <w:szCs w:val="22"/>
        </w:rPr>
        <w:t xml:space="preserve">other areas have been said to derive from the </w:t>
      </w:r>
      <w:r w:rsidR="00A20859" w:rsidRPr="006928B9">
        <w:rPr>
          <w:rFonts w:ascii="Verdana" w:hAnsi="Verdana"/>
          <w:szCs w:val="22"/>
        </w:rPr>
        <w:t>overarching obligation on the state under Article 1 of the Convention to ‘secure that everyone within their jurisdiction’ has the rights and freedoms set out in the Convention.  The concept also reflects the Convention principle of effectiveness, that the Convention is designed to guarantee not rights that are theoretical or illusionary but rights which are practical and effective.</w:t>
      </w:r>
      <w:r w:rsidR="00A20859" w:rsidRPr="006928B9">
        <w:rPr>
          <w:rStyle w:val="FootnoteReference"/>
          <w:rFonts w:ascii="Verdana" w:hAnsi="Verdana"/>
          <w:szCs w:val="22"/>
        </w:rPr>
        <w:footnoteReference w:id="22"/>
      </w:r>
      <w:r w:rsidR="00A20859" w:rsidRPr="006928B9">
        <w:rPr>
          <w:rFonts w:ascii="Verdana" w:hAnsi="Verdana"/>
          <w:szCs w:val="22"/>
        </w:rPr>
        <w:t xml:space="preserve"> </w:t>
      </w:r>
      <w:r w:rsidR="00904381">
        <w:rPr>
          <w:rFonts w:ascii="Verdana" w:hAnsi="Verdana"/>
          <w:szCs w:val="22"/>
        </w:rPr>
        <w:t xml:space="preserve"> In addition, reliance is sometimes placed on the Article 13 “right to an effective remedy”.  These three pillars have supported the implication of positive obligations in every area of the Convention.</w:t>
      </w:r>
    </w:p>
    <w:p w:rsidR="003877ED" w:rsidRPr="006928B9" w:rsidRDefault="003877ED" w:rsidP="00AF0F60">
      <w:pPr>
        <w:pStyle w:val="NormalIndent"/>
        <w:widowControl w:val="0"/>
        <w:spacing w:before="0" w:after="0"/>
        <w:ind w:left="0" w:right="26"/>
        <w:rPr>
          <w:rFonts w:ascii="Verdana" w:hAnsi="Verdana"/>
          <w:szCs w:val="22"/>
        </w:rPr>
      </w:pPr>
    </w:p>
    <w:p w:rsidR="003877ED" w:rsidRPr="00321BA6" w:rsidRDefault="00067968" w:rsidP="00AF0F60">
      <w:pPr>
        <w:pStyle w:val="NormalIndent"/>
        <w:widowControl w:val="0"/>
        <w:spacing w:before="0" w:after="0"/>
        <w:ind w:left="0" w:right="26"/>
        <w:rPr>
          <w:rFonts w:ascii="Verdana" w:hAnsi="Verdana"/>
          <w:b/>
          <w:smallCaps/>
          <w:szCs w:val="22"/>
        </w:rPr>
      </w:pPr>
      <w:r>
        <w:rPr>
          <w:rFonts w:ascii="Verdana" w:hAnsi="Verdana"/>
          <w:b/>
          <w:smallCaps/>
          <w:szCs w:val="22"/>
        </w:rPr>
        <w:t>Some Examples of</w:t>
      </w:r>
      <w:r w:rsidR="003877ED" w:rsidRPr="00321BA6">
        <w:rPr>
          <w:rFonts w:ascii="Verdana" w:hAnsi="Verdana"/>
          <w:b/>
          <w:smallCaps/>
          <w:szCs w:val="22"/>
        </w:rPr>
        <w:t xml:space="preserve"> Positive Obligations</w:t>
      </w:r>
      <w:r>
        <w:rPr>
          <w:rFonts w:ascii="Verdana" w:hAnsi="Verdana"/>
          <w:b/>
          <w:smallCaps/>
          <w:szCs w:val="22"/>
        </w:rPr>
        <w:t xml:space="preserve"> in the Case Law</w:t>
      </w:r>
    </w:p>
    <w:p w:rsidR="003820BB" w:rsidRPr="006928B9" w:rsidRDefault="003820BB" w:rsidP="00AF0F60">
      <w:pPr>
        <w:pStyle w:val="NormalIndent"/>
        <w:widowControl w:val="0"/>
        <w:spacing w:before="0" w:after="0"/>
        <w:ind w:left="0" w:right="26"/>
        <w:rPr>
          <w:rFonts w:ascii="Verdana" w:hAnsi="Verdana"/>
          <w:szCs w:val="22"/>
        </w:rPr>
      </w:pPr>
    </w:p>
    <w:p w:rsidR="0063598D" w:rsidRPr="0063598D" w:rsidRDefault="0063598D" w:rsidP="00A678F1">
      <w:pPr>
        <w:pStyle w:val="NormalIndent"/>
        <w:widowControl w:val="0"/>
        <w:spacing w:before="0" w:after="0"/>
        <w:ind w:left="0" w:right="26"/>
        <w:rPr>
          <w:rFonts w:ascii="Verdana" w:hAnsi="Verdana"/>
          <w:b/>
          <w:szCs w:val="22"/>
        </w:rPr>
      </w:pPr>
      <w:r>
        <w:rPr>
          <w:rFonts w:ascii="Verdana" w:hAnsi="Verdana"/>
          <w:b/>
          <w:szCs w:val="22"/>
        </w:rPr>
        <w:t>Introduction</w:t>
      </w:r>
    </w:p>
    <w:p w:rsidR="00A678F1" w:rsidRPr="006928B9" w:rsidRDefault="0063598D" w:rsidP="00A678F1">
      <w:pPr>
        <w:pStyle w:val="NormalIndent"/>
        <w:widowControl w:val="0"/>
        <w:spacing w:before="0" w:after="0"/>
        <w:ind w:left="0" w:right="26"/>
        <w:rPr>
          <w:rFonts w:ascii="Verdana" w:hAnsi="Verdana"/>
          <w:szCs w:val="22"/>
        </w:rPr>
      </w:pPr>
      <w:r>
        <w:rPr>
          <w:rFonts w:ascii="Verdana" w:hAnsi="Verdana"/>
          <w:szCs w:val="22"/>
        </w:rPr>
        <w:t xml:space="preserve">Since the early 1980s the Court has extended the </w:t>
      </w:r>
      <w:r w:rsidR="00A678F1" w:rsidRPr="006928B9">
        <w:rPr>
          <w:rFonts w:ascii="Verdana" w:hAnsi="Verdana"/>
          <w:szCs w:val="22"/>
        </w:rPr>
        <w:t xml:space="preserve">doctrine of positive obligations </w:t>
      </w:r>
      <w:r>
        <w:rPr>
          <w:rFonts w:ascii="Verdana" w:hAnsi="Verdana"/>
          <w:szCs w:val="22"/>
        </w:rPr>
        <w:t xml:space="preserve">to all </w:t>
      </w:r>
      <w:r w:rsidR="00A678F1" w:rsidRPr="006928B9">
        <w:rPr>
          <w:rFonts w:ascii="Verdana" w:hAnsi="Verdana"/>
          <w:szCs w:val="22"/>
        </w:rPr>
        <w:t xml:space="preserve">has been </w:t>
      </w:r>
      <w:r w:rsidR="00904381">
        <w:rPr>
          <w:rFonts w:ascii="Verdana" w:hAnsi="Verdana"/>
          <w:szCs w:val="22"/>
        </w:rPr>
        <w:t xml:space="preserve">most fully </w:t>
      </w:r>
      <w:r w:rsidR="00A678F1" w:rsidRPr="006928B9">
        <w:rPr>
          <w:rFonts w:ascii="Verdana" w:hAnsi="Verdana"/>
          <w:szCs w:val="22"/>
        </w:rPr>
        <w:t>developed in relation to t</w:t>
      </w:r>
      <w:r w:rsidR="00904381">
        <w:rPr>
          <w:rFonts w:ascii="Verdana" w:hAnsi="Verdana"/>
          <w:szCs w:val="22"/>
        </w:rPr>
        <w:t>wo</w:t>
      </w:r>
      <w:r w:rsidR="00A678F1" w:rsidRPr="006928B9">
        <w:rPr>
          <w:rFonts w:ascii="Verdana" w:hAnsi="Verdana"/>
          <w:szCs w:val="22"/>
        </w:rPr>
        <w:t xml:space="preserve"> Articles</w:t>
      </w:r>
      <w:r w:rsidR="00904381">
        <w:rPr>
          <w:rFonts w:ascii="Verdana" w:hAnsi="Verdana"/>
          <w:szCs w:val="22"/>
        </w:rPr>
        <w:t xml:space="preserve"> of the Convention: Articles 2 </w:t>
      </w:r>
      <w:r w:rsidR="00A678F1" w:rsidRPr="006928B9">
        <w:rPr>
          <w:rFonts w:ascii="Verdana" w:hAnsi="Verdana"/>
          <w:szCs w:val="22"/>
        </w:rPr>
        <w:t xml:space="preserve">and 8.  It is these areas that there </w:t>
      </w:r>
      <w:r w:rsidR="00904381">
        <w:rPr>
          <w:rFonts w:ascii="Verdana" w:hAnsi="Verdana"/>
          <w:szCs w:val="22"/>
        </w:rPr>
        <w:t>are most cases relying on the doctrine.</w:t>
      </w:r>
      <w:r w:rsidR="00582191" w:rsidRPr="006928B9">
        <w:rPr>
          <w:rFonts w:ascii="Verdana" w:hAnsi="Verdana"/>
          <w:szCs w:val="22"/>
        </w:rPr>
        <w:t xml:space="preserve"> </w:t>
      </w:r>
      <w:r w:rsidR="00B3089E" w:rsidRPr="006928B9">
        <w:rPr>
          <w:rFonts w:ascii="Verdana" w:hAnsi="Verdana"/>
          <w:szCs w:val="22"/>
        </w:rPr>
        <w:t>Many of these are now very familiar.  I will simply mention some</w:t>
      </w:r>
      <w:r w:rsidR="00904381">
        <w:rPr>
          <w:rFonts w:ascii="Verdana" w:hAnsi="Verdana"/>
          <w:szCs w:val="22"/>
        </w:rPr>
        <w:t xml:space="preserve"> examples, without any attempt to be exhaustive</w:t>
      </w:r>
      <w:r w:rsidR="00B3089E" w:rsidRPr="006928B9">
        <w:rPr>
          <w:rFonts w:ascii="Verdana" w:hAnsi="Verdana"/>
          <w:szCs w:val="22"/>
        </w:rPr>
        <w:t>.</w:t>
      </w:r>
      <w:r w:rsidR="00181AA0">
        <w:rPr>
          <w:rStyle w:val="FootnoteReference"/>
          <w:rFonts w:ascii="Verdana" w:hAnsi="Verdana"/>
          <w:szCs w:val="22"/>
        </w:rPr>
        <w:footnoteReference w:id="23"/>
      </w:r>
    </w:p>
    <w:p w:rsidR="00A01104" w:rsidRPr="006928B9" w:rsidRDefault="00A01104" w:rsidP="00A678F1">
      <w:pPr>
        <w:pStyle w:val="NormalIndent"/>
        <w:widowControl w:val="0"/>
        <w:spacing w:before="0" w:after="0"/>
        <w:ind w:left="0" w:right="26"/>
        <w:rPr>
          <w:rFonts w:ascii="Verdana" w:hAnsi="Verdana"/>
          <w:szCs w:val="22"/>
        </w:rPr>
      </w:pPr>
    </w:p>
    <w:p w:rsidR="00321BA6" w:rsidRPr="00321BA6" w:rsidRDefault="00321BA6" w:rsidP="005B473A">
      <w:pPr>
        <w:pStyle w:val="NormalIndent"/>
        <w:widowControl w:val="0"/>
        <w:spacing w:before="0" w:after="0"/>
        <w:ind w:left="0" w:right="26"/>
        <w:rPr>
          <w:rFonts w:ascii="Verdana" w:hAnsi="Verdana"/>
          <w:b/>
          <w:szCs w:val="22"/>
        </w:rPr>
      </w:pPr>
      <w:r>
        <w:rPr>
          <w:rFonts w:ascii="Verdana" w:hAnsi="Verdana"/>
          <w:b/>
          <w:szCs w:val="22"/>
        </w:rPr>
        <w:t>Article 2</w:t>
      </w:r>
    </w:p>
    <w:p w:rsidR="00B3089E" w:rsidRPr="006928B9" w:rsidRDefault="00A01104" w:rsidP="005B473A">
      <w:pPr>
        <w:pStyle w:val="NormalIndent"/>
        <w:widowControl w:val="0"/>
        <w:spacing w:before="0" w:after="0"/>
        <w:ind w:left="0" w:right="26"/>
        <w:rPr>
          <w:rFonts w:ascii="Verdana" w:hAnsi="Verdana"/>
          <w:szCs w:val="22"/>
        </w:rPr>
      </w:pPr>
      <w:r w:rsidRPr="006928B9">
        <w:rPr>
          <w:rFonts w:ascii="Verdana" w:hAnsi="Verdana"/>
          <w:szCs w:val="22"/>
        </w:rPr>
        <w:t>The positive obligations arising under Article 2 are the most fully articulated in the case law</w:t>
      </w:r>
      <w:r w:rsidR="007E40D5" w:rsidRPr="006928B9">
        <w:rPr>
          <w:rFonts w:ascii="Verdana" w:hAnsi="Verdana"/>
          <w:szCs w:val="22"/>
        </w:rPr>
        <w:t xml:space="preserve"> and </w:t>
      </w:r>
      <w:r w:rsidR="00321BA6">
        <w:rPr>
          <w:rFonts w:ascii="Verdana" w:hAnsi="Verdana"/>
          <w:szCs w:val="22"/>
        </w:rPr>
        <w:t xml:space="preserve">are </w:t>
      </w:r>
      <w:r w:rsidR="007E40D5" w:rsidRPr="006928B9">
        <w:rPr>
          <w:rFonts w:ascii="Verdana" w:hAnsi="Verdana"/>
          <w:szCs w:val="22"/>
        </w:rPr>
        <w:t>most familiar to practitioners</w:t>
      </w:r>
      <w:r w:rsidR="00220590" w:rsidRPr="006928B9">
        <w:rPr>
          <w:rFonts w:ascii="Verdana" w:hAnsi="Verdana"/>
          <w:szCs w:val="22"/>
        </w:rPr>
        <w:t>.</w:t>
      </w:r>
      <w:bookmarkStart w:id="2" w:name="para12"/>
      <w:r w:rsidR="004C5D35" w:rsidRPr="006928B9">
        <w:rPr>
          <w:rFonts w:ascii="Verdana" w:hAnsi="Verdana"/>
          <w:szCs w:val="22"/>
        </w:rPr>
        <w:t xml:space="preserve"> </w:t>
      </w:r>
    </w:p>
    <w:p w:rsidR="00B3089E" w:rsidRPr="006928B9" w:rsidRDefault="00B3089E" w:rsidP="005B473A">
      <w:pPr>
        <w:pStyle w:val="NormalIndent"/>
        <w:widowControl w:val="0"/>
        <w:spacing w:before="0" w:after="0"/>
        <w:ind w:left="0" w:right="26"/>
        <w:rPr>
          <w:rFonts w:ascii="Verdana" w:hAnsi="Verdana"/>
          <w:szCs w:val="22"/>
        </w:rPr>
      </w:pPr>
    </w:p>
    <w:p w:rsidR="00B3089E" w:rsidRPr="006928B9" w:rsidRDefault="00A01104" w:rsidP="00A05CB7">
      <w:pPr>
        <w:pStyle w:val="NormalIndent"/>
        <w:widowControl w:val="0"/>
        <w:spacing w:before="0" w:after="0"/>
        <w:ind w:left="0" w:right="26"/>
        <w:rPr>
          <w:rFonts w:ascii="Verdana" w:hAnsi="Verdana"/>
          <w:szCs w:val="22"/>
        </w:rPr>
      </w:pPr>
      <w:r w:rsidRPr="006928B9">
        <w:rPr>
          <w:rFonts w:ascii="Verdana" w:hAnsi="Verdana"/>
          <w:szCs w:val="22"/>
        </w:rPr>
        <w:t>First, there is a general obligation on the state "to put in place a legislative and administrative framework designed to provide effective deterrence against threats to the right to life</w:t>
      </w:r>
      <w:r w:rsidR="004C5D35" w:rsidRPr="006928B9">
        <w:rPr>
          <w:rFonts w:ascii="Verdana" w:hAnsi="Verdana"/>
          <w:szCs w:val="22"/>
        </w:rPr>
        <w:t>.</w:t>
      </w:r>
      <w:r w:rsidRPr="006928B9">
        <w:rPr>
          <w:rFonts w:ascii="Verdana" w:hAnsi="Verdana"/>
          <w:szCs w:val="22"/>
        </w:rPr>
        <w:t>"</w:t>
      </w:r>
      <w:r w:rsidRPr="006928B9">
        <w:rPr>
          <w:rStyle w:val="FootnoteReference"/>
          <w:rFonts w:ascii="Verdana" w:hAnsi="Verdana"/>
          <w:szCs w:val="22"/>
        </w:rPr>
        <w:footnoteReference w:id="24"/>
      </w:r>
      <w:bookmarkEnd w:id="2"/>
      <w:r w:rsidR="004C5D35" w:rsidRPr="006928B9">
        <w:rPr>
          <w:rFonts w:ascii="Verdana" w:hAnsi="Verdana"/>
          <w:szCs w:val="22"/>
        </w:rPr>
        <w:t xml:space="preserve">  </w:t>
      </w:r>
      <w:r w:rsidR="00A05CB7" w:rsidRPr="006928B9">
        <w:rPr>
          <w:rFonts w:ascii="Verdana" w:hAnsi="Verdana"/>
          <w:szCs w:val="22"/>
        </w:rPr>
        <w:t>This involves</w:t>
      </w:r>
    </w:p>
    <w:p w:rsidR="00A05CB7" w:rsidRPr="006928B9" w:rsidRDefault="00A05CB7" w:rsidP="00A05CB7">
      <w:pPr>
        <w:pStyle w:val="loose"/>
        <w:spacing w:before="0" w:beforeAutospacing="0" w:after="0" w:afterAutospacing="0"/>
        <w:ind w:left="720" w:right="746"/>
        <w:jc w:val="both"/>
        <w:rPr>
          <w:rFonts w:ascii="Verdana" w:hAnsi="Verdana"/>
          <w:sz w:val="22"/>
          <w:szCs w:val="22"/>
        </w:rPr>
      </w:pPr>
      <w:r w:rsidRPr="006928B9">
        <w:rPr>
          <w:rFonts w:ascii="Verdana" w:hAnsi="Verdana"/>
          <w:sz w:val="22"/>
          <w:szCs w:val="22"/>
        </w:rPr>
        <w:lastRenderedPageBreak/>
        <w:t>“the taking of reasonable measures to ensure the safety of individuals in public places and, in the event of serious injury or death, having in place an effective independent judicial system securing the availability of legal means capable of establishing the facts, holding accountable those at fault and providing appropriate redress to the victim.”</w:t>
      </w:r>
      <w:r w:rsidRPr="006928B9">
        <w:rPr>
          <w:rStyle w:val="FootnoteReference"/>
          <w:rFonts w:ascii="Verdana" w:hAnsi="Verdana"/>
          <w:sz w:val="22"/>
          <w:szCs w:val="22"/>
        </w:rPr>
        <w:footnoteReference w:id="25"/>
      </w:r>
      <w:r w:rsidRPr="006928B9">
        <w:rPr>
          <w:rFonts w:ascii="Verdana" w:hAnsi="Verdana"/>
          <w:sz w:val="22"/>
          <w:szCs w:val="22"/>
        </w:rPr>
        <w:t xml:space="preserve"> </w:t>
      </w:r>
    </w:p>
    <w:p w:rsidR="00B3089E" w:rsidRPr="006928B9" w:rsidRDefault="00B3089E" w:rsidP="00A05CB7">
      <w:pPr>
        <w:pStyle w:val="NormalIndent"/>
        <w:widowControl w:val="0"/>
        <w:spacing w:before="0" w:after="0"/>
        <w:ind w:left="0" w:right="26"/>
        <w:rPr>
          <w:rFonts w:ascii="Verdana" w:hAnsi="Verdana"/>
          <w:szCs w:val="22"/>
        </w:rPr>
      </w:pPr>
    </w:p>
    <w:p w:rsidR="00B3089E" w:rsidRPr="006928B9" w:rsidRDefault="00A01104" w:rsidP="00A05CB7">
      <w:pPr>
        <w:pStyle w:val="NormalIndent"/>
        <w:widowControl w:val="0"/>
        <w:spacing w:before="0" w:after="0"/>
        <w:ind w:left="0" w:right="26"/>
        <w:rPr>
          <w:rFonts w:ascii="Verdana" w:hAnsi="Verdana"/>
          <w:szCs w:val="22"/>
        </w:rPr>
      </w:pPr>
      <w:r w:rsidRPr="006928B9">
        <w:rPr>
          <w:rFonts w:ascii="Verdana" w:hAnsi="Verdana"/>
          <w:szCs w:val="22"/>
        </w:rPr>
        <w:t>Second there is the "operational duty" - in "well-defined circumstances" the state should take "appropriate steps" to safeguard the lives of those within its jurisdiction including a positive obligation to take "preventative operational measures" to protect an individual whose life is at risk from the criminal acts of another.</w:t>
      </w:r>
      <w:r w:rsidRPr="006928B9">
        <w:rPr>
          <w:rStyle w:val="FootnoteReference"/>
          <w:rFonts w:ascii="Verdana" w:hAnsi="Verdana"/>
          <w:szCs w:val="22"/>
        </w:rPr>
        <w:footnoteReference w:id="26"/>
      </w:r>
      <w:r w:rsidRPr="006928B9">
        <w:rPr>
          <w:rFonts w:ascii="Verdana" w:hAnsi="Verdana"/>
          <w:szCs w:val="22"/>
        </w:rPr>
        <w:t xml:space="preserve"> </w:t>
      </w:r>
      <w:r w:rsidR="00220590" w:rsidRPr="006928B9">
        <w:rPr>
          <w:rFonts w:ascii="Verdana" w:hAnsi="Verdana"/>
          <w:szCs w:val="22"/>
        </w:rPr>
        <w:t xml:space="preserve"> T</w:t>
      </w:r>
      <w:r w:rsidRPr="006928B9">
        <w:rPr>
          <w:rFonts w:ascii="Verdana" w:hAnsi="Verdana"/>
          <w:szCs w:val="22"/>
        </w:rPr>
        <w:t>he positive obligation must be interpreted "in a way which does not impose an impossible or disproportionate burden on the authorities".</w:t>
      </w:r>
      <w:r w:rsidR="00220590" w:rsidRPr="006928B9">
        <w:rPr>
          <w:rStyle w:val="FootnoteReference"/>
          <w:rFonts w:ascii="Verdana" w:hAnsi="Verdana"/>
          <w:szCs w:val="22"/>
        </w:rPr>
        <w:footnoteReference w:id="27"/>
      </w:r>
      <w:r w:rsidRPr="006928B9">
        <w:rPr>
          <w:rFonts w:ascii="Verdana" w:hAnsi="Verdana"/>
          <w:szCs w:val="22"/>
        </w:rPr>
        <w:t xml:space="preserve"> </w:t>
      </w:r>
      <w:r w:rsidR="00220590" w:rsidRPr="006928B9">
        <w:rPr>
          <w:rFonts w:ascii="Verdana" w:hAnsi="Verdana"/>
          <w:szCs w:val="22"/>
        </w:rPr>
        <w:t xml:space="preserve"> The Supreme Court has recently analysed the circumstances in which this duty will apply</w:t>
      </w:r>
      <w:r w:rsidR="007E40D5" w:rsidRPr="006928B9">
        <w:rPr>
          <w:rFonts w:ascii="Verdana" w:hAnsi="Verdana"/>
          <w:szCs w:val="22"/>
        </w:rPr>
        <w:t xml:space="preserve"> in a case concerning a person subject to voluntary admission to a mental hospital</w:t>
      </w:r>
      <w:r w:rsidR="004C5D35" w:rsidRPr="006928B9">
        <w:rPr>
          <w:rFonts w:ascii="Verdana" w:hAnsi="Verdana"/>
          <w:szCs w:val="22"/>
        </w:rPr>
        <w:t>.</w:t>
      </w:r>
      <w:r w:rsidR="00220590" w:rsidRPr="006928B9">
        <w:rPr>
          <w:rStyle w:val="FootnoteReference"/>
          <w:rFonts w:ascii="Verdana" w:hAnsi="Verdana"/>
          <w:szCs w:val="22"/>
        </w:rPr>
        <w:footnoteReference w:id="28"/>
      </w:r>
      <w:r w:rsidR="007E40D5" w:rsidRPr="006928B9">
        <w:rPr>
          <w:rFonts w:ascii="Verdana" w:hAnsi="Verdana"/>
          <w:szCs w:val="22"/>
        </w:rPr>
        <w:t xml:space="preserve"> </w:t>
      </w:r>
      <w:bookmarkStart w:id="3" w:name="para3"/>
    </w:p>
    <w:p w:rsidR="00B3089E" w:rsidRPr="006928B9" w:rsidRDefault="00B3089E" w:rsidP="005B473A">
      <w:pPr>
        <w:pStyle w:val="NormalIndent"/>
        <w:widowControl w:val="0"/>
        <w:spacing w:before="0" w:after="0"/>
        <w:ind w:left="0" w:right="26"/>
        <w:rPr>
          <w:rFonts w:ascii="Verdana" w:hAnsi="Verdana"/>
          <w:szCs w:val="22"/>
        </w:rPr>
      </w:pPr>
    </w:p>
    <w:p w:rsidR="005B473A" w:rsidRPr="006928B9" w:rsidRDefault="005B473A" w:rsidP="005B473A">
      <w:pPr>
        <w:pStyle w:val="NormalIndent"/>
        <w:widowControl w:val="0"/>
        <w:spacing w:before="0" w:after="0"/>
        <w:ind w:left="0" w:right="26"/>
        <w:rPr>
          <w:rFonts w:ascii="Verdana" w:hAnsi="Verdana"/>
          <w:szCs w:val="22"/>
        </w:rPr>
      </w:pPr>
      <w:r w:rsidRPr="006928B9">
        <w:rPr>
          <w:rFonts w:ascii="Verdana" w:hAnsi="Verdana"/>
          <w:szCs w:val="22"/>
        </w:rPr>
        <w:t xml:space="preserve">Third, </w:t>
      </w:r>
      <w:r w:rsidR="007E40D5" w:rsidRPr="006928B9">
        <w:rPr>
          <w:rFonts w:ascii="Verdana" w:hAnsi="Verdana"/>
          <w:szCs w:val="22"/>
        </w:rPr>
        <w:t xml:space="preserve">there is </w:t>
      </w:r>
      <w:r w:rsidRPr="006928B9">
        <w:rPr>
          <w:rFonts w:ascii="Verdana" w:hAnsi="Verdana"/>
          <w:szCs w:val="22"/>
        </w:rPr>
        <w:t>a procedural obligation to initiate an effective public investigation by an independent official body into any death occurring in circumstances in which it appears that one or other of the foregoing substantive obligations has been, or may have been, violated and it appears that agents of the state are, or may be, in some way implicated.</w:t>
      </w:r>
      <w:bookmarkEnd w:id="3"/>
      <w:r w:rsidRPr="006928B9">
        <w:rPr>
          <w:rStyle w:val="FootnoteReference"/>
          <w:rFonts w:ascii="Verdana" w:hAnsi="Verdana"/>
          <w:szCs w:val="22"/>
        </w:rPr>
        <w:footnoteReference w:id="29"/>
      </w:r>
    </w:p>
    <w:p w:rsidR="00904381" w:rsidRDefault="00904381" w:rsidP="005B473A">
      <w:pPr>
        <w:pStyle w:val="NormalIndent"/>
        <w:widowControl w:val="0"/>
        <w:spacing w:before="0" w:after="0"/>
        <w:ind w:left="0" w:right="26"/>
        <w:rPr>
          <w:rFonts w:ascii="Verdana" w:hAnsi="Verdana"/>
          <w:szCs w:val="22"/>
        </w:rPr>
      </w:pPr>
    </w:p>
    <w:p w:rsidR="00321BA6" w:rsidRPr="00321BA6" w:rsidRDefault="00321BA6" w:rsidP="005B473A">
      <w:pPr>
        <w:pStyle w:val="NormalIndent"/>
        <w:widowControl w:val="0"/>
        <w:spacing w:before="0" w:after="0"/>
        <w:ind w:left="0" w:right="26"/>
        <w:rPr>
          <w:rFonts w:ascii="Verdana" w:hAnsi="Verdana"/>
          <w:b/>
          <w:szCs w:val="22"/>
        </w:rPr>
      </w:pPr>
      <w:r w:rsidRPr="00321BA6">
        <w:rPr>
          <w:rFonts w:ascii="Verdana" w:hAnsi="Verdana"/>
          <w:b/>
          <w:szCs w:val="22"/>
        </w:rPr>
        <w:t>Article 3</w:t>
      </w:r>
    </w:p>
    <w:p w:rsidR="005B473A" w:rsidRPr="006928B9" w:rsidRDefault="00904381" w:rsidP="005B473A">
      <w:pPr>
        <w:pStyle w:val="NormalIndent"/>
        <w:widowControl w:val="0"/>
        <w:spacing w:before="0" w:after="0"/>
        <w:ind w:left="0" w:right="26"/>
        <w:rPr>
          <w:rFonts w:ascii="Verdana" w:hAnsi="Verdana"/>
          <w:szCs w:val="22"/>
        </w:rPr>
      </w:pPr>
      <w:r>
        <w:rPr>
          <w:rFonts w:ascii="Verdana" w:hAnsi="Verdana"/>
          <w:szCs w:val="22"/>
        </w:rPr>
        <w:t>Very s</w:t>
      </w:r>
      <w:r w:rsidR="00B3089E" w:rsidRPr="006928B9">
        <w:rPr>
          <w:rFonts w:ascii="Verdana" w:hAnsi="Verdana"/>
          <w:szCs w:val="22"/>
        </w:rPr>
        <w:t>imilar obligations have been recognised as arising under Article 3 of the Convention</w:t>
      </w:r>
      <w:r w:rsidR="00F00D88">
        <w:rPr>
          <w:rFonts w:ascii="Verdana" w:hAnsi="Verdana"/>
          <w:szCs w:val="22"/>
        </w:rPr>
        <w:t>.  For present purposes these do not require separate consideration</w:t>
      </w:r>
      <w:r w:rsidR="00B3089E" w:rsidRPr="006928B9">
        <w:rPr>
          <w:rFonts w:ascii="Verdana" w:hAnsi="Verdana"/>
          <w:szCs w:val="22"/>
        </w:rPr>
        <w:t xml:space="preserve">. </w:t>
      </w:r>
    </w:p>
    <w:p w:rsidR="00B3089E" w:rsidRPr="006928B9" w:rsidRDefault="00B3089E" w:rsidP="005B473A">
      <w:pPr>
        <w:pStyle w:val="NormalIndent"/>
        <w:widowControl w:val="0"/>
        <w:spacing w:before="0" w:after="0"/>
        <w:ind w:left="0" w:right="26"/>
        <w:rPr>
          <w:rFonts w:ascii="Verdana" w:hAnsi="Verdana"/>
          <w:szCs w:val="22"/>
        </w:rPr>
      </w:pPr>
    </w:p>
    <w:p w:rsidR="00321BA6" w:rsidRDefault="00F00D88" w:rsidP="005B473A">
      <w:pPr>
        <w:pStyle w:val="NormalIndent"/>
        <w:widowControl w:val="0"/>
        <w:spacing w:before="0" w:after="0"/>
        <w:ind w:left="0" w:right="26"/>
        <w:rPr>
          <w:rFonts w:ascii="Verdana" w:hAnsi="Verdana"/>
          <w:b/>
          <w:i/>
          <w:szCs w:val="22"/>
        </w:rPr>
      </w:pPr>
      <w:r w:rsidRPr="00321BA6">
        <w:rPr>
          <w:rFonts w:ascii="Verdana" w:hAnsi="Verdana"/>
          <w:b/>
          <w:szCs w:val="22"/>
        </w:rPr>
        <w:t>Article 4</w:t>
      </w:r>
      <w:r>
        <w:rPr>
          <w:rFonts w:ascii="Verdana" w:hAnsi="Verdana"/>
          <w:b/>
          <w:i/>
          <w:szCs w:val="22"/>
        </w:rPr>
        <w:t xml:space="preserve"> </w:t>
      </w:r>
    </w:p>
    <w:p w:rsidR="006C2F82" w:rsidRDefault="008C22BA" w:rsidP="005B473A">
      <w:pPr>
        <w:pStyle w:val="NormalIndent"/>
        <w:widowControl w:val="0"/>
        <w:spacing w:before="0" w:after="0"/>
        <w:ind w:left="0" w:right="26"/>
        <w:rPr>
          <w:rFonts w:ascii="Verdana" w:hAnsi="Verdana"/>
          <w:szCs w:val="22"/>
          <w:lang w:eastAsia="en-GB"/>
        </w:rPr>
      </w:pPr>
      <w:r w:rsidRPr="006928B9">
        <w:rPr>
          <w:rFonts w:ascii="Verdana" w:hAnsi="Verdana"/>
          <w:szCs w:val="22"/>
        </w:rPr>
        <w:t>More recently, analogous obligations have been recognised u</w:t>
      </w:r>
      <w:r w:rsidR="00B3089E" w:rsidRPr="006928B9">
        <w:rPr>
          <w:rFonts w:ascii="Verdana" w:hAnsi="Verdana"/>
          <w:szCs w:val="22"/>
        </w:rPr>
        <w:t>nd</w:t>
      </w:r>
      <w:r w:rsidRPr="006928B9">
        <w:rPr>
          <w:rFonts w:ascii="Verdana" w:hAnsi="Verdana"/>
          <w:szCs w:val="22"/>
        </w:rPr>
        <w:t>er Article 4 of the Convention.  T</w:t>
      </w:r>
      <w:r w:rsidR="00B3089E" w:rsidRPr="006928B9">
        <w:rPr>
          <w:rFonts w:ascii="Verdana" w:hAnsi="Verdana"/>
          <w:szCs w:val="22"/>
        </w:rPr>
        <w:t xml:space="preserve">here is a positive obligation </w:t>
      </w:r>
      <w:r w:rsidR="00B3089E" w:rsidRPr="006928B9">
        <w:rPr>
          <w:rFonts w:ascii="Verdana" w:hAnsi="Verdana"/>
          <w:szCs w:val="22"/>
          <w:lang w:eastAsia="en-GB"/>
        </w:rPr>
        <w:t>to penalise and prosecute effectively any act aimed at maintaining a person in a situation of slavery, servitude or forced or compulsory labour</w:t>
      </w:r>
      <w:r w:rsidR="00321BA6">
        <w:rPr>
          <w:rFonts w:ascii="Verdana" w:hAnsi="Verdana"/>
          <w:szCs w:val="22"/>
          <w:lang w:eastAsia="en-GB"/>
        </w:rPr>
        <w:t>.</w:t>
      </w:r>
      <w:r w:rsidR="00B3089E" w:rsidRPr="006928B9">
        <w:rPr>
          <w:rStyle w:val="FootnoteReference"/>
          <w:rFonts w:ascii="Verdana" w:hAnsi="Verdana"/>
          <w:szCs w:val="22"/>
          <w:lang w:eastAsia="en-GB"/>
        </w:rPr>
        <w:footnoteReference w:id="30"/>
      </w:r>
      <w:r w:rsidR="00B3089E" w:rsidRPr="006928B9">
        <w:rPr>
          <w:rFonts w:ascii="Verdana" w:hAnsi="Verdana"/>
          <w:szCs w:val="22"/>
          <w:lang w:eastAsia="en-GB"/>
        </w:rPr>
        <w:t xml:space="preserve"> </w:t>
      </w:r>
      <w:r w:rsidR="006C2F82">
        <w:rPr>
          <w:rFonts w:ascii="Verdana" w:hAnsi="Verdana"/>
          <w:szCs w:val="22"/>
          <w:lang w:eastAsia="en-GB"/>
        </w:rPr>
        <w:t xml:space="preserve"> </w:t>
      </w:r>
    </w:p>
    <w:p w:rsidR="006C2F82" w:rsidRDefault="006C2F82" w:rsidP="005B473A">
      <w:pPr>
        <w:pStyle w:val="NormalIndent"/>
        <w:widowControl w:val="0"/>
        <w:spacing w:before="0" w:after="0"/>
        <w:ind w:left="0" w:right="26"/>
        <w:rPr>
          <w:rFonts w:ascii="Verdana" w:hAnsi="Verdana"/>
          <w:szCs w:val="22"/>
          <w:lang w:eastAsia="en-GB"/>
        </w:rPr>
      </w:pPr>
    </w:p>
    <w:p w:rsidR="00B3089E" w:rsidRPr="006928B9" w:rsidRDefault="008C22BA" w:rsidP="005B473A">
      <w:pPr>
        <w:pStyle w:val="NormalIndent"/>
        <w:widowControl w:val="0"/>
        <w:spacing w:before="0" w:after="0"/>
        <w:ind w:left="0" w:right="26"/>
        <w:rPr>
          <w:rFonts w:ascii="Verdana" w:hAnsi="Verdana"/>
          <w:szCs w:val="22"/>
          <w:lang w:eastAsia="en-GB"/>
        </w:rPr>
      </w:pPr>
      <w:r w:rsidRPr="006928B9">
        <w:rPr>
          <w:rFonts w:ascii="Verdana" w:hAnsi="Verdana"/>
          <w:szCs w:val="22"/>
          <w:lang w:eastAsia="en-GB"/>
        </w:rPr>
        <w:t xml:space="preserve">Article 4 may require the state to take operation measures to protect victims or potential victims of human trafficking where the </w:t>
      </w:r>
    </w:p>
    <w:p w:rsidR="008C22BA" w:rsidRPr="006928B9" w:rsidRDefault="008C22BA" w:rsidP="008C22BA">
      <w:pPr>
        <w:pStyle w:val="NormalIndent"/>
        <w:widowControl w:val="0"/>
        <w:spacing w:before="0" w:after="0"/>
        <w:ind w:left="720" w:right="746"/>
        <w:rPr>
          <w:rFonts w:ascii="Verdana" w:hAnsi="Verdana"/>
          <w:szCs w:val="22"/>
        </w:rPr>
      </w:pPr>
      <w:r w:rsidRPr="006928B9">
        <w:rPr>
          <w:rFonts w:ascii="Verdana" w:hAnsi="Verdana"/>
          <w:szCs w:val="22"/>
          <w:lang w:eastAsia="en-GB"/>
        </w:rPr>
        <w:t>“</w:t>
      </w:r>
      <w:proofErr w:type="gramStart"/>
      <w:r w:rsidRPr="006928B9">
        <w:rPr>
          <w:rFonts w:ascii="Verdana" w:hAnsi="Verdana"/>
          <w:szCs w:val="22"/>
          <w:lang w:eastAsia="en-GB"/>
        </w:rPr>
        <w:t>the</w:t>
      </w:r>
      <w:proofErr w:type="gramEnd"/>
      <w:r w:rsidRPr="006928B9">
        <w:rPr>
          <w:rFonts w:ascii="Verdana" w:hAnsi="Verdana"/>
          <w:szCs w:val="22"/>
          <w:lang w:eastAsia="en-GB"/>
        </w:rPr>
        <w:t xml:space="preserve"> State authorities were aware, or ought to have been aware, of </w:t>
      </w:r>
      <w:r w:rsidRPr="006928B9">
        <w:rPr>
          <w:rFonts w:ascii="Verdana" w:hAnsi="Verdana"/>
          <w:szCs w:val="22"/>
          <w:lang w:eastAsia="en-GB"/>
        </w:rPr>
        <w:lastRenderedPageBreak/>
        <w:t>circumstances giving rise to a credible suspicion that an identified individual had been, or was at real and immediate risk of being, trafficked”</w:t>
      </w:r>
      <w:r w:rsidRPr="006928B9">
        <w:rPr>
          <w:rStyle w:val="FootnoteReference"/>
          <w:rFonts w:ascii="Verdana" w:hAnsi="Verdana"/>
          <w:szCs w:val="22"/>
          <w:lang w:eastAsia="en-GB"/>
        </w:rPr>
        <w:footnoteReference w:id="31"/>
      </w:r>
    </w:p>
    <w:p w:rsidR="00B3089E" w:rsidRPr="006928B9" w:rsidRDefault="008C22BA" w:rsidP="006C2F82">
      <w:pPr>
        <w:pStyle w:val="NormalIndent"/>
        <w:widowControl w:val="0"/>
        <w:spacing w:before="0" w:after="0"/>
        <w:ind w:left="0" w:right="26"/>
        <w:rPr>
          <w:rFonts w:ascii="Verdana" w:hAnsi="Verdana"/>
          <w:szCs w:val="22"/>
        </w:rPr>
      </w:pPr>
      <w:r w:rsidRPr="006928B9">
        <w:rPr>
          <w:rFonts w:ascii="Verdana" w:hAnsi="Verdana"/>
          <w:szCs w:val="22"/>
        </w:rPr>
        <w:t>There is also a “procedural obligation” to investigate situations of potential trafficking.</w:t>
      </w:r>
      <w:r w:rsidRPr="006928B9">
        <w:rPr>
          <w:rStyle w:val="FootnoteReference"/>
          <w:rFonts w:ascii="Verdana" w:hAnsi="Verdana"/>
          <w:szCs w:val="22"/>
        </w:rPr>
        <w:footnoteReference w:id="32"/>
      </w:r>
    </w:p>
    <w:p w:rsidR="00E64D88" w:rsidRPr="00904381" w:rsidRDefault="00E64D88" w:rsidP="006C2F82">
      <w:pPr>
        <w:pStyle w:val="NormalWeb"/>
        <w:spacing w:before="0" w:beforeAutospacing="0" w:after="0" w:afterAutospacing="0"/>
        <w:jc w:val="both"/>
        <w:rPr>
          <w:rFonts w:ascii="Verdana" w:hAnsi="Verdana"/>
          <w:sz w:val="22"/>
          <w:szCs w:val="22"/>
        </w:rPr>
      </w:pPr>
    </w:p>
    <w:p w:rsidR="006C2F82" w:rsidRDefault="00F00D88" w:rsidP="006C2F82">
      <w:pPr>
        <w:pStyle w:val="NormalWeb"/>
        <w:spacing w:before="0" w:beforeAutospacing="0" w:after="0" w:afterAutospacing="0"/>
        <w:jc w:val="both"/>
        <w:rPr>
          <w:rFonts w:ascii="Verdana" w:hAnsi="Verdana"/>
          <w:b/>
          <w:bCs/>
          <w:sz w:val="22"/>
          <w:szCs w:val="22"/>
        </w:rPr>
      </w:pPr>
      <w:r w:rsidRPr="006C2F82">
        <w:rPr>
          <w:rFonts w:ascii="Verdana" w:hAnsi="Verdana"/>
          <w:b/>
          <w:bCs/>
          <w:sz w:val="22"/>
          <w:szCs w:val="22"/>
        </w:rPr>
        <w:t>Article 5</w:t>
      </w:r>
    </w:p>
    <w:p w:rsidR="008C22BA" w:rsidRPr="006C2F82" w:rsidRDefault="00F00D88" w:rsidP="006C2F82">
      <w:pPr>
        <w:pStyle w:val="NormalWeb"/>
        <w:spacing w:before="0" w:beforeAutospacing="0" w:after="0" w:afterAutospacing="0"/>
        <w:jc w:val="both"/>
        <w:rPr>
          <w:rFonts w:ascii="Verdana" w:hAnsi="Verdana"/>
          <w:sz w:val="22"/>
          <w:szCs w:val="22"/>
        </w:rPr>
      </w:pPr>
      <w:r>
        <w:rPr>
          <w:rFonts w:ascii="Verdana" w:hAnsi="Verdana"/>
          <w:bCs/>
          <w:sz w:val="22"/>
          <w:szCs w:val="22"/>
        </w:rPr>
        <w:t>The court has recognised an implied</w:t>
      </w:r>
      <w:r w:rsidR="00E64D88" w:rsidRPr="006928B9">
        <w:rPr>
          <w:rFonts w:ascii="Verdana" w:hAnsi="Verdana"/>
          <w:bCs/>
          <w:sz w:val="22"/>
          <w:szCs w:val="22"/>
        </w:rPr>
        <w:t xml:space="preserve"> positive obligation </w:t>
      </w:r>
      <w:r>
        <w:rPr>
          <w:rFonts w:ascii="Verdana" w:hAnsi="Verdana"/>
          <w:bCs/>
          <w:sz w:val="22"/>
          <w:szCs w:val="22"/>
        </w:rPr>
        <w:t xml:space="preserve">under Article 5 </w:t>
      </w:r>
      <w:r w:rsidR="00E64D88" w:rsidRPr="006928B9">
        <w:rPr>
          <w:rFonts w:ascii="Verdana" w:hAnsi="Verdana"/>
          <w:bCs/>
          <w:sz w:val="22"/>
          <w:szCs w:val="22"/>
        </w:rPr>
        <w:t xml:space="preserve">to take appropriate measures to protect the liberty of persons, in particular, </w:t>
      </w:r>
      <w:r w:rsidR="00E64D88" w:rsidRPr="006928B9">
        <w:rPr>
          <w:rFonts w:ascii="Verdana" w:hAnsi="Verdana"/>
          <w:sz w:val="22"/>
          <w:szCs w:val="22"/>
        </w:rPr>
        <w:t xml:space="preserve">providing effective protection of vulnerable persons, including reasonable steps to prevent </w:t>
      </w:r>
      <w:r w:rsidR="00E64D88" w:rsidRPr="006C2F82">
        <w:rPr>
          <w:rFonts w:ascii="Verdana" w:hAnsi="Verdana"/>
          <w:sz w:val="22"/>
          <w:szCs w:val="22"/>
        </w:rPr>
        <w:t>a deprivation of liberty of which the authorities have or ought to have knowledge.</w:t>
      </w:r>
      <w:r w:rsidR="00E64D88" w:rsidRPr="006C2F82">
        <w:rPr>
          <w:rStyle w:val="FootnoteReference"/>
          <w:rFonts w:ascii="Verdana" w:hAnsi="Verdana"/>
          <w:sz w:val="22"/>
          <w:szCs w:val="22"/>
        </w:rPr>
        <w:footnoteReference w:id="33"/>
      </w:r>
    </w:p>
    <w:p w:rsidR="00790253" w:rsidRPr="006C2F82" w:rsidRDefault="00790253" w:rsidP="006C2F82">
      <w:pPr>
        <w:pStyle w:val="NormalWeb"/>
        <w:spacing w:before="0" w:beforeAutospacing="0" w:after="0" w:afterAutospacing="0"/>
        <w:jc w:val="both"/>
        <w:rPr>
          <w:rFonts w:ascii="Verdana" w:hAnsi="Verdana"/>
          <w:sz w:val="22"/>
          <w:szCs w:val="22"/>
        </w:rPr>
      </w:pPr>
    </w:p>
    <w:p w:rsidR="006C2F82" w:rsidRPr="006C2F82" w:rsidRDefault="00F00D88" w:rsidP="006C2F82">
      <w:pPr>
        <w:pStyle w:val="NormalWeb"/>
        <w:spacing w:before="0" w:beforeAutospacing="0" w:after="0" w:afterAutospacing="0"/>
        <w:jc w:val="both"/>
        <w:rPr>
          <w:rFonts w:ascii="Verdana" w:hAnsi="Verdana"/>
          <w:b/>
          <w:i/>
          <w:sz w:val="22"/>
          <w:szCs w:val="22"/>
        </w:rPr>
      </w:pPr>
      <w:r w:rsidRPr="006C2F82">
        <w:rPr>
          <w:rFonts w:ascii="Verdana" w:hAnsi="Verdana"/>
          <w:b/>
          <w:sz w:val="22"/>
          <w:szCs w:val="22"/>
        </w:rPr>
        <w:t>Article 6</w:t>
      </w:r>
      <w:r w:rsidRPr="006C2F82">
        <w:rPr>
          <w:rFonts w:ascii="Verdana" w:hAnsi="Verdana"/>
          <w:b/>
          <w:i/>
          <w:sz w:val="22"/>
          <w:szCs w:val="22"/>
        </w:rPr>
        <w:t xml:space="preserve"> </w:t>
      </w:r>
    </w:p>
    <w:p w:rsidR="00790253" w:rsidRPr="006C2F82" w:rsidRDefault="00790253" w:rsidP="006C2F82">
      <w:pPr>
        <w:pStyle w:val="NormalWeb"/>
        <w:spacing w:before="0" w:beforeAutospacing="0" w:after="0" w:afterAutospacing="0"/>
        <w:jc w:val="both"/>
        <w:rPr>
          <w:rFonts w:ascii="Verdana" w:hAnsi="Verdana"/>
          <w:sz w:val="22"/>
          <w:szCs w:val="22"/>
        </w:rPr>
      </w:pPr>
      <w:r w:rsidRPr="006C2F82">
        <w:rPr>
          <w:rFonts w:ascii="Verdana" w:hAnsi="Verdana"/>
          <w:sz w:val="22"/>
          <w:szCs w:val="22"/>
        </w:rPr>
        <w:t>Under Article 6 to provide, in certain circumstances, civil legal aid in order to ensure effective access to court.</w:t>
      </w:r>
      <w:r w:rsidRPr="006C2F82">
        <w:rPr>
          <w:rStyle w:val="FootnoteReference"/>
          <w:rFonts w:ascii="Verdana" w:hAnsi="Verdana"/>
          <w:sz w:val="22"/>
          <w:szCs w:val="22"/>
        </w:rPr>
        <w:footnoteReference w:id="34"/>
      </w:r>
      <w:r w:rsidR="00F00D88" w:rsidRPr="006C2F82">
        <w:rPr>
          <w:rFonts w:ascii="Verdana" w:hAnsi="Verdana"/>
          <w:sz w:val="22"/>
          <w:szCs w:val="22"/>
        </w:rPr>
        <w:t xml:space="preserve">  The State also </w:t>
      </w:r>
      <w:r w:rsidR="00F00D88" w:rsidRPr="006C2F82">
        <w:rPr>
          <w:rStyle w:val="sb8d990e2"/>
          <w:rFonts w:ascii="Verdana" w:hAnsi="Verdana"/>
          <w:sz w:val="22"/>
          <w:szCs w:val="22"/>
        </w:rPr>
        <w:t xml:space="preserve">has a </w:t>
      </w:r>
      <w:r w:rsidR="00F00D88" w:rsidRPr="006C2F82">
        <w:rPr>
          <w:rStyle w:val="wordhighlighted"/>
          <w:rFonts w:ascii="Verdana" w:hAnsi="Verdana"/>
          <w:sz w:val="22"/>
          <w:szCs w:val="22"/>
        </w:rPr>
        <w:t>positive obligation</w:t>
      </w:r>
      <w:r w:rsidR="00F00D88" w:rsidRPr="006C2F82">
        <w:rPr>
          <w:rStyle w:val="sb8d990e2"/>
          <w:rFonts w:ascii="Verdana" w:hAnsi="Verdana"/>
          <w:sz w:val="22"/>
          <w:szCs w:val="22"/>
        </w:rPr>
        <w:t xml:space="preserve"> to organise a system for enforcement of judgments that is effective both in law and in practice and ensures their enforcement without undue delay.</w:t>
      </w:r>
      <w:r w:rsidR="00F00D88" w:rsidRPr="006C2F82">
        <w:rPr>
          <w:rStyle w:val="FootnoteReference"/>
          <w:rFonts w:ascii="Verdana" w:hAnsi="Verdana"/>
          <w:sz w:val="22"/>
          <w:szCs w:val="22"/>
        </w:rPr>
        <w:footnoteReference w:id="35"/>
      </w:r>
    </w:p>
    <w:p w:rsidR="008C22BA" w:rsidRPr="006C2F82" w:rsidRDefault="008C22BA" w:rsidP="006C2F82">
      <w:pPr>
        <w:pStyle w:val="NormalWeb"/>
        <w:spacing w:before="0" w:beforeAutospacing="0" w:after="0" w:afterAutospacing="0"/>
        <w:jc w:val="both"/>
        <w:rPr>
          <w:rFonts w:ascii="Verdana" w:hAnsi="Verdana"/>
          <w:sz w:val="22"/>
          <w:szCs w:val="22"/>
        </w:rPr>
      </w:pPr>
    </w:p>
    <w:p w:rsidR="006C2F82" w:rsidRPr="006C2F82" w:rsidRDefault="00F00D88" w:rsidP="006C2F82">
      <w:pPr>
        <w:pStyle w:val="NormalWeb"/>
        <w:spacing w:before="0" w:beforeAutospacing="0" w:after="0" w:afterAutospacing="0"/>
        <w:jc w:val="both"/>
        <w:rPr>
          <w:rFonts w:ascii="Verdana" w:hAnsi="Verdana"/>
          <w:b/>
          <w:bCs/>
          <w:sz w:val="22"/>
          <w:szCs w:val="22"/>
        </w:rPr>
      </w:pPr>
      <w:r w:rsidRPr="006C2F82">
        <w:rPr>
          <w:rFonts w:ascii="Verdana" w:hAnsi="Verdana"/>
          <w:b/>
          <w:bCs/>
          <w:sz w:val="22"/>
          <w:szCs w:val="22"/>
        </w:rPr>
        <w:t>Article 8</w:t>
      </w:r>
    </w:p>
    <w:p w:rsidR="00664495" w:rsidRPr="006C2F82" w:rsidRDefault="008C22BA" w:rsidP="006C2F82">
      <w:pPr>
        <w:pStyle w:val="NormalWeb"/>
        <w:spacing w:before="0" w:beforeAutospacing="0" w:after="0" w:afterAutospacing="0"/>
        <w:jc w:val="both"/>
        <w:rPr>
          <w:rFonts w:ascii="Verdana" w:hAnsi="Verdana"/>
          <w:bCs/>
          <w:sz w:val="22"/>
          <w:szCs w:val="22"/>
        </w:rPr>
      </w:pPr>
      <w:r w:rsidRPr="006C2F82">
        <w:rPr>
          <w:rFonts w:ascii="Verdana" w:hAnsi="Verdana"/>
          <w:bCs/>
          <w:sz w:val="22"/>
          <w:szCs w:val="22"/>
        </w:rPr>
        <w:t>The widest range of positive obligations ha</w:t>
      </w:r>
      <w:r w:rsidR="008D15CD" w:rsidRPr="006C2F82">
        <w:rPr>
          <w:rFonts w:ascii="Verdana" w:hAnsi="Verdana"/>
          <w:bCs/>
          <w:sz w:val="22"/>
          <w:szCs w:val="22"/>
        </w:rPr>
        <w:t xml:space="preserve">s </w:t>
      </w:r>
      <w:r w:rsidRPr="006C2F82">
        <w:rPr>
          <w:rFonts w:ascii="Verdana" w:hAnsi="Verdana"/>
          <w:bCs/>
          <w:sz w:val="22"/>
          <w:szCs w:val="22"/>
        </w:rPr>
        <w:t>been recognised under Article 8.  These include</w:t>
      </w:r>
      <w:r w:rsidR="00790253" w:rsidRPr="006C2F82">
        <w:rPr>
          <w:rFonts w:ascii="Verdana" w:hAnsi="Verdana"/>
          <w:bCs/>
          <w:sz w:val="22"/>
          <w:szCs w:val="22"/>
        </w:rPr>
        <w:t xml:space="preserve"> obligations to</w:t>
      </w:r>
      <w:r w:rsidR="00664495" w:rsidRPr="006C2F82">
        <w:rPr>
          <w:rFonts w:ascii="Verdana" w:hAnsi="Verdana"/>
          <w:bCs/>
          <w:sz w:val="22"/>
          <w:szCs w:val="22"/>
        </w:rPr>
        <w:t>:</w:t>
      </w:r>
    </w:p>
    <w:p w:rsidR="00664495" w:rsidRPr="006C2F82" w:rsidRDefault="00664495" w:rsidP="006C2F82">
      <w:pPr>
        <w:pStyle w:val="NormalWeb"/>
        <w:numPr>
          <w:ilvl w:val="0"/>
          <w:numId w:val="3"/>
        </w:numPr>
        <w:spacing w:before="0" w:beforeAutospacing="0" w:after="0" w:afterAutospacing="0"/>
        <w:ind w:left="720" w:hanging="720"/>
        <w:jc w:val="both"/>
        <w:rPr>
          <w:rFonts w:ascii="Verdana" w:hAnsi="Verdana"/>
          <w:sz w:val="22"/>
          <w:szCs w:val="22"/>
        </w:rPr>
      </w:pPr>
      <w:r w:rsidRPr="006C2F82">
        <w:rPr>
          <w:rFonts w:ascii="Verdana" w:hAnsi="Verdana"/>
          <w:sz w:val="22"/>
          <w:szCs w:val="22"/>
        </w:rPr>
        <w:t>To provide information – including personal and environmental information;</w:t>
      </w:r>
    </w:p>
    <w:p w:rsidR="005B473A" w:rsidRPr="006928B9" w:rsidRDefault="00790253" w:rsidP="002A229B">
      <w:pPr>
        <w:pStyle w:val="NormalWeb"/>
        <w:numPr>
          <w:ilvl w:val="0"/>
          <w:numId w:val="3"/>
        </w:numPr>
        <w:spacing w:before="0" w:beforeAutospacing="0" w:after="0" w:afterAutospacing="0"/>
        <w:ind w:left="720" w:hanging="720"/>
        <w:rPr>
          <w:rFonts w:ascii="Verdana" w:hAnsi="Verdana"/>
          <w:sz w:val="22"/>
          <w:szCs w:val="22"/>
        </w:rPr>
      </w:pPr>
      <w:r w:rsidRPr="006928B9">
        <w:rPr>
          <w:rFonts w:ascii="Verdana" w:hAnsi="Verdana"/>
          <w:sz w:val="22"/>
          <w:szCs w:val="22"/>
        </w:rPr>
        <w:t xml:space="preserve">Establish the </w:t>
      </w:r>
      <w:r w:rsidR="00DF02B7" w:rsidRPr="006928B9">
        <w:rPr>
          <w:rFonts w:ascii="Verdana" w:hAnsi="Verdana"/>
          <w:sz w:val="22"/>
          <w:szCs w:val="22"/>
        </w:rPr>
        <w:t xml:space="preserve">legal recognition of transsexuals – a positive obligation which was only recognised by the Grand Chamber after four unsuccessful </w:t>
      </w:r>
      <w:r w:rsidR="00E9729C" w:rsidRPr="006928B9">
        <w:rPr>
          <w:rFonts w:ascii="Verdana" w:hAnsi="Verdana"/>
          <w:sz w:val="22"/>
          <w:szCs w:val="22"/>
        </w:rPr>
        <w:t>applications</w:t>
      </w:r>
      <w:r w:rsidR="00DF02B7" w:rsidRPr="006928B9">
        <w:rPr>
          <w:rFonts w:ascii="Verdana" w:hAnsi="Verdana"/>
          <w:sz w:val="22"/>
          <w:szCs w:val="22"/>
        </w:rPr>
        <w:t xml:space="preserve"> against the United Kingdom.</w:t>
      </w:r>
      <w:r w:rsidR="00DF02B7" w:rsidRPr="006928B9">
        <w:rPr>
          <w:rStyle w:val="FootnoteReference"/>
          <w:rFonts w:ascii="Verdana" w:hAnsi="Verdana"/>
          <w:sz w:val="22"/>
          <w:szCs w:val="22"/>
        </w:rPr>
        <w:footnoteReference w:id="36"/>
      </w:r>
    </w:p>
    <w:p w:rsidR="00DF02B7" w:rsidRPr="006928B9" w:rsidRDefault="00790253" w:rsidP="002A229B">
      <w:pPr>
        <w:pStyle w:val="NormalWeb"/>
        <w:numPr>
          <w:ilvl w:val="0"/>
          <w:numId w:val="3"/>
        </w:numPr>
        <w:spacing w:before="0" w:beforeAutospacing="0" w:after="0" w:afterAutospacing="0"/>
        <w:ind w:left="720" w:hanging="720"/>
        <w:rPr>
          <w:rFonts w:ascii="Verdana" w:hAnsi="Verdana"/>
          <w:sz w:val="22"/>
          <w:szCs w:val="22"/>
        </w:rPr>
      </w:pPr>
      <w:r w:rsidRPr="006928B9">
        <w:rPr>
          <w:rFonts w:ascii="Verdana" w:hAnsi="Verdana"/>
          <w:sz w:val="22"/>
          <w:szCs w:val="22"/>
        </w:rPr>
        <w:t xml:space="preserve">To </w:t>
      </w:r>
      <w:r w:rsidR="00DF02B7" w:rsidRPr="006928B9">
        <w:rPr>
          <w:rFonts w:ascii="Verdana" w:hAnsi="Verdana"/>
          <w:sz w:val="22"/>
          <w:szCs w:val="22"/>
        </w:rPr>
        <w:t>recognise an individual’s choice of name.</w:t>
      </w:r>
      <w:r w:rsidR="00DF02B7" w:rsidRPr="006928B9">
        <w:rPr>
          <w:rStyle w:val="FootnoteReference"/>
          <w:rFonts w:ascii="Verdana" w:hAnsi="Verdana"/>
          <w:sz w:val="22"/>
          <w:szCs w:val="22"/>
        </w:rPr>
        <w:footnoteReference w:id="37"/>
      </w:r>
    </w:p>
    <w:p w:rsidR="002A229B" w:rsidRPr="006928B9" w:rsidRDefault="002A229B" w:rsidP="002A229B">
      <w:pPr>
        <w:pStyle w:val="NormalWeb"/>
        <w:numPr>
          <w:ilvl w:val="0"/>
          <w:numId w:val="3"/>
        </w:numPr>
        <w:spacing w:before="0" w:beforeAutospacing="0" w:after="0" w:afterAutospacing="0"/>
        <w:ind w:left="720" w:hanging="720"/>
        <w:rPr>
          <w:rFonts w:ascii="Verdana" w:hAnsi="Verdana"/>
          <w:sz w:val="22"/>
          <w:szCs w:val="22"/>
        </w:rPr>
      </w:pPr>
      <w:r w:rsidRPr="006928B9">
        <w:rPr>
          <w:rFonts w:ascii="Verdana" w:hAnsi="Verdana"/>
          <w:sz w:val="22"/>
          <w:szCs w:val="22"/>
        </w:rPr>
        <w:t>To establish legal mechanisms to enable a prompt determination of paternity.</w:t>
      </w:r>
      <w:r w:rsidRPr="006928B9">
        <w:rPr>
          <w:rStyle w:val="FootnoteReference"/>
          <w:rFonts w:ascii="Verdana" w:hAnsi="Verdana"/>
          <w:sz w:val="22"/>
          <w:szCs w:val="22"/>
        </w:rPr>
        <w:footnoteReference w:id="38"/>
      </w:r>
    </w:p>
    <w:p w:rsidR="002A229B" w:rsidRPr="006928B9" w:rsidRDefault="00790253" w:rsidP="002A229B">
      <w:pPr>
        <w:pStyle w:val="NormalWeb"/>
        <w:numPr>
          <w:ilvl w:val="0"/>
          <w:numId w:val="3"/>
        </w:numPr>
        <w:spacing w:before="0" w:beforeAutospacing="0" w:after="0" w:afterAutospacing="0"/>
        <w:ind w:left="720" w:hanging="720"/>
        <w:rPr>
          <w:rFonts w:ascii="Verdana" w:hAnsi="Verdana"/>
          <w:sz w:val="22"/>
          <w:szCs w:val="22"/>
        </w:rPr>
      </w:pPr>
      <w:r w:rsidRPr="006928B9">
        <w:rPr>
          <w:rFonts w:ascii="Verdana" w:hAnsi="Verdana"/>
          <w:sz w:val="22"/>
          <w:szCs w:val="22"/>
        </w:rPr>
        <w:t>Of a</w:t>
      </w:r>
      <w:r w:rsidR="002A229B" w:rsidRPr="006928B9">
        <w:rPr>
          <w:rFonts w:ascii="Verdana" w:hAnsi="Verdana"/>
          <w:sz w:val="22"/>
          <w:szCs w:val="22"/>
        </w:rPr>
        <w:t>ccess to environmental information</w:t>
      </w:r>
      <w:r w:rsidR="002A229B" w:rsidRPr="006928B9">
        <w:rPr>
          <w:rStyle w:val="FootnoteReference"/>
          <w:rFonts w:ascii="Verdana" w:hAnsi="Verdana"/>
          <w:sz w:val="22"/>
          <w:szCs w:val="22"/>
        </w:rPr>
        <w:footnoteReference w:id="39"/>
      </w:r>
      <w:r w:rsidR="002A229B" w:rsidRPr="006928B9">
        <w:rPr>
          <w:rFonts w:ascii="Verdana" w:hAnsi="Verdana"/>
          <w:sz w:val="22"/>
          <w:szCs w:val="22"/>
        </w:rPr>
        <w:t xml:space="preserve"> or information about hazardous activities.</w:t>
      </w:r>
      <w:r w:rsidR="002A229B" w:rsidRPr="006928B9">
        <w:rPr>
          <w:rStyle w:val="FootnoteReference"/>
          <w:rFonts w:ascii="Verdana" w:hAnsi="Verdana"/>
          <w:sz w:val="22"/>
          <w:szCs w:val="22"/>
        </w:rPr>
        <w:footnoteReference w:id="40"/>
      </w:r>
    </w:p>
    <w:p w:rsidR="002A229B" w:rsidRPr="006928B9" w:rsidRDefault="002A229B" w:rsidP="002A229B">
      <w:pPr>
        <w:pStyle w:val="NormalWeb"/>
        <w:numPr>
          <w:ilvl w:val="0"/>
          <w:numId w:val="3"/>
        </w:numPr>
        <w:spacing w:before="0" w:beforeAutospacing="0" w:after="0" w:afterAutospacing="0"/>
        <w:ind w:left="720" w:hanging="720"/>
        <w:rPr>
          <w:rFonts w:ascii="Verdana" w:hAnsi="Verdana"/>
          <w:sz w:val="22"/>
          <w:szCs w:val="22"/>
        </w:rPr>
      </w:pPr>
      <w:r w:rsidRPr="006928B9">
        <w:rPr>
          <w:rFonts w:ascii="Verdana" w:hAnsi="Verdana"/>
          <w:sz w:val="22"/>
          <w:szCs w:val="22"/>
        </w:rPr>
        <w:t>T</w:t>
      </w:r>
      <w:r w:rsidR="00790253" w:rsidRPr="006928B9">
        <w:rPr>
          <w:rFonts w:ascii="Verdana" w:hAnsi="Verdana"/>
          <w:sz w:val="22"/>
          <w:szCs w:val="22"/>
        </w:rPr>
        <w:t xml:space="preserve">o provide </w:t>
      </w:r>
      <w:r w:rsidRPr="006928B9">
        <w:rPr>
          <w:rFonts w:ascii="Verdana" w:hAnsi="Verdana"/>
          <w:sz w:val="22"/>
          <w:szCs w:val="22"/>
        </w:rPr>
        <w:t>of housing to seriously ill individuals.</w:t>
      </w:r>
      <w:r w:rsidRPr="006928B9">
        <w:rPr>
          <w:rStyle w:val="FootnoteReference"/>
          <w:rFonts w:ascii="Verdana" w:hAnsi="Verdana"/>
          <w:sz w:val="22"/>
          <w:szCs w:val="22"/>
        </w:rPr>
        <w:footnoteReference w:id="41"/>
      </w:r>
    </w:p>
    <w:p w:rsidR="002A229B" w:rsidRPr="006928B9" w:rsidRDefault="002A229B" w:rsidP="002A229B">
      <w:pPr>
        <w:pStyle w:val="NormalWeb"/>
        <w:numPr>
          <w:ilvl w:val="0"/>
          <w:numId w:val="3"/>
        </w:numPr>
        <w:spacing w:before="0" w:beforeAutospacing="0" w:after="0" w:afterAutospacing="0"/>
        <w:ind w:left="720" w:hanging="720"/>
        <w:rPr>
          <w:rFonts w:ascii="Verdana" w:hAnsi="Verdana"/>
          <w:sz w:val="22"/>
          <w:szCs w:val="22"/>
        </w:rPr>
      </w:pPr>
      <w:r w:rsidRPr="006928B9">
        <w:rPr>
          <w:rFonts w:ascii="Verdana" w:hAnsi="Verdana"/>
          <w:sz w:val="22"/>
          <w:szCs w:val="22"/>
        </w:rPr>
        <w:lastRenderedPageBreak/>
        <w:t>To protect individuals against the effects of environmental pollution by private bodies.</w:t>
      </w:r>
      <w:r w:rsidRPr="006928B9">
        <w:rPr>
          <w:rStyle w:val="FootnoteReference"/>
          <w:rFonts w:ascii="Verdana" w:hAnsi="Verdana"/>
          <w:sz w:val="22"/>
          <w:szCs w:val="22"/>
        </w:rPr>
        <w:footnoteReference w:id="42"/>
      </w:r>
    </w:p>
    <w:p w:rsidR="002A229B" w:rsidRPr="006928B9" w:rsidRDefault="002A229B" w:rsidP="002A229B">
      <w:pPr>
        <w:pStyle w:val="NormalWeb"/>
        <w:numPr>
          <w:ilvl w:val="0"/>
          <w:numId w:val="3"/>
        </w:numPr>
        <w:spacing w:before="0" w:beforeAutospacing="0" w:after="0" w:afterAutospacing="0"/>
        <w:ind w:left="720" w:hanging="720"/>
        <w:rPr>
          <w:rFonts w:ascii="Verdana" w:hAnsi="Verdana"/>
          <w:sz w:val="22"/>
          <w:szCs w:val="22"/>
        </w:rPr>
      </w:pPr>
      <w:r w:rsidRPr="006928B9">
        <w:rPr>
          <w:rFonts w:ascii="Verdana" w:hAnsi="Verdana"/>
          <w:sz w:val="22"/>
          <w:szCs w:val="22"/>
        </w:rPr>
        <w:t>To protect individuals from media intrusion into their private lives.</w:t>
      </w:r>
      <w:r w:rsidRPr="006928B9">
        <w:rPr>
          <w:rStyle w:val="FootnoteReference"/>
          <w:rFonts w:ascii="Verdana" w:hAnsi="Verdana"/>
          <w:sz w:val="22"/>
          <w:szCs w:val="22"/>
        </w:rPr>
        <w:footnoteReference w:id="43"/>
      </w:r>
    </w:p>
    <w:p w:rsidR="002A229B" w:rsidRPr="006928B9" w:rsidRDefault="002A229B" w:rsidP="006C2F82">
      <w:pPr>
        <w:pStyle w:val="NormalWeb"/>
        <w:numPr>
          <w:ilvl w:val="0"/>
          <w:numId w:val="3"/>
        </w:numPr>
        <w:spacing w:before="0" w:beforeAutospacing="0" w:after="0" w:afterAutospacing="0"/>
        <w:ind w:left="720" w:hanging="720"/>
        <w:jc w:val="both"/>
        <w:rPr>
          <w:rFonts w:ascii="Verdana" w:hAnsi="Verdana"/>
          <w:sz w:val="22"/>
          <w:szCs w:val="22"/>
        </w:rPr>
      </w:pPr>
      <w:r w:rsidRPr="006928B9">
        <w:rPr>
          <w:rFonts w:ascii="Verdana" w:hAnsi="Verdana"/>
          <w:color w:val="000000"/>
          <w:sz w:val="22"/>
          <w:szCs w:val="22"/>
        </w:rPr>
        <w:t>To protect a person’s Article 8 right to reputation by taking appropriate measures against the publ</w:t>
      </w:r>
      <w:smartTag w:uri="urn:schemas-microsoft-com:office:smarttags" w:element="PersonName">
        <w:r w:rsidRPr="006928B9">
          <w:rPr>
            <w:rFonts w:ascii="Verdana" w:hAnsi="Verdana"/>
            <w:color w:val="000000"/>
            <w:sz w:val="22"/>
            <w:szCs w:val="22"/>
          </w:rPr>
          <w:t>is</w:t>
        </w:r>
      </w:smartTag>
      <w:r w:rsidRPr="006928B9">
        <w:rPr>
          <w:rFonts w:ascii="Verdana" w:hAnsi="Verdana"/>
          <w:color w:val="000000"/>
          <w:sz w:val="22"/>
          <w:szCs w:val="22"/>
        </w:rPr>
        <w:t>hers of defamatory material.</w:t>
      </w:r>
      <w:r w:rsidRPr="006928B9">
        <w:rPr>
          <w:rStyle w:val="FootnoteReference"/>
          <w:rFonts w:ascii="Verdana" w:hAnsi="Verdana"/>
          <w:color w:val="000000"/>
          <w:sz w:val="22"/>
          <w:szCs w:val="22"/>
        </w:rPr>
        <w:footnoteReference w:id="44"/>
      </w:r>
    </w:p>
    <w:p w:rsidR="00790253" w:rsidRPr="006928B9" w:rsidRDefault="00FF77D0" w:rsidP="006C2F82">
      <w:pPr>
        <w:pStyle w:val="NormalWeb"/>
        <w:numPr>
          <w:ilvl w:val="0"/>
          <w:numId w:val="3"/>
        </w:numPr>
        <w:spacing w:before="0" w:beforeAutospacing="0" w:after="0" w:afterAutospacing="0"/>
        <w:ind w:left="720" w:hanging="720"/>
        <w:jc w:val="both"/>
        <w:rPr>
          <w:rFonts w:ascii="Verdana" w:hAnsi="Verdana"/>
          <w:sz w:val="22"/>
          <w:szCs w:val="22"/>
        </w:rPr>
      </w:pPr>
      <w:r w:rsidRPr="006928B9">
        <w:rPr>
          <w:rFonts w:ascii="Verdana" w:hAnsi="Verdana"/>
          <w:sz w:val="22"/>
          <w:szCs w:val="22"/>
        </w:rPr>
        <w:t>To protect citizens from criminal acts by others.</w:t>
      </w:r>
      <w:r w:rsidRPr="006928B9">
        <w:rPr>
          <w:rStyle w:val="FootnoteReference"/>
          <w:rFonts w:ascii="Verdana" w:hAnsi="Verdana"/>
          <w:sz w:val="22"/>
          <w:szCs w:val="22"/>
        </w:rPr>
        <w:footnoteReference w:id="45"/>
      </w:r>
      <w:r w:rsidRPr="006928B9">
        <w:rPr>
          <w:rFonts w:ascii="Verdana" w:hAnsi="Verdana"/>
          <w:sz w:val="22"/>
          <w:szCs w:val="22"/>
        </w:rPr>
        <w:t xml:space="preserve"> </w:t>
      </w:r>
    </w:p>
    <w:p w:rsidR="00FF77D0" w:rsidRPr="006928B9" w:rsidRDefault="00790253" w:rsidP="006C2F82">
      <w:pPr>
        <w:pStyle w:val="NormalWeb"/>
        <w:numPr>
          <w:ilvl w:val="0"/>
          <w:numId w:val="3"/>
        </w:numPr>
        <w:spacing w:before="0" w:beforeAutospacing="0" w:after="0" w:afterAutospacing="0"/>
        <w:ind w:left="720" w:hanging="720"/>
        <w:jc w:val="both"/>
        <w:rPr>
          <w:rFonts w:ascii="Verdana" w:hAnsi="Verdana"/>
          <w:sz w:val="22"/>
          <w:szCs w:val="22"/>
        </w:rPr>
      </w:pPr>
      <w:r w:rsidRPr="006928B9">
        <w:rPr>
          <w:rFonts w:ascii="Verdana" w:hAnsi="Verdana"/>
          <w:sz w:val="22"/>
          <w:szCs w:val="22"/>
        </w:rPr>
        <w:t>To have a fair decision making process where an individual’s Article 8 rights are in issue.</w:t>
      </w:r>
      <w:r w:rsidRPr="006928B9">
        <w:rPr>
          <w:rStyle w:val="FootnoteReference"/>
          <w:rFonts w:ascii="Verdana" w:hAnsi="Verdana"/>
          <w:sz w:val="22"/>
          <w:szCs w:val="22"/>
        </w:rPr>
        <w:footnoteReference w:id="46"/>
      </w:r>
      <w:r w:rsidR="00FF77D0" w:rsidRPr="006928B9">
        <w:rPr>
          <w:rFonts w:ascii="Verdana" w:hAnsi="Verdana"/>
          <w:sz w:val="22"/>
          <w:szCs w:val="22"/>
        </w:rPr>
        <w:t xml:space="preserve"> </w:t>
      </w:r>
    </w:p>
    <w:p w:rsidR="00A01104" w:rsidRPr="006928B9" w:rsidRDefault="00A01104" w:rsidP="006C2F82">
      <w:pPr>
        <w:pStyle w:val="NormalIndent"/>
        <w:widowControl w:val="0"/>
        <w:spacing w:before="0" w:after="0"/>
        <w:ind w:left="0" w:right="26"/>
        <w:rPr>
          <w:rFonts w:ascii="Verdana" w:hAnsi="Verdana"/>
          <w:szCs w:val="22"/>
        </w:rPr>
      </w:pPr>
    </w:p>
    <w:p w:rsidR="006C2F82" w:rsidRPr="006C2F82" w:rsidRDefault="006C2F82" w:rsidP="006C2F82">
      <w:pPr>
        <w:pStyle w:val="NormalIndent"/>
        <w:widowControl w:val="0"/>
        <w:spacing w:before="0" w:after="0"/>
        <w:ind w:left="0" w:right="26"/>
        <w:rPr>
          <w:rFonts w:ascii="Verdana" w:hAnsi="Verdana"/>
          <w:b/>
          <w:szCs w:val="22"/>
        </w:rPr>
      </w:pPr>
      <w:r w:rsidRPr="006C2F82">
        <w:rPr>
          <w:rFonts w:ascii="Verdana" w:hAnsi="Verdana"/>
          <w:b/>
          <w:szCs w:val="22"/>
        </w:rPr>
        <w:t>Article 10</w:t>
      </w:r>
      <w:r w:rsidR="002719A7" w:rsidRPr="006C2F82">
        <w:rPr>
          <w:rFonts w:ascii="Verdana" w:hAnsi="Verdana"/>
          <w:b/>
          <w:szCs w:val="22"/>
        </w:rPr>
        <w:t xml:space="preserve"> </w:t>
      </w:r>
    </w:p>
    <w:p w:rsidR="0057527A" w:rsidRPr="006928B9" w:rsidRDefault="0057527A" w:rsidP="006C2F82">
      <w:pPr>
        <w:pStyle w:val="NormalIndent"/>
        <w:widowControl w:val="0"/>
        <w:spacing w:before="0" w:after="0"/>
        <w:ind w:left="0" w:right="26"/>
        <w:rPr>
          <w:rFonts w:ascii="Verdana" w:hAnsi="Verdana"/>
          <w:szCs w:val="22"/>
        </w:rPr>
      </w:pPr>
      <w:r w:rsidRPr="006928B9">
        <w:rPr>
          <w:rFonts w:ascii="Verdana" w:hAnsi="Verdana"/>
          <w:szCs w:val="22"/>
        </w:rPr>
        <w:t>Positive obligations under Article 10 have already been mentioned. The state has an obligation to protect the freedom of expression of the media.</w:t>
      </w:r>
      <w:r w:rsidRPr="006928B9">
        <w:rPr>
          <w:rStyle w:val="FootnoteReference"/>
          <w:rFonts w:ascii="Verdana" w:hAnsi="Verdana"/>
          <w:szCs w:val="22"/>
        </w:rPr>
        <w:footnoteReference w:id="47"/>
      </w:r>
      <w:r w:rsidR="00664495">
        <w:rPr>
          <w:rFonts w:ascii="Verdana" w:hAnsi="Verdana"/>
          <w:szCs w:val="22"/>
        </w:rPr>
        <w:t xml:space="preserve"> The Court has also recognised the existence of a positive obligation to safeguard freedom of expression from threats stemming from private persons.</w:t>
      </w:r>
      <w:r w:rsidR="00664495">
        <w:rPr>
          <w:rStyle w:val="FootnoteReference"/>
          <w:rFonts w:ascii="Verdana" w:hAnsi="Verdana"/>
          <w:szCs w:val="22"/>
        </w:rPr>
        <w:footnoteReference w:id="48"/>
      </w:r>
      <w:r w:rsidR="002719A7">
        <w:rPr>
          <w:rFonts w:ascii="Verdana" w:hAnsi="Verdana"/>
          <w:szCs w:val="22"/>
        </w:rPr>
        <w:t xml:space="preserve"> There is also a positive obligation to provide information in certain circumstances.</w:t>
      </w:r>
    </w:p>
    <w:p w:rsidR="0057527A" w:rsidRPr="006928B9" w:rsidRDefault="0057527A" w:rsidP="005B473A">
      <w:pPr>
        <w:pStyle w:val="NormalIndent"/>
        <w:widowControl w:val="0"/>
        <w:spacing w:before="0" w:after="0"/>
        <w:ind w:left="0" w:right="26"/>
        <w:rPr>
          <w:rFonts w:ascii="Verdana" w:hAnsi="Verdana"/>
          <w:szCs w:val="22"/>
        </w:rPr>
      </w:pPr>
    </w:p>
    <w:p w:rsidR="006C2F82" w:rsidRPr="006C2F82" w:rsidRDefault="004C5D35" w:rsidP="005B473A">
      <w:pPr>
        <w:pStyle w:val="NormalIndent"/>
        <w:widowControl w:val="0"/>
        <w:spacing w:before="0" w:after="0"/>
        <w:ind w:left="0" w:right="26"/>
        <w:rPr>
          <w:rFonts w:ascii="Verdana" w:hAnsi="Verdana"/>
          <w:szCs w:val="22"/>
        </w:rPr>
      </w:pPr>
      <w:r w:rsidRPr="006C2F82">
        <w:rPr>
          <w:rFonts w:ascii="Verdana" w:hAnsi="Verdana"/>
          <w:b/>
          <w:szCs w:val="22"/>
        </w:rPr>
        <w:t>Article 11</w:t>
      </w:r>
    </w:p>
    <w:p w:rsidR="004C5D35" w:rsidRPr="006928B9" w:rsidRDefault="00664495" w:rsidP="005B473A">
      <w:pPr>
        <w:pStyle w:val="NormalIndent"/>
        <w:widowControl w:val="0"/>
        <w:spacing w:before="0" w:after="0"/>
        <w:ind w:left="0" w:right="26"/>
        <w:rPr>
          <w:rFonts w:ascii="Verdana" w:hAnsi="Verdana"/>
          <w:szCs w:val="22"/>
        </w:rPr>
      </w:pPr>
      <w:r>
        <w:rPr>
          <w:rFonts w:ascii="Verdana" w:hAnsi="Verdana"/>
          <w:szCs w:val="22"/>
        </w:rPr>
        <w:t>The</w:t>
      </w:r>
      <w:r w:rsidR="006C2F82">
        <w:rPr>
          <w:rFonts w:ascii="Verdana" w:hAnsi="Verdana"/>
          <w:szCs w:val="22"/>
        </w:rPr>
        <w:t xml:space="preserve">re is </w:t>
      </w:r>
      <w:r>
        <w:rPr>
          <w:rFonts w:ascii="Verdana" w:hAnsi="Verdana"/>
          <w:szCs w:val="22"/>
        </w:rPr>
        <w:t xml:space="preserve">a positive obligation implied into Article 11 to protect freedom of assembly.  This will sometimes </w:t>
      </w:r>
      <w:r w:rsidR="004C5D35" w:rsidRPr="006928B9">
        <w:rPr>
          <w:rFonts w:ascii="Verdana" w:hAnsi="Verdana"/>
          <w:szCs w:val="22"/>
        </w:rPr>
        <w:t>require positive measures to be taken</w:t>
      </w:r>
      <w:r w:rsidR="004C5D35" w:rsidRPr="006928B9">
        <w:rPr>
          <w:rStyle w:val="FootnoteReference"/>
          <w:rFonts w:ascii="Verdana" w:hAnsi="Verdana"/>
          <w:szCs w:val="22"/>
        </w:rPr>
        <w:footnoteReference w:id="49"/>
      </w:r>
      <w:r w:rsidR="004C5D35" w:rsidRPr="006928B9">
        <w:rPr>
          <w:rFonts w:ascii="Verdana" w:hAnsi="Verdana"/>
          <w:szCs w:val="22"/>
        </w:rPr>
        <w:t xml:space="preserve"> </w:t>
      </w:r>
      <w:r w:rsidR="00A156B1" w:rsidRPr="006928B9">
        <w:rPr>
          <w:rFonts w:ascii="Verdana" w:hAnsi="Verdana"/>
          <w:szCs w:val="22"/>
        </w:rPr>
        <w:t>in order to protect a lawful demonstration against counter-demonstrations.</w:t>
      </w:r>
      <w:r w:rsidR="00A156B1" w:rsidRPr="006928B9">
        <w:rPr>
          <w:rStyle w:val="FootnoteReference"/>
          <w:rFonts w:ascii="Verdana" w:hAnsi="Verdana"/>
          <w:szCs w:val="22"/>
        </w:rPr>
        <w:footnoteReference w:id="50"/>
      </w:r>
    </w:p>
    <w:p w:rsidR="007349AE" w:rsidRPr="006928B9" w:rsidRDefault="007349AE" w:rsidP="00A678F1">
      <w:pPr>
        <w:pStyle w:val="NormalIndent"/>
        <w:widowControl w:val="0"/>
        <w:spacing w:before="0" w:after="0"/>
        <w:ind w:left="0" w:right="26"/>
        <w:rPr>
          <w:rFonts w:ascii="Verdana" w:hAnsi="Verdana"/>
          <w:szCs w:val="22"/>
        </w:rPr>
      </w:pPr>
    </w:p>
    <w:p w:rsidR="006C2F82" w:rsidRDefault="00664495" w:rsidP="00A678F1">
      <w:pPr>
        <w:pStyle w:val="NormalIndent"/>
        <w:widowControl w:val="0"/>
        <w:spacing w:before="0" w:after="0"/>
        <w:ind w:left="0" w:right="26"/>
        <w:rPr>
          <w:rStyle w:val="sb8d990e2"/>
          <w:rFonts w:ascii="Verdana" w:hAnsi="Verdana"/>
          <w:b/>
          <w:szCs w:val="22"/>
        </w:rPr>
      </w:pPr>
      <w:r w:rsidRPr="006C2F82">
        <w:rPr>
          <w:rStyle w:val="sb8d990e2"/>
          <w:rFonts w:ascii="Verdana" w:hAnsi="Verdana"/>
          <w:b/>
          <w:szCs w:val="22"/>
        </w:rPr>
        <w:t>Article 1, Protocol</w:t>
      </w:r>
      <w:r w:rsidRPr="00664495">
        <w:rPr>
          <w:rStyle w:val="sb8d990e2"/>
          <w:rFonts w:ascii="Verdana" w:hAnsi="Verdana"/>
          <w:b/>
          <w:i/>
          <w:szCs w:val="22"/>
        </w:rPr>
        <w:t xml:space="preserve"> </w:t>
      </w:r>
      <w:r w:rsidRPr="006C2F82">
        <w:rPr>
          <w:rStyle w:val="sb8d990e2"/>
          <w:rFonts w:ascii="Verdana" w:hAnsi="Verdana"/>
          <w:b/>
          <w:szCs w:val="22"/>
        </w:rPr>
        <w:t xml:space="preserve">1 </w:t>
      </w:r>
    </w:p>
    <w:p w:rsidR="0057527A" w:rsidRPr="006928B9" w:rsidRDefault="0057527A" w:rsidP="00A678F1">
      <w:pPr>
        <w:pStyle w:val="NormalIndent"/>
        <w:widowControl w:val="0"/>
        <w:spacing w:before="0" w:after="0"/>
        <w:ind w:left="0" w:right="26"/>
        <w:rPr>
          <w:rStyle w:val="sb8d990e2"/>
          <w:rFonts w:ascii="Verdana" w:hAnsi="Verdana"/>
          <w:szCs w:val="22"/>
        </w:rPr>
      </w:pPr>
      <w:r w:rsidRPr="006928B9">
        <w:rPr>
          <w:rStyle w:val="sb8d990e2"/>
          <w:rFonts w:ascii="Verdana" w:hAnsi="Verdana"/>
          <w:szCs w:val="22"/>
        </w:rPr>
        <w:t>There are positive obligations under</w:t>
      </w:r>
      <w:r w:rsidR="007349AE" w:rsidRPr="006928B9">
        <w:rPr>
          <w:rStyle w:val="sb8d990e2"/>
          <w:rFonts w:ascii="Verdana" w:hAnsi="Verdana"/>
          <w:szCs w:val="22"/>
        </w:rPr>
        <w:t xml:space="preserve"> Article 1 of Protocol No. 1, to take the measures necessary to</w:t>
      </w:r>
      <w:r w:rsidRPr="006928B9">
        <w:rPr>
          <w:rStyle w:val="sb8d990e2"/>
          <w:rFonts w:ascii="Verdana" w:hAnsi="Verdana"/>
          <w:szCs w:val="22"/>
        </w:rPr>
        <w:t xml:space="preserve"> protect the right of property,</w:t>
      </w:r>
      <w:r w:rsidRPr="006928B9">
        <w:rPr>
          <w:rStyle w:val="FootnoteReference"/>
          <w:rFonts w:ascii="Verdana" w:hAnsi="Verdana"/>
          <w:szCs w:val="22"/>
        </w:rPr>
        <w:footnoteReference w:id="51"/>
      </w:r>
      <w:r w:rsidRPr="006928B9">
        <w:rPr>
          <w:rStyle w:val="sb8d990e2"/>
          <w:rFonts w:ascii="Verdana" w:hAnsi="Verdana"/>
          <w:szCs w:val="22"/>
        </w:rPr>
        <w:t xml:space="preserve"> even in cases of litigation between private parties.  It has been said</w:t>
      </w:r>
      <w:r w:rsidR="00632410" w:rsidRPr="006928B9">
        <w:rPr>
          <w:rStyle w:val="sb8d990e2"/>
          <w:rFonts w:ascii="Verdana" w:hAnsi="Verdana"/>
          <w:szCs w:val="22"/>
        </w:rPr>
        <w:t xml:space="preserve">: </w:t>
      </w:r>
    </w:p>
    <w:p w:rsidR="0057527A" w:rsidRPr="0052337B" w:rsidRDefault="00632410" w:rsidP="0057527A">
      <w:pPr>
        <w:pStyle w:val="NormalIndent"/>
        <w:widowControl w:val="0"/>
        <w:spacing w:before="0" w:after="0"/>
        <w:ind w:left="720" w:right="746"/>
        <w:rPr>
          <w:rStyle w:val="sb8d990e2"/>
          <w:rFonts w:ascii="Verdana" w:hAnsi="Verdana"/>
          <w:szCs w:val="22"/>
        </w:rPr>
      </w:pPr>
      <w:r w:rsidRPr="006928B9">
        <w:rPr>
          <w:rStyle w:val="sb8d990e2"/>
          <w:rFonts w:ascii="Verdana" w:hAnsi="Verdana"/>
          <w:szCs w:val="22"/>
        </w:rPr>
        <w:t xml:space="preserve">“When an interference with the right to peaceful enjoyment of possessions is perpetrated by a private individual, a positive obligation arises for the State to ensure in its domestic legal system that property rights are sufficiently protected by law and that adequate remedies are provided whereby the victim of an interference can seek to vindicate his rights, including, where </w:t>
      </w:r>
      <w:r w:rsidRPr="0052337B">
        <w:rPr>
          <w:rStyle w:val="sb8d990e2"/>
          <w:rFonts w:ascii="Verdana" w:hAnsi="Verdana"/>
          <w:szCs w:val="22"/>
        </w:rPr>
        <w:t>appropriate, by claiming damages in respect of any loss sustained”.</w:t>
      </w:r>
      <w:r w:rsidR="0057527A" w:rsidRPr="0052337B">
        <w:rPr>
          <w:rStyle w:val="FootnoteReference"/>
          <w:rFonts w:ascii="Verdana" w:hAnsi="Verdana"/>
          <w:szCs w:val="22"/>
        </w:rPr>
        <w:footnoteReference w:id="52"/>
      </w:r>
      <w:r w:rsidRPr="0052337B">
        <w:rPr>
          <w:rStyle w:val="sb8d990e2"/>
          <w:rFonts w:ascii="Verdana" w:hAnsi="Verdana"/>
          <w:szCs w:val="22"/>
        </w:rPr>
        <w:t xml:space="preserve"> </w:t>
      </w:r>
    </w:p>
    <w:p w:rsidR="00FB5D4A" w:rsidRPr="0052337B" w:rsidRDefault="00FB5D4A" w:rsidP="0057527A">
      <w:pPr>
        <w:pStyle w:val="NormalIndent"/>
        <w:widowControl w:val="0"/>
        <w:spacing w:before="0" w:after="0"/>
        <w:ind w:left="720" w:right="746"/>
        <w:rPr>
          <w:rStyle w:val="sb8d990e2"/>
          <w:rFonts w:ascii="Verdana" w:hAnsi="Verdana"/>
          <w:szCs w:val="22"/>
        </w:rPr>
      </w:pPr>
    </w:p>
    <w:p w:rsidR="00FB5D4A" w:rsidRPr="0052337B" w:rsidRDefault="0052337B" w:rsidP="00FB5D4A">
      <w:pPr>
        <w:pStyle w:val="NormalIndent"/>
        <w:widowControl w:val="0"/>
        <w:spacing w:before="0" w:after="0"/>
        <w:ind w:left="720" w:right="26" w:hanging="720"/>
        <w:rPr>
          <w:rStyle w:val="sb8d990e2"/>
          <w:rFonts w:ascii="Verdana" w:hAnsi="Verdana"/>
          <w:b/>
          <w:szCs w:val="22"/>
        </w:rPr>
      </w:pPr>
      <w:r w:rsidRPr="0052337B">
        <w:rPr>
          <w:rStyle w:val="sb8d990e2"/>
          <w:rFonts w:ascii="Verdana" w:hAnsi="Verdana"/>
          <w:b/>
          <w:szCs w:val="22"/>
        </w:rPr>
        <w:lastRenderedPageBreak/>
        <w:t>Article 3, Protocol 1</w:t>
      </w:r>
    </w:p>
    <w:p w:rsidR="0052337B" w:rsidRPr="0052337B" w:rsidRDefault="00B363B8" w:rsidP="0052337B">
      <w:pPr>
        <w:pStyle w:val="NormalIndent"/>
        <w:widowControl w:val="0"/>
        <w:spacing w:before="0" w:after="0"/>
        <w:ind w:left="0" w:right="26"/>
        <w:rPr>
          <w:rStyle w:val="sb8d990e2"/>
          <w:rFonts w:ascii="Verdana" w:hAnsi="Verdana"/>
          <w:szCs w:val="22"/>
        </w:rPr>
      </w:pPr>
      <w:r>
        <w:rPr>
          <w:rStyle w:val="sb8d990e2"/>
          <w:rFonts w:ascii="Verdana" w:hAnsi="Verdana"/>
        </w:rPr>
        <w:t xml:space="preserve">Although this right is expressed </w:t>
      </w:r>
      <w:r w:rsidR="003D39F0">
        <w:rPr>
          <w:rStyle w:val="sb8d990e2"/>
          <w:rFonts w:ascii="Verdana" w:hAnsi="Verdana"/>
        </w:rPr>
        <w:t>in positive terms the Court has held that it contains further implied positive obligations.</w:t>
      </w:r>
      <w:r w:rsidR="003D39F0">
        <w:rPr>
          <w:rStyle w:val="FootnoteReference"/>
          <w:rFonts w:ascii="Verdana" w:hAnsi="Verdana"/>
        </w:rPr>
        <w:footnoteReference w:id="53"/>
      </w:r>
      <w:r w:rsidR="003D39F0">
        <w:rPr>
          <w:rStyle w:val="sb8d990e2"/>
          <w:rFonts w:ascii="Verdana" w:hAnsi="Verdana"/>
        </w:rPr>
        <w:t xml:space="preserve">  For example</w:t>
      </w:r>
      <w:r w:rsidR="0052337B" w:rsidRPr="0052337B">
        <w:rPr>
          <w:rStyle w:val="sb8d990e2"/>
          <w:rFonts w:ascii="Verdana" w:hAnsi="Verdana"/>
        </w:rPr>
        <w:t xml:space="preserve">, </w:t>
      </w:r>
      <w:r w:rsidR="003D39F0">
        <w:rPr>
          <w:rStyle w:val="sb8d990e2"/>
          <w:rFonts w:ascii="Verdana" w:hAnsi="Verdana"/>
        </w:rPr>
        <w:t xml:space="preserve">P1A3 requires </w:t>
      </w:r>
      <w:r w:rsidR="0052337B" w:rsidRPr="0052337B">
        <w:rPr>
          <w:rStyle w:val="sb8d990e2"/>
          <w:rFonts w:ascii="Verdana" w:hAnsi="Verdana"/>
        </w:rPr>
        <w:t>the existence of a “domestic system for effective examination of individual complaints and appeals in matters concerning electoral rights”</w:t>
      </w:r>
      <w:r w:rsidR="0052337B">
        <w:rPr>
          <w:rStyle w:val="sb8d990e2"/>
          <w:rFonts w:ascii="Verdana" w:hAnsi="Verdana"/>
        </w:rPr>
        <w:t>.</w:t>
      </w:r>
      <w:r w:rsidR="0052337B">
        <w:rPr>
          <w:rStyle w:val="FootnoteReference"/>
          <w:rFonts w:ascii="Verdana" w:hAnsi="Verdana"/>
        </w:rPr>
        <w:footnoteReference w:id="54"/>
      </w:r>
      <w:r w:rsidR="0052337B" w:rsidRPr="0052337B">
        <w:rPr>
          <w:rStyle w:val="sb8d990e2"/>
          <w:rFonts w:ascii="Verdana" w:hAnsi="Verdana"/>
        </w:rPr>
        <w:t xml:space="preserve"> </w:t>
      </w:r>
    </w:p>
    <w:p w:rsidR="0057527A" w:rsidRPr="006928B9" w:rsidRDefault="0057527A" w:rsidP="00A678F1">
      <w:pPr>
        <w:pStyle w:val="NormalIndent"/>
        <w:widowControl w:val="0"/>
        <w:spacing w:before="0" w:after="0"/>
        <w:ind w:left="0" w:right="26"/>
        <w:rPr>
          <w:rStyle w:val="sb8d990e2"/>
          <w:rFonts w:ascii="Verdana" w:hAnsi="Verdana"/>
          <w:szCs w:val="22"/>
        </w:rPr>
      </w:pPr>
    </w:p>
    <w:p w:rsidR="009D24FE" w:rsidRPr="00DA68D8" w:rsidRDefault="009D24FE" w:rsidP="00A678F1">
      <w:pPr>
        <w:pStyle w:val="NormalIndent"/>
        <w:widowControl w:val="0"/>
        <w:spacing w:before="0" w:after="0"/>
        <w:ind w:left="0" w:right="26"/>
        <w:rPr>
          <w:rFonts w:ascii="Verdana" w:hAnsi="Verdana"/>
          <w:b/>
          <w:smallCaps/>
          <w:szCs w:val="22"/>
        </w:rPr>
      </w:pPr>
      <w:r w:rsidRPr="00DA68D8">
        <w:rPr>
          <w:rFonts w:ascii="Verdana" w:hAnsi="Verdana"/>
          <w:b/>
          <w:smallCaps/>
          <w:szCs w:val="22"/>
        </w:rPr>
        <w:t>Classification of Positive Obligations</w:t>
      </w:r>
    </w:p>
    <w:p w:rsidR="0057527A" w:rsidRPr="006928B9" w:rsidRDefault="0057527A" w:rsidP="00A678F1">
      <w:pPr>
        <w:pStyle w:val="NormalIndent"/>
        <w:widowControl w:val="0"/>
        <w:spacing w:before="0" w:after="0"/>
        <w:ind w:left="0" w:right="26"/>
        <w:rPr>
          <w:rFonts w:ascii="Verdana" w:hAnsi="Verdana"/>
          <w:b/>
          <w:szCs w:val="22"/>
        </w:rPr>
      </w:pPr>
    </w:p>
    <w:p w:rsidR="008D15CD" w:rsidRPr="006928B9" w:rsidRDefault="0025376A" w:rsidP="0025376A">
      <w:pPr>
        <w:widowControl w:val="0"/>
        <w:rPr>
          <w:rFonts w:ascii="Verdana" w:hAnsi="Verdana"/>
          <w:szCs w:val="22"/>
        </w:rPr>
      </w:pPr>
      <w:r w:rsidRPr="006928B9">
        <w:rPr>
          <w:rFonts w:ascii="Verdana" w:hAnsi="Verdana"/>
          <w:szCs w:val="22"/>
        </w:rPr>
        <w:t>Various attempts have been made to classify the types of positive obligations establis</w:t>
      </w:r>
      <w:r w:rsidR="00125492">
        <w:rPr>
          <w:rFonts w:ascii="Verdana" w:hAnsi="Verdana"/>
          <w:szCs w:val="22"/>
        </w:rPr>
        <w:t>hed by the Court and the analyse</w:t>
      </w:r>
      <w:r w:rsidRPr="006928B9">
        <w:rPr>
          <w:rFonts w:ascii="Verdana" w:hAnsi="Verdana"/>
          <w:szCs w:val="22"/>
        </w:rPr>
        <w:t xml:space="preserve">s </w:t>
      </w:r>
      <w:r w:rsidR="00125492">
        <w:rPr>
          <w:rFonts w:ascii="Verdana" w:hAnsi="Verdana"/>
          <w:szCs w:val="22"/>
        </w:rPr>
        <w:t xml:space="preserve">which have been </w:t>
      </w:r>
      <w:r w:rsidRPr="006928B9">
        <w:rPr>
          <w:rFonts w:ascii="Verdana" w:hAnsi="Verdana"/>
          <w:szCs w:val="22"/>
        </w:rPr>
        <w:t xml:space="preserve">suggested differ widely. </w:t>
      </w:r>
    </w:p>
    <w:p w:rsidR="008D15CD" w:rsidRPr="006928B9" w:rsidRDefault="008D15CD" w:rsidP="0025376A">
      <w:pPr>
        <w:widowControl w:val="0"/>
        <w:rPr>
          <w:rFonts w:ascii="Verdana" w:hAnsi="Verdana"/>
          <w:szCs w:val="22"/>
        </w:rPr>
      </w:pPr>
    </w:p>
    <w:p w:rsidR="0025376A" w:rsidRPr="006928B9" w:rsidRDefault="00664495" w:rsidP="0025376A">
      <w:pPr>
        <w:widowControl w:val="0"/>
        <w:rPr>
          <w:rFonts w:ascii="Verdana" w:hAnsi="Verdana"/>
          <w:szCs w:val="22"/>
        </w:rPr>
      </w:pPr>
      <w:r>
        <w:rPr>
          <w:rFonts w:ascii="Verdana" w:hAnsi="Verdana"/>
          <w:szCs w:val="22"/>
        </w:rPr>
        <w:t>In his book on “positive obligations”</w:t>
      </w:r>
      <w:r w:rsidR="008D15CD" w:rsidRPr="006928B9">
        <w:rPr>
          <w:rFonts w:ascii="Verdana" w:hAnsi="Verdana"/>
          <w:szCs w:val="22"/>
        </w:rPr>
        <w:t xml:space="preserve"> </w:t>
      </w:r>
      <w:r w:rsidR="0025376A" w:rsidRPr="006928B9">
        <w:rPr>
          <w:rFonts w:ascii="Verdana" w:hAnsi="Verdana"/>
          <w:szCs w:val="22"/>
        </w:rPr>
        <w:t>Mowbray</w:t>
      </w:r>
      <w:r w:rsidR="0025376A" w:rsidRPr="006928B9">
        <w:rPr>
          <w:rStyle w:val="FootnoteReference"/>
          <w:rFonts w:ascii="Verdana" w:hAnsi="Verdana"/>
          <w:szCs w:val="22"/>
        </w:rPr>
        <w:footnoteReference w:id="55"/>
      </w:r>
      <w:r w:rsidR="0025376A" w:rsidRPr="006928B9">
        <w:rPr>
          <w:rFonts w:ascii="Verdana" w:hAnsi="Verdana"/>
          <w:szCs w:val="22"/>
        </w:rPr>
        <w:t xml:space="preserve">  identified</w:t>
      </w:r>
      <w:r w:rsidR="00174783">
        <w:rPr>
          <w:rFonts w:ascii="Verdana" w:hAnsi="Verdana"/>
          <w:szCs w:val="22"/>
        </w:rPr>
        <w:t xml:space="preserve"> two categories of positive obligation</w:t>
      </w:r>
      <w:r w:rsidR="0025376A" w:rsidRPr="006928B9">
        <w:rPr>
          <w:rFonts w:ascii="Verdana" w:hAnsi="Verdana"/>
          <w:szCs w:val="22"/>
        </w:rPr>
        <w:t>:</w:t>
      </w:r>
    </w:p>
    <w:p w:rsidR="0025376A" w:rsidRPr="006928B9" w:rsidRDefault="0025376A" w:rsidP="0025376A">
      <w:pPr>
        <w:widowControl w:val="0"/>
        <w:ind w:left="720" w:hanging="720"/>
        <w:rPr>
          <w:rFonts w:ascii="Verdana" w:hAnsi="Verdana"/>
          <w:szCs w:val="22"/>
        </w:rPr>
      </w:pPr>
      <w:r w:rsidRPr="006928B9">
        <w:rPr>
          <w:rFonts w:ascii="Verdana" w:hAnsi="Verdana"/>
          <w:szCs w:val="22"/>
        </w:rPr>
        <w:t>• </w:t>
      </w:r>
      <w:r w:rsidRPr="006928B9">
        <w:rPr>
          <w:rFonts w:ascii="Verdana" w:hAnsi="Verdana"/>
          <w:szCs w:val="22"/>
        </w:rPr>
        <w:tab/>
        <w:t xml:space="preserve">a duty to protect individuals by, for example, the state taking reasonable measures to protect individuals from infringements of their Convention rights by other private individuals, deploying personnel to provide physical measures of security for potential victims known to be facing immediate threats of violence, undertaking a broad collection of duties which concern the manner in which states treat individuals detained under their criminal justice system and  </w:t>
      </w:r>
    </w:p>
    <w:p w:rsidR="0025376A" w:rsidRPr="006928B9" w:rsidRDefault="0025376A" w:rsidP="0025376A">
      <w:pPr>
        <w:widowControl w:val="0"/>
        <w:ind w:left="720" w:hanging="720"/>
        <w:rPr>
          <w:rFonts w:ascii="Verdana" w:hAnsi="Verdana"/>
          <w:szCs w:val="22"/>
        </w:rPr>
      </w:pPr>
      <w:r w:rsidRPr="006928B9">
        <w:rPr>
          <w:rFonts w:ascii="Verdana" w:hAnsi="Verdana"/>
          <w:szCs w:val="22"/>
        </w:rPr>
        <w:t>• </w:t>
      </w:r>
      <w:r w:rsidRPr="006928B9">
        <w:rPr>
          <w:rFonts w:ascii="Verdana" w:hAnsi="Verdana"/>
          <w:szCs w:val="22"/>
        </w:rPr>
        <w:tab/>
      </w:r>
      <w:proofErr w:type="gramStart"/>
      <w:r w:rsidRPr="006928B9">
        <w:rPr>
          <w:rFonts w:ascii="Verdana" w:hAnsi="Verdana"/>
          <w:szCs w:val="22"/>
        </w:rPr>
        <w:t>a</w:t>
      </w:r>
      <w:proofErr w:type="gramEnd"/>
      <w:r w:rsidRPr="006928B9">
        <w:rPr>
          <w:rFonts w:ascii="Verdana" w:hAnsi="Verdana"/>
          <w:szCs w:val="22"/>
        </w:rPr>
        <w:t xml:space="preserve"> duty to aid individuals by conducting effective investigations into credible claims that serious Convention rights have been violated.</w:t>
      </w:r>
    </w:p>
    <w:p w:rsidR="008D15CD" w:rsidRPr="006928B9" w:rsidRDefault="008D15CD" w:rsidP="008D15CD">
      <w:pPr>
        <w:widowControl w:val="0"/>
        <w:rPr>
          <w:rFonts w:ascii="Verdana" w:hAnsi="Verdana"/>
          <w:szCs w:val="22"/>
        </w:rPr>
      </w:pPr>
    </w:p>
    <w:p w:rsidR="0025376A" w:rsidRPr="006928B9" w:rsidRDefault="008D15CD" w:rsidP="008D15CD">
      <w:pPr>
        <w:widowControl w:val="0"/>
        <w:rPr>
          <w:rFonts w:ascii="Verdana" w:hAnsi="Verdana"/>
          <w:szCs w:val="22"/>
        </w:rPr>
      </w:pPr>
      <w:r w:rsidRPr="006928B9">
        <w:rPr>
          <w:rFonts w:ascii="Verdana" w:hAnsi="Verdana"/>
          <w:szCs w:val="22"/>
        </w:rPr>
        <w:t xml:space="preserve">In contrast </w:t>
      </w:r>
      <w:r w:rsidR="0025376A" w:rsidRPr="006928B9">
        <w:rPr>
          <w:rFonts w:ascii="Verdana" w:hAnsi="Verdana"/>
          <w:szCs w:val="22"/>
        </w:rPr>
        <w:t>Beatson and Grosz suggest there are five broad categories of positive obligations:</w:t>
      </w:r>
      <w:r w:rsidR="0025376A" w:rsidRPr="006928B9">
        <w:rPr>
          <w:rStyle w:val="FootnoteReference"/>
          <w:rFonts w:ascii="Verdana" w:hAnsi="Verdana"/>
          <w:szCs w:val="22"/>
        </w:rPr>
        <w:footnoteReference w:id="56"/>
      </w:r>
    </w:p>
    <w:p w:rsidR="0025376A" w:rsidRPr="006928B9" w:rsidRDefault="0025376A" w:rsidP="0025376A">
      <w:pPr>
        <w:widowControl w:val="0"/>
        <w:ind w:left="720" w:hanging="720"/>
        <w:rPr>
          <w:rFonts w:ascii="Verdana" w:hAnsi="Verdana"/>
          <w:szCs w:val="22"/>
        </w:rPr>
      </w:pPr>
      <w:r w:rsidRPr="006928B9">
        <w:rPr>
          <w:rFonts w:ascii="Verdana" w:hAnsi="Verdana"/>
          <w:szCs w:val="22"/>
        </w:rPr>
        <w:t>• </w:t>
      </w:r>
      <w:r w:rsidRPr="006928B9">
        <w:rPr>
          <w:rFonts w:ascii="Verdana" w:hAnsi="Verdana"/>
          <w:szCs w:val="22"/>
        </w:rPr>
        <w:tab/>
      </w:r>
      <w:proofErr w:type="gramStart"/>
      <w:r w:rsidRPr="006928B9">
        <w:rPr>
          <w:rFonts w:ascii="Verdana" w:hAnsi="Verdana"/>
          <w:szCs w:val="22"/>
        </w:rPr>
        <w:t>a</w:t>
      </w:r>
      <w:proofErr w:type="gramEnd"/>
      <w:r w:rsidRPr="006928B9">
        <w:rPr>
          <w:rFonts w:ascii="Verdana" w:hAnsi="Verdana"/>
          <w:szCs w:val="22"/>
        </w:rPr>
        <w:t xml:space="preserve"> duty requiring the state to rearrange its legal relations to protect individual rights; </w:t>
      </w:r>
    </w:p>
    <w:p w:rsidR="0025376A" w:rsidRPr="006928B9" w:rsidRDefault="0025376A" w:rsidP="0025376A">
      <w:pPr>
        <w:widowControl w:val="0"/>
        <w:ind w:left="720" w:hanging="720"/>
        <w:rPr>
          <w:rFonts w:ascii="Verdana" w:hAnsi="Verdana"/>
          <w:szCs w:val="22"/>
        </w:rPr>
      </w:pPr>
      <w:r w:rsidRPr="006928B9">
        <w:rPr>
          <w:rFonts w:ascii="Verdana" w:hAnsi="Verdana"/>
          <w:szCs w:val="22"/>
        </w:rPr>
        <w:t>• </w:t>
      </w:r>
      <w:r w:rsidRPr="006928B9">
        <w:rPr>
          <w:rFonts w:ascii="Verdana" w:hAnsi="Verdana"/>
          <w:szCs w:val="22"/>
        </w:rPr>
        <w:tab/>
        <w:t>a duty to protect private individuals from other non state individuals or entities by, for example, protecting Article 3 rights by punishing the assailant by criminal sanctions;</w:t>
      </w:r>
    </w:p>
    <w:p w:rsidR="0025376A" w:rsidRPr="006928B9" w:rsidRDefault="0025376A" w:rsidP="0025376A">
      <w:pPr>
        <w:widowControl w:val="0"/>
        <w:ind w:left="720" w:hanging="720"/>
        <w:rPr>
          <w:rFonts w:ascii="Verdana" w:hAnsi="Verdana"/>
          <w:szCs w:val="22"/>
        </w:rPr>
      </w:pPr>
      <w:r w:rsidRPr="006928B9">
        <w:rPr>
          <w:rFonts w:ascii="Verdana" w:hAnsi="Verdana"/>
          <w:szCs w:val="22"/>
        </w:rPr>
        <w:t>• </w:t>
      </w:r>
      <w:r w:rsidRPr="006928B9">
        <w:rPr>
          <w:rFonts w:ascii="Verdana" w:hAnsi="Verdana"/>
          <w:szCs w:val="22"/>
        </w:rPr>
        <w:tab/>
      </w:r>
      <w:proofErr w:type="gramStart"/>
      <w:r w:rsidRPr="006928B9">
        <w:rPr>
          <w:rFonts w:ascii="Verdana" w:hAnsi="Verdana"/>
          <w:szCs w:val="22"/>
        </w:rPr>
        <w:t>a</w:t>
      </w:r>
      <w:proofErr w:type="gramEnd"/>
      <w:r w:rsidRPr="006928B9">
        <w:rPr>
          <w:rFonts w:ascii="Verdana" w:hAnsi="Verdana"/>
          <w:szCs w:val="22"/>
        </w:rPr>
        <w:t xml:space="preserve"> duty to take positive operational steps to secure individual rights in fact;</w:t>
      </w:r>
    </w:p>
    <w:p w:rsidR="0025376A" w:rsidRPr="006928B9" w:rsidRDefault="0025376A" w:rsidP="0025376A">
      <w:pPr>
        <w:widowControl w:val="0"/>
        <w:ind w:left="720" w:hanging="720"/>
        <w:rPr>
          <w:rFonts w:ascii="Verdana" w:hAnsi="Verdana"/>
          <w:szCs w:val="22"/>
        </w:rPr>
      </w:pPr>
      <w:r w:rsidRPr="006928B9">
        <w:rPr>
          <w:rFonts w:ascii="Verdana" w:hAnsi="Verdana"/>
          <w:szCs w:val="22"/>
        </w:rPr>
        <w:t>• </w:t>
      </w:r>
      <w:r w:rsidRPr="006928B9">
        <w:rPr>
          <w:rFonts w:ascii="Verdana" w:hAnsi="Verdana"/>
          <w:szCs w:val="22"/>
        </w:rPr>
        <w:tab/>
      </w:r>
      <w:proofErr w:type="gramStart"/>
      <w:r w:rsidRPr="006928B9">
        <w:rPr>
          <w:rFonts w:ascii="Verdana" w:hAnsi="Verdana"/>
          <w:szCs w:val="22"/>
        </w:rPr>
        <w:t>a</w:t>
      </w:r>
      <w:proofErr w:type="gramEnd"/>
      <w:r w:rsidRPr="006928B9">
        <w:rPr>
          <w:rFonts w:ascii="Verdana" w:hAnsi="Verdana"/>
          <w:szCs w:val="22"/>
        </w:rPr>
        <w:t xml:space="preserve"> duty on the state to conduct an effective and independent official investigation into alleged breaches of various Convention rights; and </w:t>
      </w:r>
    </w:p>
    <w:p w:rsidR="0025376A" w:rsidRPr="006928B9" w:rsidRDefault="0025376A" w:rsidP="0025376A">
      <w:pPr>
        <w:widowControl w:val="0"/>
        <w:ind w:left="720" w:hanging="720"/>
        <w:rPr>
          <w:rFonts w:ascii="Verdana" w:hAnsi="Verdana"/>
          <w:szCs w:val="22"/>
        </w:rPr>
      </w:pPr>
      <w:r w:rsidRPr="006928B9">
        <w:rPr>
          <w:rFonts w:ascii="Verdana" w:hAnsi="Verdana"/>
          <w:szCs w:val="22"/>
        </w:rPr>
        <w:t>• </w:t>
      </w:r>
      <w:r w:rsidRPr="006928B9">
        <w:rPr>
          <w:rFonts w:ascii="Verdana" w:hAnsi="Verdana"/>
          <w:szCs w:val="22"/>
        </w:rPr>
        <w:tab/>
      </w:r>
      <w:proofErr w:type="gramStart"/>
      <w:r w:rsidRPr="006928B9">
        <w:rPr>
          <w:rFonts w:ascii="Verdana" w:hAnsi="Verdana"/>
          <w:szCs w:val="22"/>
        </w:rPr>
        <w:t>an</w:t>
      </w:r>
      <w:proofErr w:type="gramEnd"/>
      <w:r w:rsidRPr="006928B9">
        <w:rPr>
          <w:rFonts w:ascii="Verdana" w:hAnsi="Verdana"/>
          <w:szCs w:val="22"/>
        </w:rPr>
        <w:t xml:space="preserve"> emerging duty to make information available including, for example, health hazards arising from environmental pollution.</w:t>
      </w:r>
    </w:p>
    <w:p w:rsidR="0025376A" w:rsidRPr="006928B9" w:rsidRDefault="0025376A" w:rsidP="00A678F1">
      <w:pPr>
        <w:pStyle w:val="NormalIndent"/>
        <w:widowControl w:val="0"/>
        <w:spacing w:before="0" w:after="0"/>
        <w:ind w:left="0" w:right="26"/>
        <w:rPr>
          <w:rFonts w:ascii="Verdana" w:hAnsi="Verdana"/>
          <w:szCs w:val="22"/>
        </w:rPr>
      </w:pPr>
    </w:p>
    <w:p w:rsidR="0057527A" w:rsidRPr="006928B9" w:rsidRDefault="0057527A" w:rsidP="0057527A">
      <w:pPr>
        <w:rPr>
          <w:rFonts w:ascii="Verdana" w:hAnsi="Verdana"/>
          <w:szCs w:val="22"/>
        </w:rPr>
      </w:pPr>
      <w:r w:rsidRPr="006928B9">
        <w:rPr>
          <w:rFonts w:ascii="Verdana" w:hAnsi="Verdana"/>
          <w:szCs w:val="22"/>
        </w:rPr>
        <w:t>It is, perhaps, most useful to distinguish between positive obligations have “horizontal” effect – which  protect of human rights between private parties</w:t>
      </w:r>
      <w:r w:rsidR="00664495">
        <w:rPr>
          <w:rFonts w:ascii="Verdana" w:hAnsi="Verdana"/>
          <w:szCs w:val="22"/>
        </w:rPr>
        <w:t xml:space="preserve"> -</w:t>
      </w:r>
      <w:r w:rsidRPr="006928B9">
        <w:rPr>
          <w:rFonts w:ascii="Verdana" w:hAnsi="Verdana"/>
          <w:szCs w:val="22"/>
        </w:rPr>
        <w:t xml:space="preserve"> and those which impose social or investigation obligations on the state.</w:t>
      </w:r>
      <w:r w:rsidRPr="006928B9">
        <w:rPr>
          <w:rStyle w:val="FootnoteReference"/>
          <w:rFonts w:ascii="Verdana" w:hAnsi="Verdana"/>
          <w:szCs w:val="22"/>
        </w:rPr>
        <w:footnoteReference w:id="57"/>
      </w:r>
      <w:r w:rsidRPr="006928B9">
        <w:rPr>
          <w:rFonts w:ascii="Verdana" w:hAnsi="Verdana"/>
          <w:szCs w:val="22"/>
        </w:rPr>
        <w:t xml:space="preserve"> </w:t>
      </w:r>
    </w:p>
    <w:p w:rsidR="008D15CD" w:rsidRPr="006928B9" w:rsidRDefault="008D15CD" w:rsidP="0057527A">
      <w:pPr>
        <w:rPr>
          <w:rFonts w:ascii="Verdana" w:hAnsi="Verdana"/>
          <w:szCs w:val="22"/>
        </w:rPr>
      </w:pPr>
    </w:p>
    <w:p w:rsidR="008D15CD" w:rsidRPr="006928B9" w:rsidRDefault="008D15CD" w:rsidP="0057527A">
      <w:pPr>
        <w:rPr>
          <w:rFonts w:ascii="Verdana" w:hAnsi="Verdana"/>
          <w:szCs w:val="22"/>
        </w:rPr>
      </w:pPr>
      <w:r w:rsidRPr="006928B9">
        <w:rPr>
          <w:rFonts w:ascii="Verdana" w:hAnsi="Verdana"/>
          <w:szCs w:val="22"/>
        </w:rPr>
        <w:t>The importance of the former was recently recognised by the Advocate-General in Luxembourg.  She noted that although there is no foundation for horizontal effect in any of the guarantees of the Convention, instead:</w:t>
      </w:r>
    </w:p>
    <w:p w:rsidR="008D15CD" w:rsidRPr="006928B9" w:rsidRDefault="00123921" w:rsidP="008D15CD">
      <w:pPr>
        <w:ind w:left="720" w:right="746"/>
        <w:rPr>
          <w:rFonts w:ascii="Verdana" w:hAnsi="Verdana"/>
          <w:szCs w:val="22"/>
        </w:rPr>
      </w:pPr>
      <w:r>
        <w:rPr>
          <w:rFonts w:ascii="Verdana" w:hAnsi="Verdana"/>
          <w:szCs w:val="22"/>
          <w:lang w:eastAsia="en-GB"/>
        </w:rPr>
        <w:t>“</w:t>
      </w:r>
      <w:r w:rsidR="008D15CD" w:rsidRPr="006928B9">
        <w:rPr>
          <w:rFonts w:ascii="Verdana" w:hAnsi="Verdana"/>
          <w:szCs w:val="22"/>
          <w:lang w:eastAsia="en-GB"/>
        </w:rPr>
        <w:t>protection of fundamental rights in relationships between private individuals is achieved on the basis that a duty of protection is imposed upon the State, which it is obliged to fulfil by adopting positive measures (so-called 'positive obligations'). According to that concept it is for the State to repel challenges made by private individuals (disturbers) to the legal positions of the respective beneficiaries of fundamental rights (victims)”</w:t>
      </w:r>
      <w:r w:rsidR="008D15CD" w:rsidRPr="006928B9">
        <w:rPr>
          <w:rStyle w:val="FootnoteReference"/>
          <w:rFonts w:ascii="Verdana" w:hAnsi="Verdana"/>
          <w:szCs w:val="22"/>
          <w:lang w:eastAsia="en-GB"/>
        </w:rPr>
        <w:footnoteReference w:id="58"/>
      </w:r>
    </w:p>
    <w:p w:rsidR="0057527A" w:rsidRPr="006928B9" w:rsidRDefault="0057527A" w:rsidP="00A678F1">
      <w:pPr>
        <w:pStyle w:val="NormalIndent"/>
        <w:widowControl w:val="0"/>
        <w:spacing w:before="0" w:after="0"/>
        <w:ind w:left="0" w:right="26"/>
        <w:rPr>
          <w:rFonts w:ascii="Verdana" w:hAnsi="Verdana"/>
          <w:szCs w:val="22"/>
        </w:rPr>
      </w:pPr>
    </w:p>
    <w:p w:rsidR="00AF0F60" w:rsidRPr="008663F5" w:rsidRDefault="004925CE" w:rsidP="00AF0F60">
      <w:pPr>
        <w:pStyle w:val="NormalIndent"/>
        <w:widowControl w:val="0"/>
        <w:spacing w:before="0" w:after="0"/>
        <w:ind w:left="0" w:right="26"/>
        <w:rPr>
          <w:rFonts w:ascii="Verdana" w:hAnsi="Verdana"/>
          <w:b/>
          <w:smallCaps/>
          <w:szCs w:val="22"/>
        </w:rPr>
      </w:pPr>
      <w:r w:rsidRPr="008663F5">
        <w:rPr>
          <w:rFonts w:ascii="Verdana" w:hAnsi="Verdana"/>
          <w:b/>
          <w:smallCaps/>
          <w:szCs w:val="22"/>
        </w:rPr>
        <w:t>When do Positive Obligations Arise?</w:t>
      </w:r>
    </w:p>
    <w:p w:rsidR="003877ED" w:rsidRPr="006928B9" w:rsidRDefault="003877ED" w:rsidP="00522CF5">
      <w:pPr>
        <w:pStyle w:val="NormalIndent"/>
        <w:widowControl w:val="0"/>
        <w:spacing w:before="0" w:after="0"/>
        <w:ind w:left="0" w:right="26"/>
        <w:rPr>
          <w:rFonts w:ascii="Verdana" w:hAnsi="Verdana"/>
          <w:szCs w:val="22"/>
        </w:rPr>
      </w:pPr>
    </w:p>
    <w:p w:rsidR="00150568" w:rsidRPr="006928B9" w:rsidRDefault="00AD0D8C" w:rsidP="00522CF5">
      <w:pPr>
        <w:pStyle w:val="NormalIndent"/>
        <w:widowControl w:val="0"/>
        <w:spacing w:before="0" w:after="0"/>
        <w:ind w:left="0" w:right="26"/>
        <w:rPr>
          <w:rFonts w:ascii="Verdana" w:hAnsi="Verdana"/>
          <w:szCs w:val="22"/>
        </w:rPr>
      </w:pPr>
      <w:r w:rsidRPr="006928B9">
        <w:rPr>
          <w:rFonts w:ascii="Verdana" w:hAnsi="Verdana"/>
          <w:szCs w:val="22"/>
        </w:rPr>
        <w:t>The Court has</w:t>
      </w:r>
      <w:r w:rsidR="002E3744" w:rsidRPr="006928B9">
        <w:rPr>
          <w:rFonts w:ascii="Verdana" w:hAnsi="Verdana"/>
          <w:szCs w:val="22"/>
        </w:rPr>
        <w:t>, unsurprisingly,</w:t>
      </w:r>
      <w:r w:rsidRPr="006928B9">
        <w:rPr>
          <w:rFonts w:ascii="Verdana" w:hAnsi="Verdana"/>
          <w:szCs w:val="22"/>
        </w:rPr>
        <w:t xml:space="preserve"> not </w:t>
      </w:r>
      <w:r w:rsidR="002E3744" w:rsidRPr="006928B9">
        <w:rPr>
          <w:rFonts w:ascii="Verdana" w:hAnsi="Verdana"/>
          <w:szCs w:val="22"/>
        </w:rPr>
        <w:t xml:space="preserve">provided </w:t>
      </w:r>
      <w:r w:rsidRPr="006928B9">
        <w:rPr>
          <w:rFonts w:ascii="Verdana" w:hAnsi="Verdana"/>
          <w:szCs w:val="22"/>
        </w:rPr>
        <w:t>any general theory of positive obligations.</w:t>
      </w:r>
      <w:r w:rsidRPr="006928B9">
        <w:rPr>
          <w:rStyle w:val="FootnoteReference"/>
          <w:rFonts w:ascii="Verdana" w:hAnsi="Verdana"/>
          <w:szCs w:val="22"/>
        </w:rPr>
        <w:footnoteReference w:id="59"/>
      </w:r>
      <w:r w:rsidRPr="006928B9">
        <w:rPr>
          <w:rFonts w:ascii="Verdana" w:hAnsi="Verdana"/>
          <w:szCs w:val="22"/>
        </w:rPr>
        <w:t xml:space="preserve">  </w:t>
      </w:r>
      <w:r w:rsidR="00150568" w:rsidRPr="006928B9">
        <w:rPr>
          <w:rFonts w:ascii="Verdana" w:hAnsi="Verdana"/>
          <w:szCs w:val="22"/>
        </w:rPr>
        <w:t xml:space="preserve">At an early stage of the development of the </w:t>
      </w:r>
      <w:r w:rsidR="00805942" w:rsidRPr="006928B9">
        <w:rPr>
          <w:rFonts w:ascii="Verdana" w:hAnsi="Verdana"/>
          <w:szCs w:val="22"/>
        </w:rPr>
        <w:t>concept</w:t>
      </w:r>
      <w:r w:rsidR="00150568" w:rsidRPr="006928B9">
        <w:rPr>
          <w:rFonts w:ascii="Verdana" w:hAnsi="Verdana"/>
          <w:szCs w:val="22"/>
        </w:rPr>
        <w:t xml:space="preserve"> </w:t>
      </w:r>
      <w:r w:rsidR="00A678F1" w:rsidRPr="006928B9">
        <w:rPr>
          <w:rFonts w:ascii="Verdana" w:hAnsi="Verdana"/>
          <w:szCs w:val="22"/>
        </w:rPr>
        <w:t>it was said</w:t>
      </w:r>
      <w:r w:rsidR="00150568" w:rsidRPr="006928B9">
        <w:rPr>
          <w:rFonts w:ascii="Verdana" w:hAnsi="Verdana"/>
          <w:szCs w:val="22"/>
        </w:rPr>
        <w:t xml:space="preserve"> that </w:t>
      </w:r>
    </w:p>
    <w:p w:rsidR="00150568" w:rsidRPr="006928B9" w:rsidRDefault="00AD0D8C" w:rsidP="00522CF5">
      <w:pPr>
        <w:pStyle w:val="NormalIndent"/>
        <w:widowControl w:val="0"/>
        <w:spacing w:before="0" w:after="0"/>
        <w:ind w:left="720" w:right="691"/>
        <w:rPr>
          <w:rStyle w:val="sb8d990e2"/>
          <w:rFonts w:ascii="Verdana" w:hAnsi="Verdana"/>
          <w:szCs w:val="22"/>
        </w:rPr>
      </w:pPr>
      <w:r w:rsidRPr="006928B9">
        <w:rPr>
          <w:rStyle w:val="sb8d990e2"/>
          <w:rFonts w:ascii="Verdana" w:hAnsi="Verdana"/>
          <w:szCs w:val="22"/>
        </w:rPr>
        <w:t>“</w:t>
      </w:r>
      <w:r w:rsidR="00150568" w:rsidRPr="006928B9">
        <w:rPr>
          <w:rStyle w:val="sb8d990e2"/>
          <w:rFonts w:ascii="Verdana" w:hAnsi="Verdana"/>
          <w:szCs w:val="22"/>
        </w:rPr>
        <w:t xml:space="preserve">In determining whether or not a </w:t>
      </w:r>
      <w:r w:rsidR="00150568" w:rsidRPr="006928B9">
        <w:rPr>
          <w:rStyle w:val="wordhighlighted"/>
          <w:rFonts w:ascii="Verdana" w:hAnsi="Verdana"/>
          <w:szCs w:val="22"/>
        </w:rPr>
        <w:t>positive obligation</w:t>
      </w:r>
      <w:r w:rsidR="00150568" w:rsidRPr="006928B9">
        <w:rPr>
          <w:rStyle w:val="sb8d990e2"/>
          <w:rFonts w:ascii="Verdana" w:hAnsi="Verdana"/>
          <w:szCs w:val="22"/>
        </w:rPr>
        <w:t xml:space="preserve"> exists, regard must be had to the fair balance that has to be struck between the general interest of the community and the interests of the individual, the search for which balance is inherent in the whole of the Convention</w:t>
      </w:r>
      <w:r w:rsidR="001647A3" w:rsidRPr="006928B9">
        <w:rPr>
          <w:rStyle w:val="sb8d990e2"/>
          <w:rFonts w:ascii="Verdana" w:hAnsi="Verdana"/>
          <w:szCs w:val="22"/>
        </w:rPr>
        <w:t>. In striking this balance the aims mentioned in the second paragraph of Article 8 (art. 8-2) may be of a certain relevance, although this provision refers in terms only to "interferences" with the right protected by the first paragraph - in other words is concerned with the negative obligations flowing therefrom</w:t>
      </w:r>
      <w:r w:rsidR="0070567B" w:rsidRPr="006928B9">
        <w:rPr>
          <w:rStyle w:val="sb8d990e2"/>
          <w:rFonts w:ascii="Verdana" w:hAnsi="Verdana"/>
          <w:szCs w:val="22"/>
        </w:rPr>
        <w:t>”</w:t>
      </w:r>
      <w:r w:rsidR="00150568" w:rsidRPr="006928B9">
        <w:rPr>
          <w:rStyle w:val="FootnoteReference"/>
          <w:rFonts w:ascii="Verdana" w:hAnsi="Verdana"/>
          <w:szCs w:val="22"/>
        </w:rPr>
        <w:footnoteReference w:id="60"/>
      </w:r>
    </w:p>
    <w:p w:rsidR="00A678F1" w:rsidRPr="006928B9" w:rsidRDefault="00A678F1" w:rsidP="00A678F1">
      <w:pPr>
        <w:pStyle w:val="NormalIndent"/>
        <w:widowControl w:val="0"/>
        <w:spacing w:before="0" w:after="0"/>
        <w:ind w:left="720" w:right="691" w:hanging="720"/>
        <w:rPr>
          <w:rStyle w:val="sb8d990e2"/>
          <w:rFonts w:ascii="Verdana" w:hAnsi="Verdana"/>
          <w:szCs w:val="22"/>
        </w:rPr>
      </w:pPr>
    </w:p>
    <w:p w:rsidR="00582191" w:rsidRPr="006928B9" w:rsidRDefault="00582191" w:rsidP="00A678F1">
      <w:pPr>
        <w:pStyle w:val="NormalIndent"/>
        <w:widowControl w:val="0"/>
        <w:spacing w:before="0" w:after="0"/>
        <w:ind w:left="720" w:right="691" w:hanging="720"/>
        <w:rPr>
          <w:rStyle w:val="sb8d990e2"/>
          <w:rFonts w:ascii="Verdana" w:hAnsi="Verdana"/>
          <w:szCs w:val="22"/>
        </w:rPr>
      </w:pPr>
      <w:r w:rsidRPr="006928B9">
        <w:rPr>
          <w:rStyle w:val="sb8d990e2"/>
          <w:rFonts w:ascii="Verdana" w:hAnsi="Verdana"/>
          <w:szCs w:val="22"/>
        </w:rPr>
        <w:t xml:space="preserve">To this formulation was later </w:t>
      </w:r>
      <w:r w:rsidR="00A678F1" w:rsidRPr="006928B9">
        <w:rPr>
          <w:rStyle w:val="sb8d990e2"/>
          <w:rFonts w:ascii="Verdana" w:hAnsi="Verdana"/>
          <w:szCs w:val="22"/>
        </w:rPr>
        <w:t>added</w:t>
      </w:r>
      <w:r w:rsidRPr="006928B9">
        <w:rPr>
          <w:rStyle w:val="sb8d990e2"/>
          <w:rFonts w:ascii="Verdana" w:hAnsi="Verdana"/>
          <w:szCs w:val="22"/>
        </w:rPr>
        <w:t xml:space="preserve"> the observation that</w:t>
      </w:r>
    </w:p>
    <w:p w:rsidR="00775C95" w:rsidRPr="006928B9" w:rsidRDefault="00582191" w:rsidP="00582191">
      <w:pPr>
        <w:pStyle w:val="NormalIndent"/>
        <w:widowControl w:val="0"/>
        <w:spacing w:before="0" w:after="0"/>
        <w:ind w:left="720" w:right="691"/>
        <w:rPr>
          <w:rStyle w:val="sb8d990e2"/>
          <w:rFonts w:ascii="Verdana" w:hAnsi="Verdana"/>
          <w:szCs w:val="22"/>
        </w:rPr>
      </w:pPr>
      <w:r w:rsidRPr="006928B9">
        <w:rPr>
          <w:rStyle w:val="sb8d990e2"/>
          <w:rFonts w:ascii="Verdana" w:hAnsi="Verdana"/>
          <w:szCs w:val="22"/>
        </w:rPr>
        <w:t>“</w:t>
      </w:r>
      <w:proofErr w:type="gramStart"/>
      <w:r w:rsidR="00775C95" w:rsidRPr="006928B9">
        <w:rPr>
          <w:rStyle w:val="sb8d990e2"/>
          <w:rFonts w:ascii="Verdana" w:hAnsi="Verdana"/>
          <w:szCs w:val="22"/>
        </w:rPr>
        <w:t>the</w:t>
      </w:r>
      <w:proofErr w:type="gramEnd"/>
      <w:r w:rsidR="00775C95" w:rsidRPr="006928B9">
        <w:rPr>
          <w:rStyle w:val="sb8d990e2"/>
          <w:rFonts w:ascii="Verdana" w:hAnsi="Verdana"/>
          <w:szCs w:val="22"/>
        </w:rPr>
        <w:t xml:space="preserve"> boundaries between the State’s positive and negative obligations under this provision do not lend themselves to precise definition. The applicable principles are, none the less, similar. In both contexts regard must be had to the fair balance that has to be struck between the competing interests of the individual and of the community as a whole; and in both contexts the State enjoys a certain margin of appreciation</w:t>
      </w:r>
      <w:r w:rsidRPr="006928B9">
        <w:rPr>
          <w:rStyle w:val="sb8d990e2"/>
          <w:rFonts w:ascii="Verdana" w:hAnsi="Verdana"/>
          <w:szCs w:val="22"/>
        </w:rPr>
        <w:t>”</w:t>
      </w:r>
      <w:r w:rsidRPr="006928B9">
        <w:rPr>
          <w:rStyle w:val="FootnoteReference"/>
          <w:rFonts w:ascii="Verdana" w:hAnsi="Verdana"/>
          <w:szCs w:val="22"/>
        </w:rPr>
        <w:footnoteReference w:id="61"/>
      </w:r>
    </w:p>
    <w:p w:rsidR="00A678F1" w:rsidRPr="006928B9" w:rsidRDefault="00A678F1" w:rsidP="00A678F1">
      <w:pPr>
        <w:pStyle w:val="NormalIndent"/>
        <w:widowControl w:val="0"/>
        <w:spacing w:before="0" w:after="0"/>
        <w:ind w:left="720" w:right="691" w:hanging="720"/>
        <w:rPr>
          <w:rStyle w:val="sb8d990e2"/>
          <w:rFonts w:ascii="Verdana" w:hAnsi="Verdana"/>
          <w:szCs w:val="22"/>
        </w:rPr>
      </w:pPr>
    </w:p>
    <w:p w:rsidR="008C23EA" w:rsidRPr="006928B9" w:rsidRDefault="00582191" w:rsidP="008C23EA">
      <w:pPr>
        <w:pStyle w:val="NormalIndent"/>
        <w:widowControl w:val="0"/>
        <w:spacing w:before="0" w:after="0"/>
        <w:ind w:left="0" w:right="26"/>
        <w:rPr>
          <w:rStyle w:val="sb8d990e2"/>
          <w:rFonts w:ascii="Verdana" w:hAnsi="Verdana"/>
          <w:szCs w:val="22"/>
        </w:rPr>
      </w:pPr>
      <w:r w:rsidRPr="006928B9">
        <w:rPr>
          <w:rStyle w:val="sb8d990e2"/>
          <w:rFonts w:ascii="Verdana" w:hAnsi="Verdana"/>
          <w:szCs w:val="22"/>
        </w:rPr>
        <w:t xml:space="preserve">There, however, obvious </w:t>
      </w:r>
      <w:r w:rsidR="00A678F1" w:rsidRPr="006928B9">
        <w:rPr>
          <w:rStyle w:val="sb8d990e2"/>
          <w:rFonts w:ascii="Verdana" w:hAnsi="Verdana"/>
          <w:szCs w:val="22"/>
        </w:rPr>
        <w:t>problems with this approach</w:t>
      </w:r>
      <w:r w:rsidRPr="006928B9">
        <w:rPr>
          <w:rStyle w:val="sb8d990e2"/>
          <w:rFonts w:ascii="Verdana" w:hAnsi="Verdana"/>
          <w:szCs w:val="22"/>
        </w:rPr>
        <w:t xml:space="preserve">.  </w:t>
      </w:r>
      <w:r w:rsidR="00125492">
        <w:rPr>
          <w:rStyle w:val="sb8d990e2"/>
          <w:rFonts w:ascii="Verdana" w:hAnsi="Verdana"/>
          <w:szCs w:val="22"/>
        </w:rPr>
        <w:t>T</w:t>
      </w:r>
      <w:r w:rsidR="008C23EA" w:rsidRPr="006928B9">
        <w:rPr>
          <w:rStyle w:val="sb8d990e2"/>
          <w:rFonts w:ascii="Verdana" w:hAnsi="Verdana"/>
          <w:szCs w:val="22"/>
        </w:rPr>
        <w:t xml:space="preserve">here is the question as to whether and in what way an interference with a positive obligation can be justified.   Saying that the considerations under, for example, Article 8(2), </w:t>
      </w:r>
      <w:r w:rsidR="00125492">
        <w:rPr>
          <w:rStyle w:val="sb8d990e2"/>
          <w:rFonts w:ascii="Verdana" w:hAnsi="Verdana"/>
          <w:szCs w:val="22"/>
        </w:rPr>
        <w:t xml:space="preserve">“have </w:t>
      </w:r>
      <w:proofErr w:type="gramStart"/>
      <w:r w:rsidR="00125492">
        <w:rPr>
          <w:rStyle w:val="sb8d990e2"/>
          <w:rFonts w:ascii="Verdana" w:hAnsi="Verdana"/>
          <w:szCs w:val="22"/>
        </w:rPr>
        <w:t xml:space="preserve">a </w:t>
      </w:r>
      <w:r w:rsidR="008C23EA" w:rsidRPr="006928B9">
        <w:rPr>
          <w:rStyle w:val="sb8d990e2"/>
          <w:rFonts w:ascii="Verdana" w:hAnsi="Verdana"/>
          <w:szCs w:val="22"/>
        </w:rPr>
        <w:t>certain</w:t>
      </w:r>
      <w:proofErr w:type="gramEnd"/>
      <w:r w:rsidR="008C23EA" w:rsidRPr="006928B9">
        <w:rPr>
          <w:rStyle w:val="sb8d990e2"/>
          <w:rFonts w:ascii="Verdana" w:hAnsi="Verdana"/>
          <w:szCs w:val="22"/>
        </w:rPr>
        <w:t xml:space="preserve"> relevance” does not take matters much further.  This is, as Judge Wildhaber desc</w:t>
      </w:r>
      <w:r w:rsidR="00DB42D9" w:rsidRPr="006928B9">
        <w:rPr>
          <w:rStyle w:val="sb8d990e2"/>
          <w:rFonts w:ascii="Verdana" w:hAnsi="Verdana"/>
          <w:szCs w:val="22"/>
        </w:rPr>
        <w:t xml:space="preserve">ribed </w:t>
      </w:r>
      <w:r w:rsidR="00125492">
        <w:rPr>
          <w:rStyle w:val="sb8d990e2"/>
          <w:rFonts w:ascii="Verdana" w:hAnsi="Verdana"/>
          <w:szCs w:val="22"/>
        </w:rPr>
        <w:t>said in a</w:t>
      </w:r>
      <w:r w:rsidR="00DB42D9" w:rsidRPr="006928B9">
        <w:rPr>
          <w:rStyle w:val="sb8d990e2"/>
          <w:rFonts w:ascii="Verdana" w:hAnsi="Verdana"/>
          <w:szCs w:val="22"/>
        </w:rPr>
        <w:t xml:space="preserve"> Concurring Opinion a</w:t>
      </w:r>
      <w:r w:rsidR="008C23EA" w:rsidRPr="006928B9">
        <w:rPr>
          <w:rStyle w:val="sb8d990e2"/>
          <w:rFonts w:ascii="Verdana" w:hAnsi="Verdana"/>
          <w:szCs w:val="22"/>
        </w:rPr>
        <w:t xml:space="preserve"> “somewhat incoherent </w:t>
      </w:r>
      <w:r w:rsidR="008C23EA" w:rsidRPr="006928B9">
        <w:rPr>
          <w:rStyle w:val="sb8d990e2"/>
          <w:rFonts w:ascii="Verdana" w:hAnsi="Verdana"/>
          <w:szCs w:val="22"/>
        </w:rPr>
        <w:lastRenderedPageBreak/>
        <w:t xml:space="preserve">jurisprudence”.  He proposed that </w:t>
      </w:r>
    </w:p>
    <w:p w:rsidR="008C23EA" w:rsidRPr="006928B9" w:rsidRDefault="008C23EA" w:rsidP="008C23EA">
      <w:pPr>
        <w:pStyle w:val="s30eec3f8"/>
        <w:spacing w:before="0" w:beforeAutospacing="0" w:after="0" w:afterAutospacing="0"/>
        <w:ind w:left="720" w:right="746"/>
        <w:jc w:val="both"/>
        <w:rPr>
          <w:rStyle w:val="sb8d990e2"/>
          <w:rFonts w:ascii="Verdana" w:hAnsi="Verdana"/>
          <w:sz w:val="22"/>
          <w:szCs w:val="22"/>
        </w:rPr>
      </w:pPr>
      <w:r w:rsidRPr="006928B9">
        <w:rPr>
          <w:rStyle w:val="sb8d990e2"/>
          <w:rFonts w:ascii="Verdana" w:hAnsi="Verdana"/>
          <w:sz w:val="22"/>
          <w:szCs w:val="22"/>
        </w:rPr>
        <w:t>“</w:t>
      </w:r>
      <w:proofErr w:type="gramStart"/>
      <w:r w:rsidRPr="006928B9">
        <w:rPr>
          <w:rStyle w:val="sb8d990e2"/>
          <w:rFonts w:ascii="Verdana" w:hAnsi="Verdana"/>
          <w:sz w:val="22"/>
          <w:szCs w:val="22"/>
        </w:rPr>
        <w:t>it</w:t>
      </w:r>
      <w:proofErr w:type="gramEnd"/>
      <w:r w:rsidRPr="006928B9">
        <w:rPr>
          <w:rStyle w:val="sb8d990e2"/>
          <w:rFonts w:ascii="Verdana" w:hAnsi="Verdana"/>
          <w:sz w:val="22"/>
          <w:szCs w:val="22"/>
        </w:rPr>
        <w:t xml:space="preserve"> would therefore be preferable to construe the notion of "interference" so as to cover facts capable of breaching an obligation incumbent on the State under Article 8 para. </w:t>
      </w:r>
      <w:proofErr w:type="gramStart"/>
      <w:r w:rsidRPr="006928B9">
        <w:rPr>
          <w:rStyle w:val="sb8d990e2"/>
          <w:rFonts w:ascii="Verdana" w:hAnsi="Verdana"/>
          <w:sz w:val="22"/>
          <w:szCs w:val="22"/>
        </w:rPr>
        <w:t>1 (art. 8-1), whether negative or positive.</w:t>
      </w:r>
      <w:proofErr w:type="gramEnd"/>
      <w:r w:rsidRPr="006928B9">
        <w:rPr>
          <w:rStyle w:val="sb8d990e2"/>
          <w:rFonts w:ascii="Verdana" w:hAnsi="Verdana"/>
          <w:sz w:val="22"/>
          <w:szCs w:val="22"/>
        </w:rPr>
        <w:t xml:space="preserve"> Whenever a so-called positive obligation arises the Court should examine, as in the event of a so-called negative obligation, whether there has been an interference with the right to respect for private and family life under paragraph 1 of Article 8 (art. 8-1), and whether such interference was "in accordance with the law", pursued legitimate aims and was "necessary in a democratic society" within the meaning of paragraph 2 (art. 8-2).”</w:t>
      </w:r>
      <w:r w:rsidRPr="006928B9">
        <w:rPr>
          <w:rStyle w:val="FootnoteReference"/>
          <w:rFonts w:ascii="Verdana" w:hAnsi="Verdana"/>
          <w:sz w:val="22"/>
          <w:szCs w:val="22"/>
        </w:rPr>
        <w:footnoteReference w:id="62"/>
      </w:r>
    </w:p>
    <w:p w:rsidR="00DB42D9" w:rsidRPr="006928B9" w:rsidRDefault="00DB42D9" w:rsidP="00DB42D9">
      <w:pPr>
        <w:pStyle w:val="s30eec3f8"/>
        <w:spacing w:before="0" w:beforeAutospacing="0" w:after="0" w:afterAutospacing="0"/>
        <w:ind w:right="26"/>
        <w:jc w:val="both"/>
        <w:rPr>
          <w:rFonts w:ascii="Verdana" w:hAnsi="Verdana"/>
          <w:sz w:val="22"/>
          <w:szCs w:val="22"/>
        </w:rPr>
      </w:pPr>
      <w:r w:rsidRPr="006928B9">
        <w:rPr>
          <w:rStyle w:val="sb8d990e2"/>
          <w:rFonts w:ascii="Verdana" w:hAnsi="Verdana"/>
          <w:sz w:val="22"/>
          <w:szCs w:val="22"/>
        </w:rPr>
        <w:t>This approach is now well established – although not without its own difficulties</w:t>
      </w:r>
    </w:p>
    <w:p w:rsidR="008C23EA" w:rsidRPr="006928B9" w:rsidRDefault="008C23EA" w:rsidP="008C23EA">
      <w:pPr>
        <w:pStyle w:val="NormalIndent"/>
        <w:widowControl w:val="0"/>
        <w:spacing w:before="0" w:after="0"/>
        <w:ind w:left="0" w:right="26"/>
        <w:rPr>
          <w:rStyle w:val="sb8d990e2"/>
          <w:rFonts w:ascii="Verdana" w:hAnsi="Verdana"/>
          <w:szCs w:val="22"/>
        </w:rPr>
      </w:pPr>
    </w:p>
    <w:p w:rsidR="00A678F1" w:rsidRPr="006928B9" w:rsidRDefault="00125492" w:rsidP="00B7038B">
      <w:pPr>
        <w:pStyle w:val="NormalIndent"/>
        <w:widowControl w:val="0"/>
        <w:spacing w:before="0" w:after="0"/>
        <w:ind w:left="0" w:right="26"/>
        <w:rPr>
          <w:rStyle w:val="sb8d990e2"/>
          <w:rFonts w:ascii="Verdana" w:hAnsi="Verdana"/>
          <w:szCs w:val="22"/>
        </w:rPr>
      </w:pPr>
      <w:r>
        <w:rPr>
          <w:rStyle w:val="sb8d990e2"/>
          <w:rFonts w:ascii="Verdana" w:hAnsi="Verdana"/>
          <w:szCs w:val="22"/>
        </w:rPr>
        <w:t xml:space="preserve">Furthermore </w:t>
      </w:r>
      <w:r w:rsidR="00582191" w:rsidRPr="006928B9">
        <w:rPr>
          <w:rStyle w:val="sb8d990e2"/>
          <w:rFonts w:ascii="Verdana" w:hAnsi="Verdana"/>
          <w:szCs w:val="22"/>
        </w:rPr>
        <w:t>“fair balance” and “margin of appreciation” are part of the proportionality</w:t>
      </w:r>
      <w:r w:rsidR="0006777F" w:rsidRPr="006928B9">
        <w:rPr>
          <w:rStyle w:val="sb8d990e2"/>
          <w:rFonts w:ascii="Verdana" w:hAnsi="Verdana"/>
          <w:szCs w:val="22"/>
        </w:rPr>
        <w:t xml:space="preserve"> analysis – </w:t>
      </w:r>
      <w:r>
        <w:rPr>
          <w:rStyle w:val="sb8d990e2"/>
          <w:rFonts w:ascii="Verdana" w:hAnsi="Verdana"/>
          <w:szCs w:val="22"/>
        </w:rPr>
        <w:t xml:space="preserve">part of </w:t>
      </w:r>
      <w:r w:rsidR="0006777F" w:rsidRPr="006928B9">
        <w:rPr>
          <w:rStyle w:val="sb8d990e2"/>
          <w:rFonts w:ascii="Verdana" w:hAnsi="Verdana"/>
          <w:szCs w:val="22"/>
        </w:rPr>
        <w:t>the determination as to whether an interference which is “prescribed by law” and for a “legitimate aim” is “necessary in a democratic society”</w:t>
      </w:r>
      <w:r>
        <w:rPr>
          <w:rStyle w:val="sb8d990e2"/>
          <w:rFonts w:ascii="Verdana" w:hAnsi="Verdana"/>
          <w:szCs w:val="22"/>
        </w:rPr>
        <w:t xml:space="preserve">.  In other words, while </w:t>
      </w:r>
      <w:r w:rsidR="002E3744" w:rsidRPr="006928B9">
        <w:rPr>
          <w:rStyle w:val="sb8d990e2"/>
          <w:rFonts w:ascii="Verdana" w:hAnsi="Verdana"/>
          <w:szCs w:val="22"/>
        </w:rPr>
        <w:t>they are relevant at the “justification” phase</w:t>
      </w:r>
      <w:r>
        <w:rPr>
          <w:rStyle w:val="sb8d990e2"/>
          <w:rFonts w:ascii="Verdana" w:hAnsi="Verdana"/>
          <w:szCs w:val="22"/>
        </w:rPr>
        <w:t xml:space="preserve"> i</w:t>
      </w:r>
      <w:r w:rsidR="0006777F" w:rsidRPr="006928B9">
        <w:rPr>
          <w:rStyle w:val="sb8d990e2"/>
          <w:rFonts w:ascii="Verdana" w:hAnsi="Verdana"/>
          <w:szCs w:val="22"/>
        </w:rPr>
        <w:t xml:space="preserve">t is difficult to see how </w:t>
      </w:r>
      <w:r>
        <w:rPr>
          <w:rStyle w:val="sb8d990e2"/>
          <w:rFonts w:ascii="Verdana" w:hAnsi="Verdana"/>
          <w:szCs w:val="22"/>
        </w:rPr>
        <w:t xml:space="preserve">they can </w:t>
      </w:r>
      <w:r w:rsidR="0006777F" w:rsidRPr="006928B9">
        <w:rPr>
          <w:rStyle w:val="sb8d990e2"/>
          <w:rFonts w:ascii="Verdana" w:hAnsi="Verdana"/>
          <w:szCs w:val="22"/>
        </w:rPr>
        <w:t>be used to decide whether or not a positive obligation exists in the first place</w:t>
      </w:r>
      <w:r w:rsidR="00B7038B" w:rsidRPr="006928B9">
        <w:rPr>
          <w:rStyle w:val="sb8d990e2"/>
          <w:rFonts w:ascii="Verdana" w:hAnsi="Verdana"/>
          <w:szCs w:val="22"/>
        </w:rPr>
        <w:t>.</w:t>
      </w:r>
    </w:p>
    <w:p w:rsidR="008D15CD" w:rsidRPr="006928B9" w:rsidRDefault="008D15CD" w:rsidP="00B7038B">
      <w:pPr>
        <w:pStyle w:val="NormalIndent"/>
        <w:widowControl w:val="0"/>
        <w:spacing w:before="0" w:after="0"/>
        <w:ind w:left="0" w:right="26"/>
        <w:rPr>
          <w:rStyle w:val="sb8d990e2"/>
          <w:rFonts w:ascii="Verdana" w:hAnsi="Verdana"/>
          <w:szCs w:val="22"/>
        </w:rPr>
      </w:pPr>
    </w:p>
    <w:p w:rsidR="008D15CD" w:rsidRPr="006928B9" w:rsidRDefault="00125492" w:rsidP="00B7038B">
      <w:pPr>
        <w:pStyle w:val="NormalIndent"/>
        <w:widowControl w:val="0"/>
        <w:spacing w:before="0" w:after="0"/>
        <w:ind w:left="0" w:right="26"/>
        <w:rPr>
          <w:rStyle w:val="sb8d990e2"/>
          <w:rFonts w:ascii="Verdana" w:hAnsi="Verdana"/>
          <w:szCs w:val="22"/>
        </w:rPr>
      </w:pPr>
      <w:r>
        <w:rPr>
          <w:rStyle w:val="sb8d990e2"/>
          <w:rFonts w:ascii="Verdana" w:hAnsi="Verdana"/>
          <w:szCs w:val="22"/>
        </w:rPr>
        <w:t xml:space="preserve">There are, nevertheless some limited </w:t>
      </w:r>
      <w:r w:rsidR="008D15CD" w:rsidRPr="006928B9">
        <w:rPr>
          <w:rStyle w:val="sb8d990e2"/>
          <w:rFonts w:ascii="Verdana" w:hAnsi="Verdana"/>
          <w:szCs w:val="22"/>
        </w:rPr>
        <w:t>some indications in the case law as to the circumstances in which a positive obligation might be recognised</w:t>
      </w:r>
      <w:r>
        <w:rPr>
          <w:rStyle w:val="sb8d990e2"/>
          <w:rFonts w:ascii="Verdana" w:hAnsi="Verdana"/>
          <w:szCs w:val="22"/>
        </w:rPr>
        <w:t xml:space="preserve"> by the Court.  In particular, three </w:t>
      </w:r>
      <w:r w:rsidR="00D72285">
        <w:rPr>
          <w:rStyle w:val="sb8d990e2"/>
          <w:rFonts w:ascii="Verdana" w:hAnsi="Verdana"/>
          <w:szCs w:val="22"/>
        </w:rPr>
        <w:t xml:space="preserve">interrelated </w:t>
      </w:r>
      <w:r>
        <w:rPr>
          <w:rStyle w:val="sb8d990e2"/>
          <w:rFonts w:ascii="Verdana" w:hAnsi="Verdana"/>
          <w:szCs w:val="22"/>
        </w:rPr>
        <w:t xml:space="preserve">factors </w:t>
      </w:r>
      <w:r w:rsidR="00D72285">
        <w:rPr>
          <w:rStyle w:val="sb8d990e2"/>
          <w:rFonts w:ascii="Verdana" w:hAnsi="Verdana"/>
          <w:szCs w:val="22"/>
        </w:rPr>
        <w:t>have been</w:t>
      </w:r>
      <w:r>
        <w:rPr>
          <w:rStyle w:val="sb8d990e2"/>
          <w:rFonts w:ascii="Verdana" w:hAnsi="Verdana"/>
          <w:szCs w:val="22"/>
        </w:rPr>
        <w:t xml:space="preserve"> mentioned:</w:t>
      </w:r>
      <w:r w:rsidR="008D15CD" w:rsidRPr="006928B9">
        <w:rPr>
          <w:rStyle w:val="sb8d990e2"/>
          <w:rFonts w:ascii="Verdana" w:hAnsi="Verdana"/>
          <w:szCs w:val="22"/>
        </w:rPr>
        <w:t xml:space="preserve"> </w:t>
      </w:r>
    </w:p>
    <w:p w:rsidR="008D15CD" w:rsidRPr="006928B9" w:rsidRDefault="008D15CD" w:rsidP="00B7038B">
      <w:pPr>
        <w:pStyle w:val="NormalIndent"/>
        <w:widowControl w:val="0"/>
        <w:spacing w:before="0" w:after="0"/>
        <w:ind w:left="0" w:right="26"/>
        <w:rPr>
          <w:rStyle w:val="sb8d990e2"/>
          <w:rFonts w:ascii="Verdana" w:hAnsi="Verdana"/>
          <w:szCs w:val="22"/>
        </w:rPr>
      </w:pPr>
    </w:p>
    <w:p w:rsidR="00EC12B2" w:rsidRDefault="008D15CD" w:rsidP="00A70524">
      <w:pPr>
        <w:pStyle w:val="NormalIndent"/>
        <w:widowControl w:val="0"/>
        <w:spacing w:before="0" w:after="0"/>
        <w:ind w:left="0" w:right="26"/>
        <w:rPr>
          <w:rStyle w:val="sb8d990e2"/>
          <w:rFonts w:ascii="Verdana" w:hAnsi="Verdana"/>
          <w:szCs w:val="22"/>
        </w:rPr>
      </w:pPr>
      <w:r w:rsidRPr="00125492">
        <w:rPr>
          <w:rStyle w:val="sb8d990e2"/>
          <w:rFonts w:ascii="Verdana" w:hAnsi="Verdana"/>
          <w:b/>
          <w:i/>
          <w:szCs w:val="22"/>
        </w:rPr>
        <w:t>First</w:t>
      </w:r>
      <w:r w:rsidRPr="006928B9">
        <w:rPr>
          <w:rStyle w:val="sb8d990e2"/>
          <w:rFonts w:ascii="Verdana" w:hAnsi="Verdana"/>
          <w:szCs w:val="22"/>
        </w:rPr>
        <w:t xml:space="preserve">, </w:t>
      </w:r>
      <w:r w:rsidR="00D72285">
        <w:rPr>
          <w:rStyle w:val="sb8d990e2"/>
          <w:rFonts w:ascii="Verdana" w:hAnsi="Verdana"/>
          <w:szCs w:val="22"/>
        </w:rPr>
        <w:t xml:space="preserve">it has been said </w:t>
      </w:r>
      <w:r w:rsidRPr="006928B9">
        <w:rPr>
          <w:rStyle w:val="sb8d990e2"/>
          <w:rFonts w:ascii="Verdana" w:hAnsi="Verdana"/>
          <w:szCs w:val="22"/>
        </w:rPr>
        <w:t xml:space="preserve">the activity in question must go to the “core” of the right in question.  In Article 8 cases it has been said that </w:t>
      </w:r>
      <w:r w:rsidR="005C0830" w:rsidRPr="006928B9">
        <w:rPr>
          <w:rStyle w:val="sb8d990e2"/>
          <w:rFonts w:ascii="Verdana" w:hAnsi="Verdana"/>
          <w:szCs w:val="22"/>
        </w:rPr>
        <w:t>it must involve “an important aspect of personal identity” or an “intimate aspect of private life”.</w:t>
      </w:r>
      <w:r w:rsidR="005C0830" w:rsidRPr="006928B9">
        <w:rPr>
          <w:rStyle w:val="FootnoteReference"/>
          <w:rFonts w:ascii="Verdana" w:hAnsi="Verdana"/>
          <w:szCs w:val="22"/>
        </w:rPr>
        <w:footnoteReference w:id="63"/>
      </w:r>
      <w:r w:rsidR="005C0830" w:rsidRPr="006928B9">
        <w:rPr>
          <w:rStyle w:val="sb8d990e2"/>
          <w:rFonts w:ascii="Verdana" w:hAnsi="Verdana"/>
          <w:szCs w:val="22"/>
        </w:rPr>
        <w:t xml:space="preserve">  </w:t>
      </w:r>
      <w:r w:rsidR="00EC12B2">
        <w:rPr>
          <w:rStyle w:val="sb8d990e2"/>
          <w:rFonts w:ascii="Verdana" w:hAnsi="Verdana"/>
          <w:szCs w:val="22"/>
        </w:rPr>
        <w:t>The Court has often said, in the Article 8 context, that t</w:t>
      </w:r>
      <w:r w:rsidR="005C0830" w:rsidRPr="006928B9">
        <w:rPr>
          <w:rStyle w:val="sb8d990e2"/>
          <w:rFonts w:ascii="Verdana" w:hAnsi="Verdana"/>
          <w:szCs w:val="22"/>
        </w:rPr>
        <w:t xml:space="preserve">here must be a “direct and immediate link” between the </w:t>
      </w:r>
      <w:r w:rsidR="006928B9">
        <w:rPr>
          <w:rStyle w:val="sb8d990e2"/>
          <w:rFonts w:ascii="Verdana" w:hAnsi="Verdana"/>
          <w:szCs w:val="22"/>
        </w:rPr>
        <w:t xml:space="preserve">measures requested </w:t>
      </w:r>
      <w:r w:rsidR="005C0830" w:rsidRPr="006928B9">
        <w:rPr>
          <w:rStyle w:val="sb8d990e2"/>
          <w:rFonts w:ascii="Verdana" w:hAnsi="Verdana"/>
          <w:szCs w:val="22"/>
        </w:rPr>
        <w:t>and the applicant’s private life.</w:t>
      </w:r>
      <w:r w:rsidR="005C0830" w:rsidRPr="006928B9">
        <w:rPr>
          <w:rStyle w:val="FootnoteReference"/>
          <w:rFonts w:ascii="Verdana" w:hAnsi="Verdana"/>
          <w:szCs w:val="22"/>
        </w:rPr>
        <w:footnoteReference w:id="64"/>
      </w:r>
      <w:r w:rsidR="00475E52">
        <w:rPr>
          <w:rStyle w:val="sb8d990e2"/>
          <w:rFonts w:ascii="Verdana" w:hAnsi="Verdana"/>
          <w:szCs w:val="22"/>
        </w:rPr>
        <w:t xml:space="preserve">  </w:t>
      </w:r>
    </w:p>
    <w:p w:rsidR="00EC12B2" w:rsidRDefault="00EC12B2" w:rsidP="00A70524">
      <w:pPr>
        <w:pStyle w:val="NormalIndent"/>
        <w:widowControl w:val="0"/>
        <w:spacing w:before="0" w:after="0"/>
        <w:ind w:left="0" w:right="26"/>
        <w:rPr>
          <w:rStyle w:val="sb8d990e2"/>
          <w:rFonts w:ascii="Verdana" w:hAnsi="Verdana"/>
          <w:szCs w:val="22"/>
        </w:rPr>
      </w:pPr>
    </w:p>
    <w:p w:rsidR="005C0830" w:rsidRPr="006928B9" w:rsidRDefault="00475E52" w:rsidP="00A70524">
      <w:pPr>
        <w:pStyle w:val="NormalIndent"/>
        <w:widowControl w:val="0"/>
        <w:spacing w:before="0" w:after="0"/>
        <w:ind w:left="0" w:right="26"/>
        <w:rPr>
          <w:rStyle w:val="sb8d990e2"/>
          <w:rFonts w:ascii="Verdana" w:hAnsi="Verdana"/>
          <w:szCs w:val="22"/>
        </w:rPr>
      </w:pPr>
      <w:r>
        <w:rPr>
          <w:rStyle w:val="sb8d990e2"/>
          <w:rFonts w:ascii="Verdana" w:hAnsi="Verdana"/>
          <w:szCs w:val="22"/>
        </w:rPr>
        <w:t xml:space="preserve">Put another way, a positive obligation will only be recognised when there has been some serious interference with a fundamental right by a private body or where State action is required to </w:t>
      </w:r>
      <w:r w:rsidR="00EC12B2">
        <w:rPr>
          <w:rStyle w:val="sb8d990e2"/>
          <w:rFonts w:ascii="Verdana" w:hAnsi="Verdana"/>
          <w:szCs w:val="22"/>
        </w:rPr>
        <w:t xml:space="preserve">protect core elements of a </w:t>
      </w:r>
      <w:r>
        <w:rPr>
          <w:rStyle w:val="sb8d990e2"/>
          <w:rFonts w:ascii="Verdana" w:hAnsi="Verdana"/>
          <w:szCs w:val="22"/>
        </w:rPr>
        <w:t xml:space="preserve">right.  It is noteworthy that that one of the most extensive areas of development of positive obligations </w:t>
      </w:r>
      <w:r w:rsidR="00CF3B99">
        <w:rPr>
          <w:rStyle w:val="sb8d990e2"/>
          <w:rFonts w:ascii="Verdana" w:hAnsi="Verdana"/>
          <w:szCs w:val="22"/>
        </w:rPr>
        <w:t>has</w:t>
      </w:r>
      <w:r>
        <w:rPr>
          <w:rStyle w:val="sb8d990e2"/>
          <w:rFonts w:ascii="Verdana" w:hAnsi="Verdana"/>
          <w:szCs w:val="22"/>
        </w:rPr>
        <w:t xml:space="preserve"> been in relation to the protection of the “absolute rights” under Articles 2, 3 and 4 of the Convention. </w:t>
      </w:r>
    </w:p>
    <w:p w:rsidR="00945775" w:rsidRPr="006928B9" w:rsidRDefault="005C0830" w:rsidP="00A70524">
      <w:pPr>
        <w:pStyle w:val="s32b251d"/>
        <w:jc w:val="both"/>
        <w:rPr>
          <w:rStyle w:val="sb8d990e2"/>
          <w:rFonts w:ascii="Verdana" w:hAnsi="Verdana"/>
          <w:sz w:val="22"/>
          <w:szCs w:val="22"/>
        </w:rPr>
      </w:pPr>
      <w:r w:rsidRPr="00475E52">
        <w:rPr>
          <w:rStyle w:val="sb8d990e2"/>
          <w:rFonts w:ascii="Verdana" w:hAnsi="Verdana"/>
          <w:b/>
          <w:i/>
          <w:sz w:val="22"/>
          <w:szCs w:val="22"/>
        </w:rPr>
        <w:t>Second</w:t>
      </w:r>
      <w:r w:rsidRPr="006928B9">
        <w:rPr>
          <w:rStyle w:val="sb8d990e2"/>
          <w:rFonts w:ascii="Verdana" w:hAnsi="Verdana"/>
          <w:sz w:val="22"/>
          <w:szCs w:val="22"/>
        </w:rPr>
        <w:t xml:space="preserve">, </w:t>
      </w:r>
      <w:r w:rsidR="00D72285">
        <w:rPr>
          <w:rStyle w:val="sb8d990e2"/>
          <w:rFonts w:ascii="Verdana" w:hAnsi="Verdana"/>
          <w:sz w:val="22"/>
          <w:szCs w:val="22"/>
        </w:rPr>
        <w:t xml:space="preserve">a positive obligation is imposed in circumstances where </w:t>
      </w:r>
      <w:r w:rsidR="00945775" w:rsidRPr="006928B9">
        <w:rPr>
          <w:rStyle w:val="sb8d990e2"/>
          <w:rFonts w:ascii="Verdana" w:hAnsi="Verdana"/>
          <w:sz w:val="22"/>
          <w:szCs w:val="22"/>
        </w:rPr>
        <w:t xml:space="preserve">the State </w:t>
      </w:r>
      <w:r w:rsidR="00D72285">
        <w:rPr>
          <w:rStyle w:val="sb8d990e2"/>
          <w:rFonts w:ascii="Verdana" w:hAnsi="Verdana"/>
          <w:sz w:val="22"/>
          <w:szCs w:val="22"/>
        </w:rPr>
        <w:t xml:space="preserve">can </w:t>
      </w:r>
      <w:r w:rsidR="00945775" w:rsidRPr="006928B9">
        <w:rPr>
          <w:rStyle w:val="sb8d990e2"/>
          <w:rFonts w:ascii="Verdana" w:hAnsi="Verdana"/>
          <w:sz w:val="22"/>
          <w:szCs w:val="22"/>
        </w:rPr>
        <w:t>“reasonably be expected to act so as to prevent or put an end to the alleged infringement of the applicant's rights.”</w:t>
      </w:r>
      <w:r w:rsidR="00945775" w:rsidRPr="006928B9">
        <w:rPr>
          <w:rStyle w:val="FootnoteReference"/>
          <w:rFonts w:ascii="Verdana" w:hAnsi="Verdana"/>
          <w:sz w:val="22"/>
          <w:szCs w:val="22"/>
        </w:rPr>
        <w:footnoteReference w:id="65"/>
      </w:r>
      <w:r w:rsidR="00475E52">
        <w:rPr>
          <w:rStyle w:val="sb8d990e2"/>
          <w:rFonts w:ascii="Verdana" w:hAnsi="Verdana"/>
          <w:sz w:val="22"/>
          <w:szCs w:val="22"/>
        </w:rPr>
        <w:t xml:space="preserve">  </w:t>
      </w:r>
      <w:r w:rsidR="00945775" w:rsidRPr="006928B9">
        <w:rPr>
          <w:rStyle w:val="sb8d990e2"/>
          <w:rFonts w:ascii="Verdana" w:hAnsi="Verdana"/>
          <w:sz w:val="22"/>
          <w:szCs w:val="22"/>
        </w:rPr>
        <w:t xml:space="preserve">An important factor will be whether the </w:t>
      </w:r>
      <w:r w:rsidR="00945775" w:rsidRPr="003B40B3">
        <w:rPr>
          <w:rFonts w:ascii="Verdana" w:hAnsi="Verdana"/>
          <w:sz w:val="22"/>
          <w:szCs w:val="22"/>
        </w:rPr>
        <w:t xml:space="preserve">obligation which would involve imposing on the State significant additional </w:t>
      </w:r>
      <w:r w:rsidR="00945775" w:rsidRPr="003B40B3">
        <w:rPr>
          <w:rFonts w:ascii="Verdana" w:hAnsi="Verdana"/>
          <w:sz w:val="22"/>
          <w:szCs w:val="22"/>
        </w:rPr>
        <w:lastRenderedPageBreak/>
        <w:t>expenditure</w:t>
      </w:r>
      <w:r w:rsidR="00945775" w:rsidRPr="006928B9">
        <w:rPr>
          <w:rFonts w:ascii="Verdana" w:hAnsi="Verdana"/>
          <w:sz w:val="22"/>
          <w:szCs w:val="22"/>
        </w:rPr>
        <w:t>.</w:t>
      </w:r>
      <w:r w:rsidR="00945775" w:rsidRPr="006928B9">
        <w:rPr>
          <w:rStyle w:val="FootnoteReference"/>
          <w:rFonts w:ascii="Verdana" w:hAnsi="Verdana"/>
          <w:sz w:val="22"/>
          <w:szCs w:val="22"/>
        </w:rPr>
        <w:footnoteReference w:id="66"/>
      </w:r>
      <w:r w:rsidR="00475E52">
        <w:rPr>
          <w:rFonts w:ascii="Verdana" w:hAnsi="Verdana"/>
          <w:sz w:val="22"/>
          <w:szCs w:val="22"/>
        </w:rPr>
        <w:t xml:space="preserve">  This factor will mean that, in general, it will be easier to recognise “horizontal” </w:t>
      </w:r>
      <w:r w:rsidR="00FB5D4A">
        <w:rPr>
          <w:rFonts w:ascii="Verdana" w:hAnsi="Verdana"/>
          <w:sz w:val="22"/>
          <w:szCs w:val="22"/>
        </w:rPr>
        <w:t>positive obligations than those which require the State to take action.</w:t>
      </w:r>
    </w:p>
    <w:p w:rsidR="005C0830" w:rsidRDefault="00945775" w:rsidP="00A70524">
      <w:pPr>
        <w:pStyle w:val="NormalIndent"/>
        <w:widowControl w:val="0"/>
        <w:spacing w:before="0" w:after="0"/>
        <w:ind w:left="0" w:right="26"/>
        <w:rPr>
          <w:rFonts w:ascii="Verdana" w:hAnsi="Verdana"/>
          <w:color w:val="000000"/>
          <w:szCs w:val="22"/>
        </w:rPr>
      </w:pPr>
      <w:r w:rsidRPr="00FB5D4A">
        <w:rPr>
          <w:rFonts w:ascii="Verdana" w:hAnsi="Verdana"/>
          <w:b/>
          <w:i/>
          <w:color w:val="000000"/>
          <w:szCs w:val="22"/>
        </w:rPr>
        <w:t>Third</w:t>
      </w:r>
      <w:r w:rsidRPr="006928B9">
        <w:rPr>
          <w:rFonts w:ascii="Verdana" w:hAnsi="Verdana"/>
          <w:color w:val="000000"/>
          <w:szCs w:val="22"/>
        </w:rPr>
        <w:t>,</w:t>
      </w:r>
      <w:r w:rsidR="003D29E1">
        <w:rPr>
          <w:rFonts w:ascii="Verdana" w:hAnsi="Verdana"/>
          <w:color w:val="000000"/>
          <w:szCs w:val="22"/>
        </w:rPr>
        <w:t xml:space="preserve"> in deciding whether or not there is a positive obligation, the Court must have regard to the diversity of practices in different Contracting States.</w:t>
      </w:r>
      <w:r w:rsidR="003D29E1">
        <w:rPr>
          <w:rStyle w:val="FootnoteReference"/>
          <w:rFonts w:ascii="Verdana" w:hAnsi="Verdana"/>
          <w:color w:val="000000"/>
          <w:szCs w:val="22"/>
        </w:rPr>
        <w:footnoteReference w:id="67"/>
      </w:r>
      <w:r w:rsidRPr="006928B9">
        <w:rPr>
          <w:rFonts w:ascii="Verdana" w:hAnsi="Verdana"/>
          <w:color w:val="000000"/>
          <w:szCs w:val="22"/>
        </w:rPr>
        <w:t xml:space="preserve"> </w:t>
      </w:r>
      <w:r w:rsidR="003D29E1">
        <w:rPr>
          <w:rFonts w:ascii="Verdana" w:hAnsi="Verdana"/>
          <w:color w:val="000000"/>
          <w:szCs w:val="22"/>
        </w:rPr>
        <w:t xml:space="preserve"> A strong indication in favour of a positive obligation will be </w:t>
      </w:r>
      <w:r w:rsidRPr="006928B9">
        <w:rPr>
          <w:rFonts w:ascii="Verdana" w:hAnsi="Verdana"/>
          <w:color w:val="000000"/>
          <w:szCs w:val="22"/>
        </w:rPr>
        <w:t xml:space="preserve">a </w:t>
      </w:r>
      <w:r w:rsidR="00EC12B2">
        <w:rPr>
          <w:rFonts w:ascii="Verdana" w:hAnsi="Verdana"/>
          <w:color w:val="000000"/>
          <w:szCs w:val="22"/>
        </w:rPr>
        <w:t>“</w:t>
      </w:r>
      <w:r w:rsidRPr="006928B9">
        <w:rPr>
          <w:rFonts w:ascii="Verdana" w:hAnsi="Verdana"/>
          <w:color w:val="000000"/>
          <w:szCs w:val="22"/>
        </w:rPr>
        <w:t xml:space="preserve">broad </w:t>
      </w:r>
      <w:r w:rsidR="005C0830" w:rsidRPr="006928B9">
        <w:rPr>
          <w:rFonts w:ascii="Verdana" w:hAnsi="Verdana"/>
          <w:color w:val="000000"/>
          <w:szCs w:val="22"/>
        </w:rPr>
        <w:t>consensus</w:t>
      </w:r>
      <w:r w:rsidR="00EC12B2">
        <w:rPr>
          <w:rFonts w:ascii="Verdana" w:hAnsi="Verdana"/>
          <w:color w:val="000000"/>
          <w:szCs w:val="22"/>
        </w:rPr>
        <w:t>”</w:t>
      </w:r>
      <w:r w:rsidR="005C0830" w:rsidRPr="006928B9">
        <w:rPr>
          <w:rFonts w:ascii="Verdana" w:hAnsi="Verdana"/>
          <w:color w:val="000000"/>
          <w:szCs w:val="22"/>
        </w:rPr>
        <w:t xml:space="preserve"> on the </w:t>
      </w:r>
      <w:smartTag w:uri="urn:schemas-microsoft-com:office:smarttags" w:element="PersonName">
        <w:r w:rsidR="005C0830" w:rsidRPr="006928B9">
          <w:rPr>
            <w:rFonts w:ascii="Verdana" w:hAnsi="Verdana"/>
            <w:color w:val="000000"/>
            <w:szCs w:val="22"/>
          </w:rPr>
          <w:t>is</w:t>
        </w:r>
      </w:smartTag>
      <w:r w:rsidR="005C0830" w:rsidRPr="006928B9">
        <w:rPr>
          <w:rFonts w:ascii="Verdana" w:hAnsi="Verdana"/>
          <w:color w:val="000000"/>
          <w:szCs w:val="22"/>
        </w:rPr>
        <w:t xml:space="preserve">sue among Council of Europe States or internationally </w:t>
      </w:r>
      <w:r w:rsidR="005C0830" w:rsidRPr="006928B9">
        <w:rPr>
          <w:rFonts w:ascii="Verdana" w:hAnsi="Verdana"/>
          <w:szCs w:val="22"/>
        </w:rPr>
        <w:t>either as to the relative importance of the interest at stake or as to the best means of protecting it</w:t>
      </w:r>
      <w:r w:rsidR="00123921">
        <w:rPr>
          <w:rFonts w:ascii="Verdana" w:hAnsi="Verdana"/>
          <w:szCs w:val="22"/>
        </w:rPr>
        <w:t>.</w:t>
      </w:r>
      <w:r w:rsidR="005C0830" w:rsidRPr="006928B9">
        <w:rPr>
          <w:rStyle w:val="FootnoteReference"/>
          <w:rFonts w:ascii="Verdana" w:hAnsi="Verdana"/>
          <w:color w:val="000000"/>
          <w:szCs w:val="22"/>
        </w:rPr>
        <w:t>”</w:t>
      </w:r>
      <w:r w:rsidR="005C0830" w:rsidRPr="006928B9">
        <w:rPr>
          <w:rStyle w:val="FootnoteReference"/>
          <w:rFonts w:ascii="Verdana" w:hAnsi="Verdana"/>
          <w:color w:val="000000"/>
          <w:szCs w:val="22"/>
        </w:rPr>
        <w:footnoteReference w:id="68"/>
      </w:r>
    </w:p>
    <w:p w:rsidR="003D29E1" w:rsidRDefault="003D29E1" w:rsidP="00A70524">
      <w:pPr>
        <w:pStyle w:val="NormalIndent"/>
        <w:widowControl w:val="0"/>
        <w:spacing w:before="0" w:after="0"/>
        <w:ind w:left="0" w:right="26"/>
        <w:rPr>
          <w:rFonts w:ascii="Verdana" w:hAnsi="Verdana"/>
          <w:color w:val="000000"/>
          <w:szCs w:val="22"/>
        </w:rPr>
      </w:pPr>
    </w:p>
    <w:p w:rsidR="003D29E1" w:rsidRDefault="003D29E1" w:rsidP="00A70524">
      <w:pPr>
        <w:pStyle w:val="NormalIndent"/>
        <w:widowControl w:val="0"/>
        <w:spacing w:before="0" w:after="0"/>
        <w:ind w:left="0" w:right="26"/>
        <w:rPr>
          <w:rStyle w:val="sb8d990e2"/>
          <w:rFonts w:ascii="Verdana" w:hAnsi="Verdana"/>
          <w:szCs w:val="22"/>
        </w:rPr>
      </w:pPr>
      <w:r>
        <w:rPr>
          <w:rFonts w:ascii="Verdana" w:hAnsi="Verdana"/>
          <w:color w:val="000000"/>
          <w:szCs w:val="22"/>
        </w:rPr>
        <w:t xml:space="preserve">It should, however, be noted </w:t>
      </w:r>
      <w:r w:rsidR="00D86E03">
        <w:rPr>
          <w:rFonts w:ascii="Verdana" w:hAnsi="Verdana"/>
          <w:color w:val="000000"/>
          <w:szCs w:val="22"/>
        </w:rPr>
        <w:t>these factors are derived from scattered dicta in cases which often use the well-established formula mentioned above.  T</w:t>
      </w:r>
      <w:r>
        <w:rPr>
          <w:rFonts w:ascii="Verdana" w:hAnsi="Verdana"/>
          <w:color w:val="000000"/>
          <w:szCs w:val="22"/>
        </w:rPr>
        <w:t xml:space="preserve">he Court rarely conducts an explicit analysis in terms of these factors, often subsuming considerations of this kind in a general reference to a “fair balance” </w:t>
      </w:r>
      <w:r w:rsidRPr="006928B9">
        <w:rPr>
          <w:rStyle w:val="sb8d990e2"/>
          <w:rFonts w:ascii="Verdana" w:hAnsi="Verdana"/>
          <w:szCs w:val="22"/>
        </w:rPr>
        <w:t>between the general interest of the community and the interests of the individual</w:t>
      </w:r>
      <w:r>
        <w:rPr>
          <w:rStyle w:val="sb8d990e2"/>
          <w:rFonts w:ascii="Verdana" w:hAnsi="Verdana"/>
          <w:szCs w:val="22"/>
        </w:rPr>
        <w:t>.</w:t>
      </w:r>
    </w:p>
    <w:p w:rsidR="00AF2D8D" w:rsidRDefault="00AF2D8D" w:rsidP="00A70524">
      <w:pPr>
        <w:pStyle w:val="NormalIndent"/>
        <w:widowControl w:val="0"/>
        <w:spacing w:before="0" w:after="0"/>
        <w:ind w:left="0" w:right="26"/>
        <w:rPr>
          <w:rStyle w:val="sb8d990e2"/>
          <w:rFonts w:ascii="Verdana" w:hAnsi="Verdana"/>
          <w:szCs w:val="22"/>
        </w:rPr>
      </w:pPr>
    </w:p>
    <w:p w:rsidR="00AF2D8D" w:rsidRDefault="00AF2D8D" w:rsidP="00A70524">
      <w:pPr>
        <w:pStyle w:val="NormalIndent"/>
        <w:widowControl w:val="0"/>
        <w:spacing w:before="0" w:after="0"/>
        <w:ind w:left="0" w:right="26"/>
        <w:rPr>
          <w:rStyle w:val="sb8d990e2"/>
          <w:rFonts w:ascii="Verdana" w:hAnsi="Verdana"/>
          <w:b/>
          <w:smallCaps/>
          <w:szCs w:val="22"/>
        </w:rPr>
      </w:pPr>
      <w:r w:rsidRPr="00AF2D8D">
        <w:rPr>
          <w:rStyle w:val="sb8d990e2"/>
          <w:rFonts w:ascii="Verdana" w:hAnsi="Verdana"/>
          <w:b/>
          <w:smallCaps/>
          <w:szCs w:val="22"/>
        </w:rPr>
        <w:t>Conclusion</w:t>
      </w:r>
    </w:p>
    <w:p w:rsidR="0014434C" w:rsidRDefault="0014434C" w:rsidP="00A70524">
      <w:pPr>
        <w:pStyle w:val="NormalIndent"/>
        <w:widowControl w:val="0"/>
        <w:spacing w:before="0" w:after="0"/>
        <w:ind w:left="0" w:right="26"/>
        <w:rPr>
          <w:rStyle w:val="sb8d990e2"/>
          <w:rFonts w:ascii="Verdana" w:hAnsi="Verdana"/>
          <w:b/>
          <w:smallCaps/>
          <w:szCs w:val="22"/>
        </w:rPr>
      </w:pPr>
    </w:p>
    <w:p w:rsidR="00AF2D8D" w:rsidRPr="0053749C" w:rsidRDefault="00AF2D8D" w:rsidP="0053749C">
      <w:pPr>
        <w:pStyle w:val="NormalIndent"/>
        <w:widowControl w:val="0"/>
        <w:spacing w:before="0" w:after="0"/>
        <w:ind w:left="0" w:right="26"/>
        <w:rPr>
          <w:rStyle w:val="FootnoteReference"/>
          <w:rFonts w:ascii="Verdana" w:hAnsi="Verdana"/>
          <w:color w:val="000000"/>
          <w:szCs w:val="22"/>
        </w:rPr>
      </w:pPr>
      <w:r>
        <w:rPr>
          <w:rStyle w:val="sb8d990e2"/>
          <w:rFonts w:ascii="Verdana" w:hAnsi="Verdana"/>
          <w:szCs w:val="22"/>
        </w:rPr>
        <w:t>Over the past half century the Court has recognised a powerful and wide ranging set of</w:t>
      </w:r>
      <w:r w:rsidRPr="0053749C">
        <w:rPr>
          <w:rStyle w:val="sb8d990e2"/>
          <w:rFonts w:ascii="Verdana" w:hAnsi="Verdana"/>
          <w:szCs w:val="22"/>
        </w:rPr>
        <w:t xml:space="preserve"> </w:t>
      </w:r>
      <w:r w:rsidR="0053749C" w:rsidRPr="0053749C">
        <w:rPr>
          <w:rStyle w:val="sb8d990e2"/>
          <w:rFonts w:ascii="Verdana" w:hAnsi="Verdana"/>
          <w:szCs w:val="22"/>
        </w:rPr>
        <w:t xml:space="preserve">positive obligations, what has been described as </w:t>
      </w:r>
      <w:r w:rsidRPr="0053749C">
        <w:rPr>
          <w:rFonts w:ascii="Verdana" w:eastAsia="Calibri" w:hAnsi="Verdana" w:cs="MinionPro-Regular"/>
          <w:szCs w:val="22"/>
          <w:lang w:eastAsia="en-GB"/>
        </w:rPr>
        <w:t>“decisive weapon”</w:t>
      </w:r>
      <w:r w:rsidR="0053749C" w:rsidRPr="0053749C">
        <w:rPr>
          <w:rStyle w:val="FootnoteReference"/>
          <w:rFonts w:ascii="Verdana" w:eastAsia="Calibri" w:hAnsi="Verdana" w:cs="MinionPro-Regular"/>
          <w:szCs w:val="22"/>
          <w:lang w:eastAsia="en-GB"/>
        </w:rPr>
        <w:footnoteReference w:id="69"/>
      </w:r>
      <w:r w:rsidR="0053749C" w:rsidRPr="0053749C">
        <w:rPr>
          <w:rFonts w:ascii="Verdana" w:eastAsia="Calibri" w:hAnsi="Verdana" w:cs="MinionPro-Regular"/>
          <w:szCs w:val="22"/>
          <w:lang w:eastAsia="en-GB"/>
        </w:rPr>
        <w:t xml:space="preserve"> to give effect to Convention rights. </w:t>
      </w:r>
      <w:r w:rsidR="0053749C">
        <w:rPr>
          <w:rFonts w:ascii="Verdana" w:eastAsia="Calibri" w:hAnsi="Verdana" w:cs="MinionPro-Regular"/>
          <w:szCs w:val="22"/>
          <w:lang w:eastAsia="en-GB"/>
        </w:rPr>
        <w:t>Powerful though this weapon is the precise rules for its manufacture and use remain obscure.</w:t>
      </w:r>
      <w:r w:rsidR="00CF3B99">
        <w:rPr>
          <w:rFonts w:ascii="Verdana" w:eastAsia="Calibri" w:hAnsi="Verdana" w:cs="MinionPro-Regular"/>
          <w:szCs w:val="22"/>
          <w:lang w:eastAsia="en-GB"/>
        </w:rPr>
        <w:t xml:space="preserve">  It is likely that both the Strasbourg court will continue to proceed cautiously in this area, eschewing analysis of general principle in favour of case by case responses to manifest injustice. </w:t>
      </w:r>
    </w:p>
    <w:p w:rsidR="00123921" w:rsidRDefault="00123921" w:rsidP="005C0830">
      <w:pPr>
        <w:pStyle w:val="NormalIndent"/>
        <w:widowControl w:val="0"/>
        <w:spacing w:before="0" w:after="0"/>
        <w:ind w:left="0" w:right="26"/>
        <w:rPr>
          <w:rStyle w:val="FootnoteReference"/>
          <w:rFonts w:ascii="Verdana" w:hAnsi="Verdana"/>
          <w:color w:val="000000"/>
          <w:szCs w:val="22"/>
        </w:rPr>
      </w:pPr>
    </w:p>
    <w:p w:rsidR="00123921" w:rsidRDefault="00123921" w:rsidP="00123921">
      <w:pPr>
        <w:pStyle w:val="NormalIndent"/>
        <w:widowControl w:val="0"/>
        <w:spacing w:before="0" w:after="0"/>
        <w:ind w:left="0" w:right="26"/>
        <w:jc w:val="right"/>
        <w:rPr>
          <w:rFonts w:ascii="Verdana" w:hAnsi="Verdana"/>
          <w:color w:val="000000"/>
          <w:szCs w:val="22"/>
        </w:rPr>
      </w:pPr>
      <w:r>
        <w:rPr>
          <w:rStyle w:val="FootnoteReference"/>
          <w:rFonts w:ascii="Verdana" w:hAnsi="Verdana"/>
          <w:color w:val="000000"/>
          <w:szCs w:val="22"/>
          <w:vertAlign w:val="baseline"/>
        </w:rPr>
        <w:t>Hugh Tomlinson QC</w:t>
      </w:r>
    </w:p>
    <w:p w:rsidR="00123921" w:rsidRDefault="00123921" w:rsidP="00123921">
      <w:pPr>
        <w:pStyle w:val="NormalIndent"/>
        <w:widowControl w:val="0"/>
        <w:spacing w:before="0" w:after="0"/>
        <w:ind w:left="0" w:right="26"/>
        <w:jc w:val="right"/>
        <w:rPr>
          <w:rStyle w:val="FootnoteReference"/>
          <w:rFonts w:ascii="Verdana" w:hAnsi="Verdana"/>
          <w:color w:val="000000"/>
          <w:szCs w:val="22"/>
          <w:vertAlign w:val="baseline"/>
        </w:rPr>
      </w:pPr>
    </w:p>
    <w:p w:rsidR="00123921" w:rsidRDefault="00123921" w:rsidP="00123921">
      <w:pPr>
        <w:pStyle w:val="NormalIndent"/>
        <w:widowControl w:val="0"/>
        <w:spacing w:before="0" w:after="0"/>
        <w:ind w:left="0" w:right="26"/>
        <w:jc w:val="right"/>
        <w:rPr>
          <w:rStyle w:val="FootnoteReference"/>
          <w:rFonts w:ascii="Verdana" w:hAnsi="Verdana"/>
          <w:color w:val="000000"/>
          <w:szCs w:val="22"/>
          <w:vertAlign w:val="baseline"/>
        </w:rPr>
      </w:pPr>
      <w:r>
        <w:rPr>
          <w:rStyle w:val="FootnoteReference"/>
          <w:rFonts w:ascii="Verdana" w:hAnsi="Verdana"/>
          <w:color w:val="000000"/>
          <w:szCs w:val="22"/>
          <w:vertAlign w:val="baseline"/>
        </w:rPr>
        <w:t>Matrix Chambers</w:t>
      </w:r>
    </w:p>
    <w:p w:rsidR="00123921" w:rsidRPr="00123921" w:rsidRDefault="00123921" w:rsidP="00123921">
      <w:pPr>
        <w:pStyle w:val="NormalIndent"/>
        <w:widowControl w:val="0"/>
        <w:spacing w:before="0" w:after="0"/>
        <w:ind w:left="0" w:right="26"/>
        <w:jc w:val="right"/>
        <w:rPr>
          <w:rFonts w:ascii="Verdana" w:hAnsi="Verdana"/>
          <w:szCs w:val="22"/>
        </w:rPr>
      </w:pPr>
      <w:r>
        <w:rPr>
          <w:rStyle w:val="FootnoteReference"/>
          <w:rFonts w:ascii="Verdana" w:hAnsi="Verdana"/>
          <w:color w:val="000000"/>
          <w:szCs w:val="22"/>
          <w:vertAlign w:val="baseline"/>
        </w:rPr>
        <w:t>21 July 2012</w:t>
      </w:r>
    </w:p>
    <w:p w:rsidR="005C0830" w:rsidRPr="006928B9" w:rsidRDefault="005C0830" w:rsidP="00B7038B">
      <w:pPr>
        <w:pStyle w:val="NormalIndent"/>
        <w:widowControl w:val="0"/>
        <w:spacing w:before="0" w:after="0"/>
        <w:ind w:left="0" w:right="26"/>
        <w:rPr>
          <w:rStyle w:val="sb8d990e2"/>
          <w:rFonts w:ascii="Verdana" w:hAnsi="Verdana"/>
          <w:szCs w:val="22"/>
        </w:rPr>
      </w:pPr>
    </w:p>
    <w:p w:rsidR="002B0F1C" w:rsidRPr="006928B9" w:rsidRDefault="002B0F1C" w:rsidP="00805942">
      <w:pPr>
        <w:widowControl w:val="0"/>
        <w:ind w:left="-576" w:hanging="720"/>
        <w:rPr>
          <w:rFonts w:ascii="Verdana" w:hAnsi="Verdana"/>
          <w:szCs w:val="22"/>
        </w:rPr>
      </w:pPr>
    </w:p>
    <w:p w:rsidR="002B0F1C" w:rsidRPr="006928B9" w:rsidRDefault="002B0F1C" w:rsidP="002B0F1C">
      <w:pPr>
        <w:pStyle w:val="NormalIndent"/>
        <w:widowControl w:val="0"/>
        <w:spacing w:before="0" w:after="0"/>
        <w:ind w:left="720" w:right="691"/>
        <w:rPr>
          <w:rFonts w:ascii="Verdana" w:hAnsi="Verdana"/>
          <w:szCs w:val="22"/>
        </w:rPr>
      </w:pPr>
    </w:p>
    <w:p w:rsidR="002B0F1C" w:rsidRPr="006928B9" w:rsidRDefault="002B0F1C" w:rsidP="0025376A">
      <w:pPr>
        <w:widowControl w:val="0"/>
        <w:ind w:left="-576"/>
        <w:rPr>
          <w:rFonts w:ascii="Verdana" w:hAnsi="Verdana"/>
          <w:szCs w:val="22"/>
        </w:rPr>
      </w:pPr>
      <w:r w:rsidRPr="006928B9">
        <w:rPr>
          <w:rFonts w:ascii="Verdana" w:hAnsi="Verdana"/>
          <w:szCs w:val="22"/>
        </w:rPr>
        <w:tab/>
      </w:r>
    </w:p>
    <w:p w:rsidR="004846AF" w:rsidRPr="006928B9" w:rsidRDefault="004846AF" w:rsidP="002B0F1C">
      <w:pPr>
        <w:rPr>
          <w:rFonts w:ascii="Verdana" w:hAnsi="Verdana"/>
          <w:szCs w:val="22"/>
        </w:rPr>
      </w:pPr>
    </w:p>
    <w:sectPr w:rsidR="004846AF" w:rsidRPr="006928B9" w:rsidSect="004537E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4E" w:rsidRDefault="00F0214E" w:rsidP="002B0F1C">
      <w:r>
        <w:separator/>
      </w:r>
    </w:p>
  </w:endnote>
  <w:endnote w:type="continuationSeparator" w:id="0">
    <w:p w:rsidR="00F0214E" w:rsidRDefault="00F0214E" w:rsidP="002B0F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Semi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nionPro-I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27" w:rsidRPr="00FC58CF" w:rsidRDefault="009D4627">
    <w:pPr>
      <w:pStyle w:val="Footer"/>
      <w:jc w:val="center"/>
      <w:rPr>
        <w:rFonts w:ascii="Verdana" w:hAnsi="Verdana"/>
      </w:rPr>
    </w:pPr>
    <w:r w:rsidRPr="00FC58CF">
      <w:rPr>
        <w:rFonts w:ascii="Verdana" w:hAnsi="Verdana"/>
      </w:rPr>
      <w:fldChar w:fldCharType="begin"/>
    </w:r>
    <w:r w:rsidRPr="00FC58CF">
      <w:rPr>
        <w:rFonts w:ascii="Verdana" w:hAnsi="Verdana"/>
      </w:rPr>
      <w:instrText xml:space="preserve"> PAGE   \* MERGEFORMAT </w:instrText>
    </w:r>
    <w:r w:rsidRPr="00FC58CF">
      <w:rPr>
        <w:rFonts w:ascii="Verdana" w:hAnsi="Verdana"/>
      </w:rPr>
      <w:fldChar w:fldCharType="separate"/>
    </w:r>
    <w:r w:rsidR="001024AF">
      <w:rPr>
        <w:rFonts w:ascii="Verdana" w:hAnsi="Verdana"/>
        <w:noProof/>
      </w:rPr>
      <w:t>11</w:t>
    </w:r>
    <w:r w:rsidRPr="00FC58CF">
      <w:rPr>
        <w:rFonts w:ascii="Verdana" w:hAnsi="Verdana"/>
        <w:noProof/>
      </w:rPr>
      <w:fldChar w:fldCharType="end"/>
    </w:r>
  </w:p>
  <w:p w:rsidR="009D4627" w:rsidRDefault="009D4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4E" w:rsidRDefault="00F0214E" w:rsidP="002B0F1C">
      <w:r>
        <w:separator/>
      </w:r>
    </w:p>
  </w:footnote>
  <w:footnote w:type="continuationSeparator" w:id="0">
    <w:p w:rsidR="00F0214E" w:rsidRDefault="00F0214E" w:rsidP="002B0F1C">
      <w:r>
        <w:continuationSeparator/>
      </w:r>
    </w:p>
  </w:footnote>
  <w:footnote w:id="1">
    <w:p w:rsidR="002719A7" w:rsidRPr="00181AA0" w:rsidRDefault="002719A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This is an expanded version of a paper presented at the ALBA Summer Conference in July 2012. The positive obligation under Articles 8 and 10 to provide information was considered in a </w:t>
      </w:r>
      <w:r w:rsidR="00D511FE" w:rsidRPr="00181AA0">
        <w:rPr>
          <w:rFonts w:ascii="Verdana" w:hAnsi="Verdana"/>
        </w:rPr>
        <w:t>paper by Karen Steyn: “Positive obligations to provide access to information under the European Convention on Human Rights”</w:t>
      </w:r>
      <w:r w:rsidRPr="00181AA0">
        <w:rPr>
          <w:rFonts w:ascii="Verdana" w:hAnsi="Verdana"/>
        </w:rPr>
        <w:t xml:space="preserve">. </w:t>
      </w:r>
    </w:p>
  </w:footnote>
  <w:footnote w:id="2">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Style w:val="Emphasis"/>
          <w:rFonts w:ascii="Verdana" w:hAnsi="Verdana"/>
        </w:rPr>
        <w:t>Centro Europa 7 S.r.l. and Di Stefano v. Italy</w:t>
      </w:r>
      <w:r w:rsidRPr="00181AA0">
        <w:rPr>
          <w:rFonts w:ascii="Verdana" w:hAnsi="Verdana"/>
        </w:rPr>
        <w:t xml:space="preserve"> (application no. 38433/09)([2012] ECHR 974),</w:t>
      </w:r>
    </w:p>
  </w:footnote>
  <w:footnote w:id="3">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Ibid, [129]</w:t>
      </w:r>
    </w:p>
  </w:footnote>
  <w:footnote w:id="4">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Ibid [130]</w:t>
      </w:r>
    </w:p>
  </w:footnote>
  <w:footnote w:id="5">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proofErr w:type="gramStart"/>
      <w:r w:rsidRPr="00181AA0">
        <w:rPr>
          <w:rFonts w:ascii="Verdana" w:hAnsi="Verdana"/>
        </w:rPr>
        <w:t>Loc cit.</w:t>
      </w:r>
      <w:proofErr w:type="gramEnd"/>
    </w:p>
  </w:footnote>
  <w:footnote w:id="6">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Ibid [134]</w:t>
      </w:r>
    </w:p>
  </w:footnote>
  <w:footnote w:id="7">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Ibid [156]</w:t>
      </w:r>
    </w:p>
  </w:footnote>
  <w:footnote w:id="8">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proofErr w:type="gramStart"/>
      <w:r w:rsidRPr="00181AA0">
        <w:rPr>
          <w:rFonts w:ascii="Verdana" w:hAnsi="Verdana"/>
          <w:i/>
        </w:rPr>
        <w:t xml:space="preserve">Belgian Linguistic (No 2) </w:t>
      </w:r>
      <w:r w:rsidRPr="00181AA0">
        <w:rPr>
          <w:rFonts w:ascii="Verdana" w:hAnsi="Verdana"/>
        </w:rPr>
        <w:t>(1968) 1 EHRR 252 para 7.</w:t>
      </w:r>
      <w:proofErr w:type="gramEnd"/>
    </w:p>
  </w:footnote>
  <w:footnote w:id="9">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Article 2 of Protocol 1</w:t>
      </w:r>
    </w:p>
  </w:footnote>
  <w:footnote w:id="10">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See D Xenos, </w:t>
      </w:r>
      <w:r w:rsidRPr="00181AA0">
        <w:rPr>
          <w:rFonts w:ascii="Verdana" w:hAnsi="Verdana"/>
          <w:i/>
        </w:rPr>
        <w:t xml:space="preserve">The Positive Obligations of the State under the European Convention of Human Rights </w:t>
      </w:r>
      <w:r w:rsidRPr="00181AA0">
        <w:rPr>
          <w:rFonts w:ascii="Verdana" w:hAnsi="Verdana"/>
        </w:rPr>
        <w:t>(London, Routledge, 2011), p.3.</w:t>
      </w:r>
    </w:p>
  </w:footnote>
  <w:footnote w:id="11">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Art 2(1) states that ‘Everbody’s right to life shall be protected by law’. </w:t>
      </w:r>
    </w:p>
  </w:footnote>
  <w:footnote w:id="12">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proofErr w:type="gramStart"/>
      <w:r w:rsidRPr="00181AA0">
        <w:rPr>
          <w:rFonts w:ascii="Verdana" w:hAnsi="Verdana"/>
        </w:rPr>
        <w:t>(1979) 2 EHRR 330.</w:t>
      </w:r>
      <w:proofErr w:type="gramEnd"/>
    </w:p>
  </w:footnote>
  <w:footnote w:id="13">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proofErr w:type="gramStart"/>
      <w:r w:rsidRPr="00181AA0">
        <w:rPr>
          <w:rFonts w:ascii="Verdana" w:hAnsi="Verdana"/>
          <w:caps/>
        </w:rPr>
        <w:t>i</w:t>
      </w:r>
      <w:r w:rsidRPr="00181AA0">
        <w:rPr>
          <w:rFonts w:ascii="Verdana" w:hAnsi="Verdana"/>
        </w:rPr>
        <w:t>bid para 31.</w:t>
      </w:r>
      <w:proofErr w:type="gramEnd"/>
    </w:p>
  </w:footnote>
  <w:footnote w:id="14">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proofErr w:type="gramStart"/>
      <w:r w:rsidRPr="00181AA0">
        <w:rPr>
          <w:rFonts w:ascii="Verdana" w:hAnsi="Verdana"/>
          <w:i/>
        </w:rPr>
        <w:t xml:space="preserve">Belgian Linguistic (No 2) </w:t>
      </w:r>
      <w:r w:rsidRPr="00181AA0">
        <w:rPr>
          <w:rFonts w:ascii="Verdana" w:hAnsi="Verdana"/>
        </w:rPr>
        <w:t>(1968) 1 EHRR 252 para 7.</w:t>
      </w:r>
      <w:proofErr w:type="gramEnd"/>
    </w:p>
  </w:footnote>
  <w:footnote w:id="15">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(1979</w:t>
      </w:r>
      <w:r w:rsidR="00181AA0" w:rsidRPr="00181AA0">
        <w:rPr>
          <w:rFonts w:ascii="Verdana" w:hAnsi="Verdana"/>
        </w:rPr>
        <w:t>)</w:t>
      </w:r>
      <w:r w:rsidRPr="00181AA0">
        <w:rPr>
          <w:rFonts w:ascii="Verdana" w:hAnsi="Verdana"/>
        </w:rPr>
        <w:t xml:space="preserve"> 2 EHRR 305</w:t>
      </w:r>
    </w:p>
  </w:footnote>
  <w:footnote w:id="16">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Ibid, 319 [33]</w:t>
      </w:r>
    </w:p>
  </w:footnote>
  <w:footnote w:id="17">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See E Bates, </w:t>
      </w:r>
      <w:r w:rsidRPr="00181AA0">
        <w:rPr>
          <w:rFonts w:ascii="Verdana" w:hAnsi="Verdana"/>
          <w:i/>
        </w:rPr>
        <w:t xml:space="preserve">The Evolution of the European Convention on Human Rights </w:t>
      </w:r>
      <w:r w:rsidRPr="00181AA0">
        <w:rPr>
          <w:rFonts w:ascii="Verdana" w:hAnsi="Verdana"/>
        </w:rPr>
        <w:t>(Oxford, OUP, 2010), p.346ff.</w:t>
      </w:r>
    </w:p>
  </w:footnote>
  <w:footnote w:id="18">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D Evrigenis, “Recent Case law of the European Court of Human Rights, Arts 8 and 10 of the ECHR” [1982] HRLJ 121, 126.</w:t>
      </w:r>
    </w:p>
  </w:footnote>
  <w:footnote w:id="19">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(1985) 8 EHHR 235</w:t>
      </w:r>
    </w:p>
  </w:footnote>
  <w:footnote w:id="20">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Ibid, para 23</w:t>
      </w:r>
    </w:p>
  </w:footnote>
  <w:footnote w:id="21">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See A Clapham, “The ‘Drittwirkung’ of the Convention” in R St J Macdonald, F Matscher and H Petzold, </w:t>
      </w:r>
      <w:r w:rsidRPr="00181AA0">
        <w:rPr>
          <w:rFonts w:ascii="Verdana" w:hAnsi="Verdana"/>
          <w:i/>
        </w:rPr>
        <w:t>The European System for the Protection</w:t>
      </w:r>
      <w:r w:rsidR="00C807B0" w:rsidRPr="00181AA0">
        <w:rPr>
          <w:rFonts w:ascii="Verdana" w:hAnsi="Verdana"/>
          <w:i/>
        </w:rPr>
        <w:t xml:space="preserve"> </w:t>
      </w:r>
      <w:r w:rsidRPr="00181AA0">
        <w:rPr>
          <w:rFonts w:ascii="Verdana" w:hAnsi="Verdana"/>
          <w:i/>
        </w:rPr>
        <w:t xml:space="preserve">of Human Rights </w:t>
      </w:r>
      <w:r w:rsidRPr="00181AA0">
        <w:rPr>
          <w:rFonts w:ascii="Verdana" w:hAnsi="Verdana"/>
        </w:rPr>
        <w:t>(Nijhoff, 1993), p.163ff</w:t>
      </w:r>
    </w:p>
  </w:footnote>
  <w:footnote w:id="22">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See </w:t>
      </w:r>
      <w:r w:rsidRPr="00181AA0">
        <w:rPr>
          <w:rFonts w:ascii="Verdana" w:hAnsi="Verdana"/>
          <w:i/>
        </w:rPr>
        <w:t>Artico v Italy</w:t>
      </w:r>
      <w:r w:rsidR="00A01104" w:rsidRPr="00181AA0">
        <w:rPr>
          <w:rFonts w:ascii="Verdana" w:hAnsi="Verdana"/>
        </w:rPr>
        <w:t xml:space="preserve"> (1980) 3 EHRR 1 [</w:t>
      </w:r>
      <w:r w:rsidRPr="00181AA0">
        <w:rPr>
          <w:rFonts w:ascii="Verdana" w:hAnsi="Verdana"/>
        </w:rPr>
        <w:t>33</w:t>
      </w:r>
      <w:r w:rsidR="00A01104" w:rsidRPr="00181AA0">
        <w:rPr>
          <w:rFonts w:ascii="Verdana" w:hAnsi="Verdana"/>
        </w:rPr>
        <w:t>].</w:t>
      </w:r>
      <w:r w:rsidRPr="00181AA0">
        <w:rPr>
          <w:rFonts w:ascii="Verdana" w:hAnsi="Verdana"/>
        </w:rPr>
        <w:t xml:space="preserve"> </w:t>
      </w:r>
    </w:p>
  </w:footnote>
  <w:footnote w:id="23">
    <w:p w:rsidR="00181AA0" w:rsidRPr="00181AA0" w:rsidRDefault="00181AA0" w:rsidP="00181AA0">
      <w:pPr>
        <w:autoSpaceDE w:val="0"/>
        <w:autoSpaceDN w:val="0"/>
        <w:adjustRightInd w:val="0"/>
        <w:spacing w:after="120"/>
        <w:jc w:val="left"/>
        <w:rPr>
          <w:rFonts w:ascii="Verdana" w:hAnsi="Verdana"/>
          <w:sz w:val="20"/>
          <w:szCs w:val="20"/>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t xml:space="preserve">A fuller treatment can be found in </w:t>
      </w:r>
      <w:r>
        <w:rPr>
          <w:rFonts w:ascii="Verdana" w:eastAsia="Calibri" w:hAnsi="Verdana" w:cs="MinionPro-Semibold"/>
          <w:bCs/>
          <w:sz w:val="20"/>
          <w:szCs w:val="20"/>
          <w:lang w:eastAsia="en-GB"/>
        </w:rPr>
        <w:t xml:space="preserve">Jean-François </w:t>
      </w:r>
      <w:r w:rsidRPr="00181AA0">
        <w:rPr>
          <w:rFonts w:ascii="Verdana" w:eastAsia="Calibri" w:hAnsi="Verdana" w:cs="MinionPro-Semibold"/>
          <w:bCs/>
          <w:sz w:val="20"/>
          <w:szCs w:val="20"/>
          <w:lang w:eastAsia="en-GB"/>
        </w:rPr>
        <w:t>Akandji-Kombe</w:t>
      </w:r>
      <w:r w:rsidRPr="00181AA0">
        <w:rPr>
          <w:rFonts w:ascii="Verdana" w:hAnsi="Verdana"/>
          <w:sz w:val="20"/>
          <w:szCs w:val="20"/>
        </w:rPr>
        <w:t xml:space="preserve"> </w:t>
      </w:r>
      <w:r w:rsidRPr="00181AA0">
        <w:rPr>
          <w:rFonts w:ascii="Verdana" w:hAnsi="Verdana"/>
          <w:i/>
          <w:sz w:val="20"/>
          <w:szCs w:val="20"/>
        </w:rPr>
        <w:t>Positive Obligations under the Euro</w:t>
      </w:r>
      <w:r>
        <w:rPr>
          <w:rFonts w:ascii="Verdana" w:hAnsi="Verdana"/>
          <w:i/>
          <w:sz w:val="20"/>
          <w:szCs w:val="20"/>
        </w:rPr>
        <w:t>pean Convention on Human Rights,  (</w:t>
      </w:r>
      <w:r>
        <w:rPr>
          <w:rFonts w:ascii="Verdana" w:hAnsi="Verdana"/>
          <w:sz w:val="20"/>
          <w:szCs w:val="20"/>
        </w:rPr>
        <w:t xml:space="preserve">Council of Europe, </w:t>
      </w:r>
      <w:r w:rsidRPr="00181AA0">
        <w:rPr>
          <w:rFonts w:ascii="Verdana" w:hAnsi="Verdana"/>
          <w:sz w:val="20"/>
          <w:szCs w:val="20"/>
        </w:rPr>
        <w:t>Human Rights handbook, No.7”,</w:t>
      </w:r>
      <w:r>
        <w:rPr>
          <w:rFonts w:ascii="Verdana" w:hAnsi="Verdana"/>
          <w:sz w:val="20"/>
          <w:szCs w:val="20"/>
        </w:rPr>
        <w:t xml:space="preserve"> 2007), pp.20-64.</w:t>
      </w:r>
    </w:p>
  </w:footnote>
  <w:footnote w:id="24">
    <w:p w:rsidR="00A01104" w:rsidRPr="00181AA0" w:rsidRDefault="00A01104"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See </w:t>
      </w:r>
      <w:r w:rsidRPr="00181AA0">
        <w:rPr>
          <w:rFonts w:ascii="Verdana" w:hAnsi="Verdana"/>
          <w:i/>
          <w:iCs/>
        </w:rPr>
        <w:t xml:space="preserve">Oneryildiz v Turkey </w:t>
      </w:r>
      <w:r w:rsidRPr="00181AA0">
        <w:rPr>
          <w:rFonts w:ascii="Verdana" w:hAnsi="Verdana"/>
        </w:rPr>
        <w:t>(2005) 41 EHRR 20 [89].</w:t>
      </w:r>
    </w:p>
  </w:footnote>
  <w:footnote w:id="25">
    <w:p w:rsidR="00A05CB7" w:rsidRPr="00181AA0" w:rsidRDefault="00A05CB7" w:rsidP="00181AA0">
      <w:pPr>
        <w:keepNext/>
        <w:keepLines/>
        <w:spacing w:after="120"/>
        <w:jc w:val="left"/>
        <w:rPr>
          <w:rFonts w:ascii="Verdana" w:hAnsi="Verdana"/>
          <w:sz w:val="20"/>
          <w:szCs w:val="20"/>
          <w:lang w:eastAsia="en-GB"/>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t xml:space="preserve">See </w:t>
      </w:r>
      <w:r w:rsidRPr="00181AA0">
        <w:rPr>
          <w:rFonts w:ascii="Verdana" w:hAnsi="Verdana"/>
          <w:i/>
          <w:sz w:val="20"/>
          <w:szCs w:val="20"/>
          <w:lang w:eastAsia="en-GB"/>
        </w:rPr>
        <w:t xml:space="preserve">Gorgiev v </w:t>
      </w:r>
      <w:proofErr w:type="gramStart"/>
      <w:r w:rsidRPr="00181AA0">
        <w:rPr>
          <w:rFonts w:ascii="Verdana" w:hAnsi="Verdana"/>
          <w:i/>
          <w:sz w:val="20"/>
          <w:szCs w:val="20"/>
          <w:lang w:eastAsia="en-GB"/>
        </w:rPr>
        <w:t>former</w:t>
      </w:r>
      <w:proofErr w:type="gramEnd"/>
      <w:r w:rsidRPr="00181AA0">
        <w:rPr>
          <w:rFonts w:ascii="Verdana" w:hAnsi="Verdana"/>
          <w:i/>
          <w:sz w:val="20"/>
          <w:szCs w:val="20"/>
          <w:lang w:eastAsia="en-GB"/>
        </w:rPr>
        <w:t xml:space="preserve"> Yugoslav Republic of Macedonia</w:t>
      </w:r>
      <w:r w:rsidR="00321BA6" w:rsidRPr="00181AA0">
        <w:rPr>
          <w:rFonts w:ascii="Verdana" w:hAnsi="Verdana"/>
          <w:sz w:val="20"/>
          <w:szCs w:val="20"/>
          <w:lang w:eastAsia="en-GB"/>
        </w:rPr>
        <w:t xml:space="preserve"> (App. No. 49382/06) </w:t>
      </w:r>
      <w:r w:rsidRPr="00181AA0">
        <w:rPr>
          <w:rFonts w:ascii="Verdana" w:hAnsi="Verdana"/>
          <w:sz w:val="20"/>
          <w:szCs w:val="20"/>
          <w:lang w:eastAsia="en-GB"/>
        </w:rPr>
        <w:t>[2012] ECHR 49382/06 [43].</w:t>
      </w:r>
    </w:p>
  </w:footnote>
  <w:footnote w:id="26">
    <w:p w:rsidR="00A01104" w:rsidRPr="00181AA0" w:rsidRDefault="00A01104"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See </w:t>
      </w:r>
      <w:r w:rsidRPr="00181AA0">
        <w:rPr>
          <w:rFonts w:ascii="Verdana" w:hAnsi="Verdana"/>
          <w:i/>
        </w:rPr>
        <w:t xml:space="preserve">Osman v United Kingdom </w:t>
      </w:r>
      <w:r w:rsidRPr="00181AA0">
        <w:rPr>
          <w:rFonts w:ascii="Verdana" w:hAnsi="Verdana"/>
        </w:rPr>
        <w:t>(2000) 29 EHRR 245 [115]</w:t>
      </w:r>
    </w:p>
  </w:footnote>
  <w:footnote w:id="27">
    <w:p w:rsidR="00220590" w:rsidRPr="00181AA0" w:rsidRDefault="00220590"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Ibid, [116]</w:t>
      </w:r>
    </w:p>
  </w:footnote>
  <w:footnote w:id="28">
    <w:p w:rsidR="00220590" w:rsidRPr="00181AA0" w:rsidRDefault="00220590"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00F00D88" w:rsidRPr="00181AA0">
        <w:rPr>
          <w:rFonts w:ascii="Verdana" w:hAnsi="Verdana"/>
        </w:rPr>
        <w:t xml:space="preserve">For a recent analysis of the case law in the context of the mentally ill in voluntary detention see </w:t>
      </w:r>
      <w:r w:rsidRPr="00181AA0">
        <w:rPr>
          <w:rFonts w:ascii="Verdana" w:hAnsi="Verdana"/>
          <w:i/>
        </w:rPr>
        <w:t xml:space="preserve">Rabone v Pennine Care NHS Trust </w:t>
      </w:r>
      <w:r w:rsidR="004C5D35" w:rsidRPr="00181AA0">
        <w:rPr>
          <w:rFonts w:ascii="Verdana" w:hAnsi="Verdana"/>
        </w:rPr>
        <w:t>[2012] UKSC 2.</w:t>
      </w:r>
    </w:p>
  </w:footnote>
  <w:footnote w:id="29">
    <w:p w:rsidR="005B473A" w:rsidRPr="00181AA0" w:rsidRDefault="005B473A"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See, for example, </w:t>
      </w:r>
      <w:r w:rsidRPr="00181AA0">
        <w:rPr>
          <w:rFonts w:ascii="Verdana" w:hAnsi="Verdana"/>
          <w:i/>
          <w:iCs/>
        </w:rPr>
        <w:t>Taylor v United Kingdom</w:t>
      </w:r>
      <w:r w:rsidRPr="00181AA0">
        <w:rPr>
          <w:rFonts w:ascii="Verdana" w:hAnsi="Verdana"/>
        </w:rPr>
        <w:t xml:space="preserve"> (1994) 79-A DR 127, 137; </w:t>
      </w:r>
      <w:r w:rsidRPr="00181AA0">
        <w:rPr>
          <w:rFonts w:ascii="Verdana" w:hAnsi="Verdana"/>
          <w:i/>
          <w:iCs/>
        </w:rPr>
        <w:t>McCann v United Kingdom</w:t>
      </w:r>
      <w:r w:rsidRPr="00181AA0">
        <w:rPr>
          <w:rFonts w:ascii="Verdana" w:hAnsi="Verdana"/>
        </w:rPr>
        <w:t xml:space="preserve"> (1995) 21 EHRR 97, para 161; </w:t>
      </w:r>
      <w:r w:rsidRPr="00181AA0">
        <w:rPr>
          <w:rFonts w:ascii="Verdana" w:hAnsi="Verdana"/>
          <w:i/>
          <w:iCs/>
        </w:rPr>
        <w:t>Powell v United Kingdom, supra</w:t>
      </w:r>
      <w:r w:rsidRPr="00181AA0">
        <w:rPr>
          <w:rFonts w:ascii="Verdana" w:hAnsi="Verdana"/>
        </w:rPr>
        <w:t xml:space="preserve"> p 17; </w:t>
      </w:r>
      <w:r w:rsidRPr="00181AA0">
        <w:rPr>
          <w:rFonts w:ascii="Verdana" w:hAnsi="Verdana"/>
          <w:i/>
          <w:iCs/>
        </w:rPr>
        <w:t>Salman v Turkey</w:t>
      </w:r>
      <w:r w:rsidRPr="00181AA0">
        <w:rPr>
          <w:rFonts w:ascii="Verdana" w:hAnsi="Verdana"/>
        </w:rPr>
        <w:t xml:space="preserve"> (2000) 34 EHRR 425, para 104; </w:t>
      </w:r>
      <w:r w:rsidRPr="00181AA0">
        <w:rPr>
          <w:rFonts w:ascii="Verdana" w:hAnsi="Verdana"/>
          <w:i/>
          <w:iCs/>
        </w:rPr>
        <w:t>Sieminska v Poland</w:t>
      </w:r>
      <w:r w:rsidRPr="00181AA0">
        <w:rPr>
          <w:rFonts w:ascii="Verdana" w:hAnsi="Verdana"/>
        </w:rPr>
        <w:t xml:space="preserve"> (App No 37602/97, unreported, 29 March 2001); </w:t>
      </w:r>
      <w:r w:rsidRPr="00181AA0">
        <w:rPr>
          <w:rFonts w:ascii="Verdana" w:hAnsi="Verdana"/>
          <w:i/>
          <w:iCs/>
        </w:rPr>
        <w:t>Jordan v United Kingdom</w:t>
      </w:r>
      <w:r w:rsidRPr="00181AA0">
        <w:rPr>
          <w:rFonts w:ascii="Verdana" w:hAnsi="Verdana"/>
        </w:rPr>
        <w:t xml:space="preserve"> (2001) 37 EHRR 52, para 105; </w:t>
      </w:r>
      <w:r w:rsidRPr="00181AA0">
        <w:rPr>
          <w:rFonts w:ascii="Verdana" w:hAnsi="Verdana"/>
          <w:i/>
          <w:iCs/>
        </w:rPr>
        <w:t>Edwards v United Kingdom, supra,</w:t>
      </w:r>
      <w:r w:rsidRPr="00181AA0">
        <w:rPr>
          <w:rFonts w:ascii="Verdana" w:hAnsi="Verdana"/>
        </w:rPr>
        <w:t xml:space="preserve"> para 69; Ö</w:t>
      </w:r>
      <w:r w:rsidRPr="00181AA0">
        <w:rPr>
          <w:rFonts w:ascii="Verdana" w:hAnsi="Verdana"/>
          <w:i/>
          <w:iCs/>
        </w:rPr>
        <w:t>neryildiz v Turkey, supra,</w:t>
      </w:r>
      <w:r w:rsidRPr="00181AA0">
        <w:rPr>
          <w:rFonts w:ascii="Verdana" w:hAnsi="Verdana"/>
        </w:rPr>
        <w:t xml:space="preserve"> paras 90-91; </w:t>
      </w:r>
      <w:r w:rsidRPr="00181AA0">
        <w:rPr>
          <w:rFonts w:ascii="Verdana" w:hAnsi="Verdana"/>
          <w:i/>
          <w:iCs/>
        </w:rPr>
        <w:t>Mastromatteo v Italy</w:t>
      </w:r>
      <w:r w:rsidRPr="00181AA0">
        <w:rPr>
          <w:rFonts w:ascii="Verdana" w:hAnsi="Verdana"/>
        </w:rPr>
        <w:t xml:space="preserve"> (App No 37703/97, unreported, 24 October 2002).</w:t>
      </w:r>
    </w:p>
  </w:footnote>
  <w:footnote w:id="30">
    <w:p w:rsidR="00B3089E" w:rsidRPr="00181AA0" w:rsidRDefault="00B3089E"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bCs/>
          <w:i/>
          <w:iCs/>
        </w:rPr>
        <w:t xml:space="preserve">Siliadin v France </w:t>
      </w:r>
      <w:r w:rsidRPr="00181AA0">
        <w:rPr>
          <w:rFonts w:ascii="Verdana" w:hAnsi="Verdana"/>
          <w:bCs/>
          <w:iCs/>
        </w:rPr>
        <w:t>(2006) 43 EHRR 16 [89] and [112]</w:t>
      </w:r>
    </w:p>
  </w:footnote>
  <w:footnote w:id="31">
    <w:p w:rsidR="008C22BA" w:rsidRPr="00181AA0" w:rsidRDefault="008C22BA" w:rsidP="00181AA0">
      <w:pPr>
        <w:keepNext/>
        <w:keepLines/>
        <w:spacing w:after="120"/>
        <w:jc w:val="left"/>
        <w:rPr>
          <w:rFonts w:ascii="Verdana" w:hAnsi="Verdana"/>
          <w:b/>
          <w:bCs/>
          <w:sz w:val="20"/>
          <w:szCs w:val="20"/>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r>
      <w:r w:rsidRPr="00181AA0">
        <w:rPr>
          <w:rFonts w:ascii="Verdana" w:hAnsi="Verdana"/>
          <w:bCs/>
          <w:i/>
          <w:sz w:val="20"/>
          <w:szCs w:val="20"/>
        </w:rPr>
        <w:t>Rantsev v. Cyprus and Russia</w:t>
      </w:r>
      <w:r w:rsidRPr="00181AA0">
        <w:rPr>
          <w:rFonts w:ascii="Verdana" w:hAnsi="Verdana"/>
          <w:b/>
          <w:bCs/>
          <w:sz w:val="20"/>
          <w:szCs w:val="20"/>
        </w:rPr>
        <w:t xml:space="preserve"> </w:t>
      </w:r>
      <w:r w:rsidRPr="00181AA0">
        <w:rPr>
          <w:rFonts w:ascii="Verdana" w:hAnsi="Verdana"/>
          <w:bCs/>
          <w:sz w:val="20"/>
          <w:szCs w:val="20"/>
        </w:rPr>
        <w:t>(</w:t>
      </w:r>
      <w:r w:rsidRPr="00181AA0">
        <w:rPr>
          <w:rFonts w:ascii="Verdana" w:hAnsi="Verdana"/>
          <w:sz w:val="20"/>
          <w:szCs w:val="20"/>
        </w:rPr>
        <w:t>2010) 51 EHRR 1 [286]</w:t>
      </w:r>
      <w:r w:rsidR="00B363B8" w:rsidRPr="00181AA0">
        <w:rPr>
          <w:rFonts w:ascii="Verdana" w:hAnsi="Verdana"/>
          <w:sz w:val="20"/>
          <w:szCs w:val="20"/>
        </w:rPr>
        <w:t xml:space="preserve">; see also </w:t>
      </w:r>
      <w:r w:rsidR="00B363B8" w:rsidRPr="00181AA0">
        <w:rPr>
          <w:rFonts w:ascii="Verdana" w:hAnsi="Verdana"/>
          <w:i/>
          <w:sz w:val="20"/>
          <w:szCs w:val="20"/>
        </w:rPr>
        <w:t xml:space="preserve">M and others v Italy and Bulgaria, </w:t>
      </w:r>
      <w:r w:rsidR="00B363B8" w:rsidRPr="00181AA0">
        <w:rPr>
          <w:rFonts w:ascii="Verdana" w:hAnsi="Verdana"/>
          <w:sz w:val="20"/>
          <w:szCs w:val="20"/>
        </w:rPr>
        <w:t>Judgment of 31 July 2012</w:t>
      </w:r>
    </w:p>
  </w:footnote>
  <w:footnote w:id="32">
    <w:p w:rsidR="008C22BA" w:rsidRPr="00181AA0" w:rsidRDefault="008C22BA"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Ibid, [288]</w:t>
      </w:r>
    </w:p>
  </w:footnote>
  <w:footnote w:id="33">
    <w:p w:rsidR="00E64D88" w:rsidRPr="00181AA0" w:rsidRDefault="00E64D88"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i/>
        </w:rPr>
        <w:t xml:space="preserve">Storck v Germany </w:t>
      </w:r>
      <w:r w:rsidRPr="00181AA0">
        <w:rPr>
          <w:rFonts w:ascii="Verdana" w:hAnsi="Verdana"/>
        </w:rPr>
        <w:t>(2005) 43 EHRR 96 [101] to [102]</w:t>
      </w:r>
      <w:r w:rsidR="00F00D88" w:rsidRPr="00181AA0">
        <w:rPr>
          <w:rFonts w:ascii="Verdana" w:hAnsi="Verdana"/>
        </w:rPr>
        <w:t xml:space="preserve">; see also </w:t>
      </w:r>
      <w:r w:rsidR="00F00D88" w:rsidRPr="00181AA0">
        <w:rPr>
          <w:rFonts w:ascii="Verdana" w:hAnsi="Verdana"/>
          <w:i/>
        </w:rPr>
        <w:t xml:space="preserve">Stanev v Bulgaria </w:t>
      </w:r>
      <w:r w:rsidR="00F00D88" w:rsidRPr="00181AA0">
        <w:rPr>
          <w:rFonts w:ascii="Verdana" w:hAnsi="Verdana"/>
        </w:rPr>
        <w:t>Judgment of 12 January 2012 (GC) [120].</w:t>
      </w:r>
    </w:p>
  </w:footnote>
  <w:footnote w:id="34">
    <w:p w:rsidR="00790253" w:rsidRPr="00181AA0" w:rsidRDefault="00790253"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bCs/>
          <w:i/>
          <w:iCs/>
        </w:rPr>
        <w:t xml:space="preserve">Steel and Morris v UK, </w:t>
      </w:r>
      <w:r w:rsidRPr="00181AA0">
        <w:rPr>
          <w:rFonts w:ascii="Verdana" w:hAnsi="Verdana"/>
          <w:bCs/>
        </w:rPr>
        <w:t>(2005) 41 EHRR 22 [72]</w:t>
      </w:r>
    </w:p>
  </w:footnote>
  <w:footnote w:id="35">
    <w:p w:rsidR="00F00D88" w:rsidRPr="00181AA0" w:rsidRDefault="00F00D88"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Style w:val="s6b621b36"/>
          <w:rFonts w:ascii="Verdana" w:hAnsi="Verdana"/>
          <w:i/>
        </w:rPr>
        <w:t>Fuklev v. Ukraine</w:t>
      </w:r>
      <w:r w:rsidRPr="00181AA0">
        <w:rPr>
          <w:rStyle w:val="sb8d990e2"/>
          <w:rFonts w:ascii="Verdana" w:hAnsi="Verdana"/>
          <w:i/>
        </w:rPr>
        <w:t>,</w:t>
      </w:r>
      <w:r w:rsidRPr="00181AA0">
        <w:rPr>
          <w:rStyle w:val="sb8d990e2"/>
          <w:rFonts w:ascii="Verdana" w:hAnsi="Verdana"/>
        </w:rPr>
        <w:t xml:space="preserve"> Judgment of 7 June 2005 [84]</w:t>
      </w:r>
    </w:p>
  </w:footnote>
  <w:footnote w:id="36">
    <w:p w:rsidR="00DF02B7" w:rsidRPr="00181AA0" w:rsidRDefault="00DF02B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i/>
        </w:rPr>
        <w:t xml:space="preserve">Goodwin v United Kingdom </w:t>
      </w:r>
      <w:r w:rsidRPr="00181AA0">
        <w:rPr>
          <w:rFonts w:ascii="Verdana" w:hAnsi="Verdana"/>
        </w:rPr>
        <w:t>(2002) 35 EHRR 18 (GC), [84-85]</w:t>
      </w:r>
    </w:p>
  </w:footnote>
  <w:footnote w:id="37">
    <w:p w:rsidR="00DF02B7" w:rsidRPr="00181AA0" w:rsidRDefault="00DF02B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i/>
        </w:rPr>
        <w:t>Burghartz v Switzerland</w:t>
      </w:r>
      <w:r w:rsidR="002A229B" w:rsidRPr="00181AA0">
        <w:rPr>
          <w:rFonts w:ascii="Verdana" w:hAnsi="Verdana"/>
        </w:rPr>
        <w:t xml:space="preserve">(1994) 18 EHRR 101; </w:t>
      </w:r>
      <w:r w:rsidR="002A229B" w:rsidRPr="00181AA0">
        <w:rPr>
          <w:rFonts w:ascii="Verdana" w:hAnsi="Verdana"/>
          <w:i/>
        </w:rPr>
        <w:t xml:space="preserve"> Stjerna v Finland </w:t>
      </w:r>
      <w:r w:rsidR="002A229B" w:rsidRPr="00181AA0">
        <w:rPr>
          <w:rFonts w:ascii="Verdana" w:hAnsi="Verdana"/>
        </w:rPr>
        <w:t>(1994) 24 EHRR 194,</w:t>
      </w:r>
    </w:p>
  </w:footnote>
  <w:footnote w:id="38">
    <w:p w:rsidR="002A229B" w:rsidRPr="00181AA0" w:rsidRDefault="002A229B"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i/>
        </w:rPr>
        <w:t xml:space="preserve">Mikulic v Croatia </w:t>
      </w:r>
      <w:r w:rsidRPr="00181AA0">
        <w:rPr>
          <w:rFonts w:ascii="Verdana" w:hAnsi="Verdana"/>
        </w:rPr>
        <w:t>(2002) 11 BHRC 689;</w:t>
      </w:r>
    </w:p>
  </w:footnote>
  <w:footnote w:id="39">
    <w:p w:rsidR="002A229B" w:rsidRPr="00181AA0" w:rsidRDefault="002A229B" w:rsidP="00181AA0">
      <w:pPr>
        <w:pStyle w:val="FootnoteText"/>
        <w:keepNext/>
        <w:keepLines/>
        <w:jc w:val="left"/>
        <w:rPr>
          <w:rFonts w:ascii="Verdana" w:hAnsi="Verdana"/>
          <w:i/>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i/>
        </w:rPr>
        <w:t xml:space="preserve">Guerra v Italy </w:t>
      </w:r>
      <w:r w:rsidRPr="00181AA0">
        <w:rPr>
          <w:rFonts w:ascii="Verdana" w:hAnsi="Verdana"/>
        </w:rPr>
        <w:t>(1998) 26 EHRR 357</w:t>
      </w:r>
    </w:p>
  </w:footnote>
  <w:footnote w:id="40">
    <w:p w:rsidR="002A229B" w:rsidRPr="00181AA0" w:rsidRDefault="002A229B" w:rsidP="00181AA0">
      <w:pPr>
        <w:pStyle w:val="FootnoteText"/>
        <w:keepNext/>
        <w:keepLines/>
        <w:jc w:val="left"/>
        <w:rPr>
          <w:rFonts w:ascii="Verdana" w:hAnsi="Verdana"/>
          <w:i/>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proofErr w:type="gramStart"/>
      <w:r w:rsidRPr="00181AA0">
        <w:rPr>
          <w:rFonts w:ascii="Verdana" w:hAnsi="Verdana"/>
          <w:i/>
        </w:rPr>
        <w:t xml:space="preserve">Roche v United Kingdom </w:t>
      </w:r>
      <w:r w:rsidRPr="00181AA0">
        <w:rPr>
          <w:rFonts w:ascii="Verdana" w:hAnsi="Verdana"/>
        </w:rPr>
        <w:t>(2006) 42 EHRR 30 (GC).</w:t>
      </w:r>
      <w:proofErr w:type="gramEnd"/>
    </w:p>
  </w:footnote>
  <w:footnote w:id="41">
    <w:p w:rsidR="002A229B" w:rsidRPr="00181AA0" w:rsidRDefault="002A229B"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Style w:val="wordhighlighted"/>
          <w:rFonts w:ascii="Verdana" w:hAnsi="Verdana"/>
          <w:i/>
        </w:rPr>
        <w:t>Marzari</w:t>
      </w:r>
      <w:r w:rsidRPr="00181AA0">
        <w:rPr>
          <w:rStyle w:val="s6b621b36"/>
          <w:rFonts w:ascii="Verdana" w:hAnsi="Verdana"/>
          <w:i/>
        </w:rPr>
        <w:t xml:space="preserve"> v. Italy</w:t>
      </w:r>
      <w:r w:rsidRPr="00181AA0">
        <w:rPr>
          <w:rStyle w:val="sb8d990e2"/>
          <w:rFonts w:ascii="Verdana" w:hAnsi="Verdana"/>
        </w:rPr>
        <w:t xml:space="preserve"> (no. 36448/97, 4 May 1999</w:t>
      </w:r>
    </w:p>
  </w:footnote>
  <w:footnote w:id="42">
    <w:p w:rsidR="002A229B" w:rsidRPr="00181AA0" w:rsidRDefault="002A229B"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i/>
        </w:rPr>
        <w:t xml:space="preserve">Lopez-Ostra v Spain </w:t>
      </w:r>
      <w:r w:rsidRPr="00181AA0">
        <w:rPr>
          <w:rFonts w:ascii="Verdana" w:hAnsi="Verdana"/>
        </w:rPr>
        <w:t xml:space="preserve"> (1994) 20 EHRR 277</w:t>
      </w:r>
    </w:p>
  </w:footnote>
  <w:footnote w:id="43">
    <w:p w:rsidR="002A229B" w:rsidRPr="00181AA0" w:rsidRDefault="002A229B"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proofErr w:type="gramStart"/>
      <w:r w:rsidRPr="00181AA0">
        <w:rPr>
          <w:rFonts w:ascii="Verdana" w:hAnsi="Verdana"/>
          <w:i/>
          <w:iCs/>
        </w:rPr>
        <w:t xml:space="preserve">Van Hannover v Germany </w:t>
      </w:r>
      <w:r w:rsidRPr="00181AA0">
        <w:rPr>
          <w:rFonts w:ascii="Verdana" w:hAnsi="Verdana"/>
        </w:rPr>
        <w:t>(2005) 40 EHRR 1.</w:t>
      </w:r>
      <w:proofErr w:type="gramEnd"/>
    </w:p>
  </w:footnote>
  <w:footnote w:id="44">
    <w:p w:rsidR="002A229B" w:rsidRPr="00181AA0" w:rsidRDefault="002A229B"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proofErr w:type="gramStart"/>
      <w:r w:rsidR="00DA68D8" w:rsidRPr="00181AA0">
        <w:rPr>
          <w:rFonts w:ascii="Verdana" w:hAnsi="Verdana"/>
          <w:i/>
        </w:rPr>
        <w:t>Pfei</w:t>
      </w:r>
      <w:r w:rsidRPr="00181AA0">
        <w:rPr>
          <w:rFonts w:ascii="Verdana" w:hAnsi="Verdana"/>
          <w:i/>
        </w:rPr>
        <w:t xml:space="preserve">fer v Austria </w:t>
      </w:r>
      <w:r w:rsidR="00DA68D8" w:rsidRPr="00181AA0">
        <w:rPr>
          <w:rFonts w:ascii="Verdana" w:hAnsi="Verdana"/>
        </w:rPr>
        <w:t xml:space="preserve">(2008) 24 BHRC 167; </w:t>
      </w:r>
      <w:r w:rsidR="00DA68D8" w:rsidRPr="00181AA0">
        <w:rPr>
          <w:rStyle w:val="sb8d990e2"/>
          <w:rFonts w:ascii="Verdana" w:hAnsi="Verdana"/>
          <w:i/>
        </w:rPr>
        <w:t xml:space="preserve">Mikolajová v. Slovakia, </w:t>
      </w:r>
      <w:r w:rsidR="00DA68D8" w:rsidRPr="00181AA0">
        <w:rPr>
          <w:rStyle w:val="sb8d990e2"/>
          <w:rFonts w:ascii="Verdana" w:hAnsi="Verdana"/>
        </w:rPr>
        <w:t>Judgment of 18 January 2011 [53].</w:t>
      </w:r>
      <w:proofErr w:type="gramEnd"/>
    </w:p>
  </w:footnote>
  <w:footnote w:id="45">
    <w:p w:rsidR="00FF77D0" w:rsidRPr="00181AA0" w:rsidRDefault="00FF77D0"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i/>
        </w:rPr>
        <w:t xml:space="preserve">X &amp; Y v Netherlands </w:t>
      </w:r>
      <w:r w:rsidRPr="00181AA0">
        <w:rPr>
          <w:rFonts w:ascii="Verdana" w:hAnsi="Verdana"/>
        </w:rPr>
        <w:t xml:space="preserve"> (1985) 8 EHRR 235</w:t>
      </w:r>
    </w:p>
  </w:footnote>
  <w:footnote w:id="46">
    <w:p w:rsidR="00790253" w:rsidRPr="00181AA0" w:rsidRDefault="00790253" w:rsidP="00181AA0">
      <w:pPr>
        <w:keepNext/>
        <w:keepLines/>
        <w:spacing w:after="120"/>
        <w:jc w:val="left"/>
        <w:rPr>
          <w:rFonts w:ascii="Verdana" w:hAnsi="Verdana"/>
          <w:sz w:val="20"/>
          <w:szCs w:val="20"/>
          <w:lang w:eastAsia="en-GB"/>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r>
      <w:r w:rsidRPr="00181AA0">
        <w:rPr>
          <w:rFonts w:ascii="Verdana" w:hAnsi="Verdana"/>
          <w:i/>
          <w:sz w:val="20"/>
          <w:szCs w:val="20"/>
          <w:lang w:eastAsia="en-GB"/>
        </w:rPr>
        <w:t>VC v Slovakia</w:t>
      </w:r>
      <w:r w:rsidRPr="00181AA0">
        <w:rPr>
          <w:rFonts w:ascii="Verdana" w:hAnsi="Verdana"/>
          <w:sz w:val="20"/>
          <w:szCs w:val="20"/>
          <w:lang w:eastAsia="en-GB"/>
        </w:rPr>
        <w:t xml:space="preserve"> (App. No. 18968/07) [2011] ECHR 18968/07 [141]</w:t>
      </w:r>
    </w:p>
  </w:footnote>
  <w:footnote w:id="47">
    <w:p w:rsidR="0057527A" w:rsidRPr="00181AA0" w:rsidRDefault="0057527A" w:rsidP="00181AA0">
      <w:pPr>
        <w:pStyle w:val="s32b251d"/>
        <w:keepNext/>
        <w:keepLines/>
        <w:spacing w:before="0" w:beforeAutospacing="0" w:after="120" w:afterAutospacing="0"/>
        <w:rPr>
          <w:rFonts w:ascii="Verdana" w:hAnsi="Verdana"/>
          <w:sz w:val="20"/>
          <w:szCs w:val="20"/>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r>
      <w:r w:rsidRPr="00181AA0">
        <w:rPr>
          <w:rStyle w:val="s6b621b36"/>
          <w:rFonts w:ascii="Verdana" w:hAnsi="Verdana"/>
          <w:i/>
          <w:sz w:val="20"/>
          <w:szCs w:val="20"/>
        </w:rPr>
        <w:t>Özgür Gündem v Turkey</w:t>
      </w:r>
      <w:r w:rsidRPr="00181AA0">
        <w:rPr>
          <w:rStyle w:val="s6b621b36"/>
          <w:rFonts w:ascii="Verdana" w:hAnsi="Verdana"/>
          <w:sz w:val="20"/>
          <w:szCs w:val="20"/>
        </w:rPr>
        <w:t xml:space="preserve"> </w:t>
      </w:r>
      <w:r w:rsidRPr="00181AA0">
        <w:rPr>
          <w:rStyle w:val="sb8d990e2"/>
          <w:rFonts w:ascii="Verdana" w:hAnsi="Verdana"/>
          <w:sz w:val="20"/>
          <w:szCs w:val="20"/>
        </w:rPr>
        <w:t xml:space="preserve">16 March 2000;  </w:t>
      </w:r>
      <w:r w:rsidRPr="00181AA0">
        <w:rPr>
          <w:rStyle w:val="s7d2086b4"/>
          <w:rFonts w:ascii="Verdana" w:hAnsi="Verdana"/>
          <w:i/>
          <w:sz w:val="20"/>
          <w:szCs w:val="20"/>
        </w:rPr>
        <w:t>VgT Verein gegen Tierfabriken v. Switzerland</w:t>
      </w:r>
      <w:r w:rsidRPr="00181AA0">
        <w:rPr>
          <w:rStyle w:val="sf8bfa2bc"/>
          <w:rFonts w:ascii="Verdana" w:hAnsi="Verdana"/>
          <w:sz w:val="20"/>
          <w:szCs w:val="20"/>
        </w:rPr>
        <w:t xml:space="preserve">, </w:t>
      </w:r>
      <w:r w:rsidRPr="00181AA0">
        <w:rPr>
          <w:rStyle w:val="sb8d990e2"/>
          <w:rFonts w:ascii="Verdana" w:hAnsi="Verdana"/>
          <w:sz w:val="20"/>
          <w:szCs w:val="20"/>
        </w:rPr>
        <w:t>28 June 2001  [45]</w:t>
      </w:r>
    </w:p>
  </w:footnote>
  <w:footnote w:id="48">
    <w:p w:rsidR="00664495" w:rsidRPr="00181AA0" w:rsidRDefault="00664495" w:rsidP="00181AA0">
      <w:pPr>
        <w:pStyle w:val="FootnoteText"/>
        <w:keepNext/>
        <w:keepLines/>
        <w:jc w:val="left"/>
        <w:rPr>
          <w:rFonts w:ascii="Verdana" w:hAnsi="Verdana"/>
          <w:i/>
        </w:rPr>
      </w:pPr>
      <w:r w:rsidRPr="00181AA0">
        <w:rPr>
          <w:rStyle w:val="FootnoteReference"/>
          <w:rFonts w:ascii="Verdana" w:hAnsi="Verdana"/>
        </w:rPr>
        <w:footnoteRef/>
      </w:r>
      <w:r w:rsidRPr="00181AA0">
        <w:rPr>
          <w:rFonts w:ascii="Verdana" w:hAnsi="Verdana"/>
        </w:rPr>
        <w:tab/>
        <w:t xml:space="preserve">See </w:t>
      </w:r>
      <w:r w:rsidRPr="00181AA0">
        <w:rPr>
          <w:rFonts w:ascii="Verdana" w:hAnsi="Verdana"/>
          <w:i/>
        </w:rPr>
        <w:t>Feuntes Bobo v Spain</w:t>
      </w:r>
      <w:r w:rsidR="00174783" w:rsidRPr="00181AA0">
        <w:rPr>
          <w:rFonts w:ascii="Verdana" w:hAnsi="Verdana"/>
          <w:i/>
        </w:rPr>
        <w:t xml:space="preserve"> </w:t>
      </w:r>
      <w:r w:rsidR="00174783" w:rsidRPr="00181AA0">
        <w:rPr>
          <w:rFonts w:ascii="Verdana" w:hAnsi="Verdana"/>
        </w:rPr>
        <w:t>(2001) 31 EHRR 50</w:t>
      </w:r>
    </w:p>
  </w:footnote>
  <w:footnote w:id="49">
    <w:p w:rsidR="004C5D35" w:rsidRPr="00181AA0" w:rsidRDefault="004C5D35"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bookmarkStart w:id="4" w:name="para122"/>
      <w:r w:rsidRPr="00181AA0">
        <w:rPr>
          <w:rFonts w:ascii="Verdana" w:hAnsi="Verdana"/>
          <w:i/>
          <w:iCs/>
        </w:rPr>
        <w:t xml:space="preserve">Plattform 'Ärzte für das Leben' v Austria </w:t>
      </w:r>
      <w:r w:rsidRPr="00181AA0">
        <w:rPr>
          <w:rFonts w:ascii="Verdana" w:hAnsi="Verdana"/>
        </w:rPr>
        <w:t>(1988) 13 EHRR 204</w:t>
      </w:r>
      <w:bookmarkEnd w:id="4"/>
      <w:r w:rsidR="00A156B1" w:rsidRPr="00181AA0">
        <w:rPr>
          <w:rFonts w:ascii="Verdana" w:hAnsi="Verdana"/>
        </w:rPr>
        <w:t xml:space="preserve"> [32]</w:t>
      </w:r>
    </w:p>
  </w:footnote>
  <w:footnote w:id="50">
    <w:p w:rsidR="00A156B1" w:rsidRPr="00181AA0" w:rsidRDefault="00A156B1"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bookmarkStart w:id="5" w:name="para126"/>
      <w:r w:rsidRPr="00181AA0">
        <w:rPr>
          <w:rFonts w:ascii="Verdana" w:hAnsi="Verdana"/>
          <w:i/>
          <w:iCs/>
        </w:rPr>
        <w:t xml:space="preserve">Öllinger v Austria </w:t>
      </w:r>
      <w:r w:rsidRPr="00181AA0">
        <w:rPr>
          <w:rFonts w:ascii="Verdana" w:hAnsi="Verdana"/>
        </w:rPr>
        <w:t>(2008) 46 EHRR 38</w:t>
      </w:r>
      <w:bookmarkEnd w:id="5"/>
      <w:r w:rsidRPr="00181AA0">
        <w:rPr>
          <w:rFonts w:ascii="Verdana" w:hAnsi="Verdana"/>
        </w:rPr>
        <w:t xml:space="preserve"> [37]</w:t>
      </w:r>
    </w:p>
  </w:footnote>
  <w:footnote w:id="51">
    <w:p w:rsidR="0057527A" w:rsidRPr="00181AA0" w:rsidRDefault="0057527A" w:rsidP="00181AA0">
      <w:pPr>
        <w:pStyle w:val="NormalIndent"/>
        <w:keepNext/>
        <w:keepLines/>
        <w:spacing w:before="0"/>
        <w:ind w:left="0" w:right="26"/>
        <w:jc w:val="left"/>
        <w:rPr>
          <w:rFonts w:ascii="Verdana" w:hAnsi="Verdana"/>
          <w:sz w:val="20"/>
          <w:szCs w:val="20"/>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r>
      <w:proofErr w:type="gramStart"/>
      <w:r w:rsidRPr="00181AA0">
        <w:rPr>
          <w:rStyle w:val="sb8d990e2"/>
          <w:rFonts w:ascii="Verdana" w:hAnsi="Verdana"/>
          <w:sz w:val="20"/>
          <w:szCs w:val="20"/>
        </w:rPr>
        <w:t>see</w:t>
      </w:r>
      <w:proofErr w:type="gramEnd"/>
      <w:r w:rsidRPr="00181AA0">
        <w:rPr>
          <w:rStyle w:val="s6b621b36"/>
          <w:rFonts w:ascii="Verdana" w:hAnsi="Verdana"/>
          <w:sz w:val="20"/>
          <w:szCs w:val="20"/>
        </w:rPr>
        <w:t xml:space="preserve"> </w:t>
      </w:r>
      <w:r w:rsidRPr="00181AA0">
        <w:rPr>
          <w:rStyle w:val="s6b621b36"/>
          <w:rFonts w:ascii="Verdana" w:hAnsi="Verdana"/>
          <w:i/>
          <w:sz w:val="20"/>
          <w:szCs w:val="20"/>
        </w:rPr>
        <w:t>Sovtransavto Holding v. Ukraine</w:t>
      </w:r>
      <w:r w:rsidRPr="00181AA0">
        <w:rPr>
          <w:rStyle w:val="sb8d990e2"/>
          <w:rFonts w:ascii="Verdana" w:hAnsi="Verdana"/>
          <w:sz w:val="20"/>
          <w:szCs w:val="20"/>
        </w:rPr>
        <w:t xml:space="preserve">, </w:t>
      </w:r>
      <w:r w:rsidR="00DA68D8" w:rsidRPr="00181AA0">
        <w:rPr>
          <w:rStyle w:val="sb8d990e2"/>
          <w:rFonts w:ascii="Verdana" w:hAnsi="Verdana"/>
          <w:sz w:val="20"/>
          <w:szCs w:val="20"/>
        </w:rPr>
        <w:t>ECHR 2002-VII [96].</w:t>
      </w:r>
    </w:p>
  </w:footnote>
  <w:footnote w:id="52">
    <w:p w:rsidR="0057527A" w:rsidRPr="00181AA0" w:rsidRDefault="0057527A"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Style w:val="s6b621b36"/>
          <w:rFonts w:ascii="Verdana" w:hAnsi="Verdana"/>
          <w:i/>
        </w:rPr>
        <w:t>Blumberga v. Latvia</w:t>
      </w:r>
      <w:r w:rsidRPr="00181AA0">
        <w:rPr>
          <w:rStyle w:val="sb8d990e2"/>
          <w:rFonts w:ascii="Verdana" w:hAnsi="Verdana"/>
        </w:rPr>
        <w:t xml:space="preserve"> </w:t>
      </w:r>
      <w:r w:rsidR="008241CC" w:rsidRPr="00181AA0">
        <w:rPr>
          <w:rStyle w:val="sb8d990e2"/>
          <w:rFonts w:ascii="Verdana" w:hAnsi="Verdana"/>
        </w:rPr>
        <w:t>Judgment of 14 October 2008 [67]</w:t>
      </w:r>
    </w:p>
  </w:footnote>
  <w:footnote w:id="53">
    <w:p w:rsidR="003D39F0" w:rsidRPr="00181AA0" w:rsidRDefault="003D39F0" w:rsidP="00181AA0">
      <w:pPr>
        <w:pStyle w:val="FootnoteText"/>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See generally, </w:t>
      </w:r>
      <w:r w:rsidRPr="00181AA0">
        <w:rPr>
          <w:rFonts w:ascii="Verdana" w:hAnsi="Verdana" w:cs="Arial"/>
        </w:rPr>
        <w:t>Rory O'Connell 'Realising Political Equality: The European Court of Human Rights and Positive Obligations in a Democracy', (2010) 61-63 NILLQ 263-279.</w:t>
      </w:r>
    </w:p>
  </w:footnote>
  <w:footnote w:id="54">
    <w:p w:rsidR="0052337B" w:rsidRPr="00181AA0" w:rsidRDefault="0052337B" w:rsidP="00181AA0">
      <w:pPr>
        <w:pStyle w:val="NormalIndent"/>
        <w:widowControl w:val="0"/>
        <w:spacing w:before="0"/>
        <w:ind w:left="720" w:right="26" w:hanging="720"/>
        <w:jc w:val="left"/>
        <w:rPr>
          <w:rFonts w:ascii="Verdana" w:hAnsi="Verdana"/>
          <w:sz w:val="20"/>
          <w:szCs w:val="20"/>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r>
      <w:proofErr w:type="gramStart"/>
      <w:r w:rsidRPr="00181AA0">
        <w:rPr>
          <w:rStyle w:val="sb8d990e2"/>
          <w:rFonts w:ascii="Verdana" w:hAnsi="Verdana"/>
          <w:sz w:val="20"/>
          <w:szCs w:val="20"/>
        </w:rPr>
        <w:t>see</w:t>
      </w:r>
      <w:proofErr w:type="gramEnd"/>
      <w:r w:rsidRPr="00181AA0">
        <w:rPr>
          <w:rStyle w:val="sb8d990e2"/>
          <w:rFonts w:ascii="Verdana" w:hAnsi="Verdana"/>
          <w:sz w:val="20"/>
          <w:szCs w:val="20"/>
        </w:rPr>
        <w:t xml:space="preserve"> </w:t>
      </w:r>
      <w:r w:rsidRPr="00181AA0">
        <w:rPr>
          <w:rStyle w:val="s6b621b36"/>
          <w:rFonts w:ascii="Verdana" w:hAnsi="Verdana"/>
          <w:i/>
          <w:sz w:val="20"/>
          <w:szCs w:val="20"/>
        </w:rPr>
        <w:t>Namat Aliyev v. Azerbaijan</w:t>
      </w:r>
      <w:r w:rsidRPr="00181AA0">
        <w:rPr>
          <w:rStyle w:val="sb8d990e2"/>
          <w:rFonts w:ascii="Verdana" w:hAnsi="Verdana"/>
          <w:sz w:val="20"/>
          <w:szCs w:val="20"/>
        </w:rPr>
        <w:t>, Judgment of 8 April 2010  [81]ff.</w:t>
      </w:r>
    </w:p>
  </w:footnote>
  <w:footnote w:id="55">
    <w:p w:rsidR="0025376A" w:rsidRPr="00181AA0" w:rsidRDefault="0025376A"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A Mowbray </w:t>
      </w:r>
      <w:r w:rsidRPr="00181AA0">
        <w:rPr>
          <w:rFonts w:ascii="Verdana" w:hAnsi="Verdana"/>
          <w:i/>
        </w:rPr>
        <w:t xml:space="preserve">The Development of Positive Obligations under the European Convention on Human Rights by the European Court of Human Rights </w:t>
      </w:r>
      <w:r w:rsidR="000519D9" w:rsidRPr="00181AA0">
        <w:rPr>
          <w:rFonts w:ascii="Verdana" w:hAnsi="Verdana"/>
        </w:rPr>
        <w:t xml:space="preserve">(Hart, 2002) </w:t>
      </w:r>
      <w:r w:rsidR="00C807B0" w:rsidRPr="00181AA0">
        <w:rPr>
          <w:rFonts w:ascii="Verdana" w:hAnsi="Verdana"/>
        </w:rPr>
        <w:t>pp.</w:t>
      </w:r>
      <w:r w:rsidRPr="00181AA0">
        <w:rPr>
          <w:rFonts w:ascii="Verdana" w:hAnsi="Verdana"/>
        </w:rPr>
        <w:t>225-227.</w:t>
      </w:r>
    </w:p>
  </w:footnote>
  <w:footnote w:id="56">
    <w:p w:rsidR="0025376A" w:rsidRPr="00181AA0" w:rsidRDefault="0025376A"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Sir J Beatson S Grosz T Hickman and R Singh </w:t>
      </w:r>
      <w:r w:rsidRPr="00181AA0">
        <w:rPr>
          <w:rFonts w:ascii="Verdana" w:hAnsi="Verdana"/>
          <w:i/>
        </w:rPr>
        <w:t xml:space="preserve">Human Rights: Judicial protection in the United Kingdom </w:t>
      </w:r>
      <w:r w:rsidRPr="00181AA0">
        <w:rPr>
          <w:rFonts w:ascii="Verdana" w:hAnsi="Verdana"/>
        </w:rPr>
        <w:t>(Sweet &amp; Maxwell, 2008) paras 2-123 to 2-128.</w:t>
      </w:r>
    </w:p>
  </w:footnote>
  <w:footnote w:id="57">
    <w:p w:rsidR="0057527A" w:rsidRPr="00181AA0" w:rsidRDefault="0057527A"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See generally, C Drogue, </w:t>
      </w:r>
      <w:r w:rsidRPr="00181AA0">
        <w:rPr>
          <w:rFonts w:ascii="Verdana" w:hAnsi="Verdana"/>
          <w:i/>
        </w:rPr>
        <w:t>Positive Verpflichtungen der Staaten in der Europaischen Menschenrechtskonvention</w:t>
      </w:r>
      <w:r w:rsidRPr="00181AA0">
        <w:rPr>
          <w:rFonts w:ascii="Verdana" w:hAnsi="Verdana"/>
        </w:rPr>
        <w:t xml:space="preserve"> </w:t>
      </w:r>
      <w:r w:rsidR="000519D9" w:rsidRPr="00181AA0">
        <w:rPr>
          <w:rFonts w:ascii="Verdana" w:hAnsi="Verdana"/>
        </w:rPr>
        <w:t>(</w:t>
      </w:r>
      <w:r w:rsidRPr="00181AA0">
        <w:rPr>
          <w:rFonts w:ascii="Verdana" w:hAnsi="Verdana"/>
        </w:rPr>
        <w:t>Springer, 2003</w:t>
      </w:r>
      <w:r w:rsidR="000519D9" w:rsidRPr="00181AA0">
        <w:rPr>
          <w:rFonts w:ascii="Verdana" w:hAnsi="Verdana"/>
        </w:rPr>
        <w:t>)</w:t>
      </w:r>
      <w:r w:rsidRPr="00181AA0">
        <w:rPr>
          <w:rFonts w:ascii="Verdana" w:hAnsi="Verdana"/>
        </w:rPr>
        <w:t>.</w:t>
      </w:r>
    </w:p>
  </w:footnote>
  <w:footnote w:id="58">
    <w:p w:rsidR="008D15CD" w:rsidRPr="00181AA0" w:rsidRDefault="008D15CD" w:rsidP="00181AA0">
      <w:pPr>
        <w:keepNext/>
        <w:keepLines/>
        <w:spacing w:after="120"/>
        <w:jc w:val="left"/>
        <w:rPr>
          <w:rFonts w:ascii="Verdana" w:hAnsi="Verdana"/>
          <w:sz w:val="20"/>
          <w:szCs w:val="20"/>
          <w:lang w:eastAsia="en-GB"/>
        </w:rPr>
      </w:pPr>
      <w:r w:rsidRPr="00181AA0">
        <w:rPr>
          <w:rStyle w:val="FootnoteReference"/>
          <w:rFonts w:ascii="Verdana" w:hAnsi="Verdana"/>
          <w:sz w:val="20"/>
          <w:szCs w:val="20"/>
        </w:rPr>
        <w:footnoteRef/>
      </w:r>
      <w:r w:rsidRPr="00181AA0">
        <w:rPr>
          <w:rFonts w:ascii="Verdana" w:hAnsi="Verdana"/>
          <w:sz w:val="20"/>
          <w:szCs w:val="20"/>
        </w:rPr>
        <w:t xml:space="preserve"> </w:t>
      </w:r>
      <w:r w:rsidR="008663F5" w:rsidRPr="00181AA0">
        <w:rPr>
          <w:rFonts w:ascii="Verdana" w:hAnsi="Verdana"/>
          <w:sz w:val="20"/>
          <w:szCs w:val="20"/>
        </w:rPr>
        <w:tab/>
      </w:r>
      <w:r w:rsidRPr="00181AA0">
        <w:rPr>
          <w:rFonts w:ascii="Verdana" w:hAnsi="Verdana"/>
          <w:sz w:val="20"/>
          <w:szCs w:val="20"/>
          <w:lang w:eastAsia="en-GB"/>
        </w:rPr>
        <w:t xml:space="preserve">Opinion of Advocate General Trstenjak delivered on 8 September 2011. </w:t>
      </w:r>
      <w:r w:rsidRPr="00181AA0">
        <w:rPr>
          <w:rFonts w:ascii="Verdana" w:hAnsi="Verdana"/>
          <w:i/>
          <w:sz w:val="20"/>
          <w:szCs w:val="20"/>
          <w:lang w:eastAsia="en-GB"/>
        </w:rPr>
        <w:t>Maribel Dominguez v Centre informatique du Centre Ouest Atlantique and Préfet de la région Centre</w:t>
      </w:r>
      <w:r w:rsidRPr="00181AA0">
        <w:rPr>
          <w:rFonts w:ascii="Verdana" w:hAnsi="Verdana"/>
          <w:sz w:val="20"/>
          <w:szCs w:val="20"/>
          <w:lang w:eastAsia="en-GB"/>
        </w:rPr>
        <w:t xml:space="preserve"> </w:t>
      </w:r>
      <w:bookmarkStart w:id="6" w:name="PAGE_330"/>
      <w:r w:rsidRPr="00181AA0">
        <w:rPr>
          <w:rFonts w:ascii="Verdana" w:hAnsi="Verdana"/>
          <w:sz w:val="20"/>
          <w:szCs w:val="20"/>
          <w:lang w:eastAsia="en-GB"/>
        </w:rPr>
        <w:t>[2012] IRLR 321 at 3</w:t>
      </w:r>
      <w:bookmarkEnd w:id="6"/>
      <w:r w:rsidRPr="00181AA0">
        <w:rPr>
          <w:rFonts w:ascii="Verdana" w:hAnsi="Verdana"/>
          <w:sz w:val="20"/>
          <w:szCs w:val="20"/>
          <w:lang w:eastAsia="en-GB"/>
        </w:rPr>
        <w:t>29.</w:t>
      </w:r>
    </w:p>
  </w:footnote>
  <w:footnote w:id="59">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t xml:space="preserve">cf </w:t>
      </w:r>
      <w:r w:rsidRPr="00181AA0">
        <w:rPr>
          <w:rFonts w:ascii="Verdana" w:hAnsi="Verdana"/>
          <w:i/>
        </w:rPr>
        <w:t>Platform Artze v Austria</w:t>
      </w:r>
      <w:r w:rsidRPr="00181AA0">
        <w:rPr>
          <w:rFonts w:ascii="Verdana" w:hAnsi="Verdana"/>
        </w:rPr>
        <w:t xml:space="preserve"> (1991) 13 EHRR 204 para 31</w:t>
      </w:r>
    </w:p>
  </w:footnote>
  <w:footnote w:id="60">
    <w:p w:rsidR="009D4627" w:rsidRPr="00181AA0" w:rsidRDefault="009D4627"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i/>
        </w:rPr>
        <w:t>Rees v United Kingdom</w:t>
      </w:r>
      <w:r w:rsidRPr="00181AA0">
        <w:rPr>
          <w:rFonts w:ascii="Verdana" w:hAnsi="Verdana"/>
        </w:rPr>
        <w:t xml:space="preserve"> (1986) 9 EHRR 56 [37]; </w:t>
      </w:r>
    </w:p>
  </w:footnote>
  <w:footnote w:id="61">
    <w:p w:rsidR="009D4627" w:rsidRPr="00181AA0" w:rsidRDefault="009D4627" w:rsidP="00181AA0">
      <w:pPr>
        <w:pStyle w:val="NormalIndent"/>
        <w:keepNext/>
        <w:keepLines/>
        <w:spacing w:before="0"/>
        <w:ind w:left="0" w:right="691"/>
        <w:jc w:val="left"/>
        <w:rPr>
          <w:rFonts w:ascii="Verdana" w:hAnsi="Verdana"/>
          <w:sz w:val="20"/>
          <w:szCs w:val="20"/>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r>
      <w:r w:rsidRPr="00181AA0">
        <w:rPr>
          <w:rStyle w:val="sb8d990e2"/>
          <w:rFonts w:ascii="Verdana" w:hAnsi="Verdana"/>
          <w:i/>
          <w:sz w:val="20"/>
          <w:szCs w:val="20"/>
        </w:rPr>
        <w:t xml:space="preserve">Keegan v Ireland </w:t>
      </w:r>
      <w:bookmarkStart w:id="7" w:name="_GoBack"/>
      <w:bookmarkEnd w:id="7"/>
      <w:r w:rsidRPr="00181AA0">
        <w:rPr>
          <w:rStyle w:val="sb8d990e2"/>
          <w:rFonts w:ascii="Verdana" w:hAnsi="Verdana"/>
          <w:sz w:val="20"/>
          <w:szCs w:val="20"/>
        </w:rPr>
        <w:t xml:space="preserve">(1994) 18 EHRR 342 [49]; </w:t>
      </w:r>
      <w:r w:rsidRPr="00181AA0">
        <w:rPr>
          <w:rFonts w:ascii="Verdana" w:hAnsi="Verdana"/>
          <w:sz w:val="20"/>
          <w:szCs w:val="20"/>
        </w:rPr>
        <w:t xml:space="preserve">this formula has been repeated in many subsequent cases, see eg </w:t>
      </w:r>
      <w:r w:rsidRPr="00181AA0">
        <w:rPr>
          <w:rFonts w:ascii="Verdana" w:hAnsi="Verdana"/>
          <w:i/>
          <w:sz w:val="20"/>
          <w:szCs w:val="20"/>
        </w:rPr>
        <w:t xml:space="preserve">Hatton v United Kingdom </w:t>
      </w:r>
      <w:r w:rsidRPr="00181AA0">
        <w:rPr>
          <w:rFonts w:ascii="Verdana" w:hAnsi="Verdana"/>
          <w:sz w:val="20"/>
          <w:szCs w:val="20"/>
        </w:rPr>
        <w:t>(2003) 37 EHRR 28</w:t>
      </w:r>
      <w:r w:rsidRPr="00181AA0">
        <w:rPr>
          <w:rFonts w:ascii="Verdana" w:hAnsi="Verdana"/>
          <w:i/>
          <w:sz w:val="20"/>
          <w:szCs w:val="20"/>
        </w:rPr>
        <w:t xml:space="preserve"> </w:t>
      </w:r>
      <w:r w:rsidRPr="00181AA0">
        <w:rPr>
          <w:rStyle w:val="sb8d990e2"/>
          <w:rFonts w:ascii="Verdana" w:hAnsi="Verdana"/>
          <w:sz w:val="20"/>
          <w:szCs w:val="20"/>
        </w:rPr>
        <w:t>[98] (GC).</w:t>
      </w:r>
    </w:p>
  </w:footnote>
  <w:footnote w:id="62">
    <w:p w:rsidR="009D4627" w:rsidRPr="00181AA0" w:rsidRDefault="009D4627" w:rsidP="00181AA0">
      <w:pPr>
        <w:keepNext/>
        <w:keepLines/>
        <w:spacing w:after="120"/>
        <w:jc w:val="left"/>
        <w:rPr>
          <w:rFonts w:ascii="Verdana" w:eastAsia="Calibri" w:hAnsi="Verdana"/>
          <w:sz w:val="20"/>
          <w:szCs w:val="20"/>
          <w:lang w:val="fr-FR"/>
        </w:rPr>
      </w:pPr>
      <w:r w:rsidRPr="00181AA0">
        <w:rPr>
          <w:rStyle w:val="FootnoteReference"/>
          <w:rFonts w:ascii="Verdana" w:hAnsi="Verdana"/>
          <w:sz w:val="20"/>
          <w:szCs w:val="20"/>
        </w:rPr>
        <w:footnoteRef/>
      </w:r>
      <w:r w:rsidRPr="00181AA0">
        <w:rPr>
          <w:rFonts w:ascii="Verdana" w:hAnsi="Verdana"/>
          <w:sz w:val="20"/>
          <w:szCs w:val="20"/>
          <w:lang w:val="fr-FR"/>
        </w:rPr>
        <w:t xml:space="preserve"> </w:t>
      </w:r>
      <w:r w:rsidRPr="00181AA0">
        <w:rPr>
          <w:rFonts w:ascii="Verdana" w:hAnsi="Verdana"/>
          <w:sz w:val="20"/>
          <w:szCs w:val="20"/>
          <w:lang w:val="fr-FR"/>
        </w:rPr>
        <w:tab/>
      </w:r>
      <w:r w:rsidRPr="00181AA0">
        <w:rPr>
          <w:rFonts w:ascii="Verdana" w:eastAsia="Calibri" w:hAnsi="Verdana"/>
          <w:i/>
          <w:sz w:val="20"/>
          <w:szCs w:val="20"/>
          <w:lang w:val="fr-FR"/>
        </w:rPr>
        <w:t xml:space="preserve">Stjerna v Finland </w:t>
      </w:r>
      <w:r w:rsidRPr="00181AA0">
        <w:rPr>
          <w:rFonts w:ascii="Verdana" w:eastAsia="Calibri" w:hAnsi="Verdana"/>
          <w:sz w:val="20"/>
          <w:szCs w:val="20"/>
          <w:lang w:val="fr-FR"/>
        </w:rPr>
        <w:t>(1997) 24 EHRR 195, 000</w:t>
      </w:r>
    </w:p>
  </w:footnote>
  <w:footnote w:id="63">
    <w:p w:rsidR="005C0830" w:rsidRPr="00181AA0" w:rsidRDefault="005C0830" w:rsidP="00181AA0">
      <w:pPr>
        <w:pStyle w:val="loose"/>
        <w:keepNext/>
        <w:keepLines/>
        <w:spacing w:before="0" w:beforeAutospacing="0" w:after="120" w:afterAutospacing="0"/>
        <w:rPr>
          <w:rFonts w:ascii="Verdana" w:hAnsi="Verdana"/>
          <w:sz w:val="20"/>
          <w:szCs w:val="20"/>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r>
      <w:r w:rsidRPr="00181AA0">
        <w:rPr>
          <w:rStyle w:val="italic"/>
          <w:rFonts w:ascii="Verdana" w:hAnsi="Verdana"/>
          <w:i/>
          <w:sz w:val="20"/>
          <w:szCs w:val="20"/>
        </w:rPr>
        <w:t>Mosley v United Kingdom</w:t>
      </w:r>
      <w:r w:rsidRPr="00181AA0">
        <w:rPr>
          <w:rFonts w:ascii="Verdana" w:hAnsi="Verdana"/>
          <w:sz w:val="20"/>
          <w:szCs w:val="20"/>
        </w:rPr>
        <w:t xml:space="preserve"> [2012] 1 FCR 99 [109]</w:t>
      </w:r>
      <w:r w:rsidR="00125492" w:rsidRPr="00181AA0">
        <w:rPr>
          <w:rFonts w:ascii="Verdana" w:hAnsi="Verdana"/>
          <w:sz w:val="20"/>
          <w:szCs w:val="20"/>
        </w:rPr>
        <w:t xml:space="preserve">; see </w:t>
      </w:r>
      <w:r w:rsidR="008663F5" w:rsidRPr="00181AA0">
        <w:rPr>
          <w:rFonts w:ascii="Verdana" w:hAnsi="Verdana"/>
          <w:sz w:val="20"/>
          <w:szCs w:val="20"/>
        </w:rPr>
        <w:t xml:space="preserve">also </w:t>
      </w:r>
      <w:r w:rsidR="00125492" w:rsidRPr="00181AA0">
        <w:rPr>
          <w:rFonts w:ascii="Verdana" w:hAnsi="Verdana"/>
          <w:sz w:val="20"/>
          <w:szCs w:val="20"/>
        </w:rPr>
        <w:t xml:space="preserve">the analysis in </w:t>
      </w:r>
      <w:r w:rsidR="00125492" w:rsidRPr="00181AA0">
        <w:rPr>
          <w:rFonts w:ascii="Verdana" w:hAnsi="Verdana"/>
          <w:i/>
          <w:sz w:val="20"/>
          <w:szCs w:val="20"/>
        </w:rPr>
        <w:t xml:space="preserve">Swift v Secretary of State for Justice </w:t>
      </w:r>
      <w:r w:rsidR="00125492" w:rsidRPr="00181AA0">
        <w:rPr>
          <w:rFonts w:ascii="Verdana" w:hAnsi="Verdana"/>
          <w:sz w:val="20"/>
          <w:szCs w:val="20"/>
        </w:rPr>
        <w:t>[2012] EWHC 2000 (QB), [27].</w:t>
      </w:r>
    </w:p>
  </w:footnote>
  <w:footnote w:id="64">
    <w:p w:rsidR="005C0830" w:rsidRPr="00181AA0" w:rsidRDefault="005C0830" w:rsidP="00181AA0">
      <w:pPr>
        <w:pStyle w:val="NormalIndent"/>
        <w:keepNext/>
        <w:keepLines/>
        <w:spacing w:before="0"/>
        <w:ind w:left="0" w:right="691"/>
        <w:jc w:val="left"/>
        <w:rPr>
          <w:rFonts w:ascii="Verdana" w:hAnsi="Verdana"/>
          <w:bCs/>
          <w:sz w:val="20"/>
          <w:szCs w:val="20"/>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r>
      <w:proofErr w:type="gramStart"/>
      <w:r w:rsidR="00945775" w:rsidRPr="00181AA0">
        <w:rPr>
          <w:rFonts w:ascii="Verdana" w:hAnsi="Verdana"/>
          <w:sz w:val="20"/>
          <w:szCs w:val="20"/>
        </w:rPr>
        <w:t>see</w:t>
      </w:r>
      <w:proofErr w:type="gramEnd"/>
      <w:r w:rsidR="00945775" w:rsidRPr="00181AA0">
        <w:rPr>
          <w:rFonts w:ascii="Verdana" w:hAnsi="Verdana"/>
          <w:sz w:val="20"/>
          <w:szCs w:val="20"/>
        </w:rPr>
        <w:t xml:space="preserve"> e.g. </w:t>
      </w:r>
      <w:r w:rsidR="00945775" w:rsidRPr="00181AA0">
        <w:rPr>
          <w:rFonts w:ascii="Verdana" w:hAnsi="Verdana"/>
          <w:i/>
          <w:iCs/>
          <w:sz w:val="20"/>
          <w:szCs w:val="20"/>
        </w:rPr>
        <w:t>Draon v France</w:t>
      </w:r>
      <w:r w:rsidR="008663F5" w:rsidRPr="00181AA0">
        <w:rPr>
          <w:rFonts w:ascii="Verdana" w:hAnsi="Verdana"/>
          <w:sz w:val="20"/>
          <w:szCs w:val="20"/>
        </w:rPr>
        <w:t xml:space="preserve"> (2006) 42 EHRR 40 at [106]</w:t>
      </w:r>
      <w:r w:rsidR="00945775" w:rsidRPr="00181AA0">
        <w:rPr>
          <w:rFonts w:ascii="Verdana" w:hAnsi="Verdana"/>
          <w:sz w:val="20"/>
          <w:szCs w:val="20"/>
        </w:rPr>
        <w:t>; s</w:t>
      </w:r>
      <w:r w:rsidRPr="00181AA0">
        <w:rPr>
          <w:rFonts w:ascii="Verdana" w:hAnsi="Verdana"/>
          <w:sz w:val="20"/>
          <w:szCs w:val="20"/>
        </w:rPr>
        <w:t xml:space="preserve">ee also </w:t>
      </w:r>
      <w:r w:rsidRPr="00181AA0">
        <w:rPr>
          <w:rFonts w:ascii="Verdana" w:hAnsi="Verdana"/>
          <w:i/>
          <w:iCs/>
          <w:sz w:val="20"/>
          <w:szCs w:val="20"/>
        </w:rPr>
        <w:t>R (McDonald) v RB Kensington and Chelsea</w:t>
      </w:r>
      <w:r w:rsidRPr="00181AA0">
        <w:rPr>
          <w:rFonts w:ascii="Verdana" w:hAnsi="Verdana"/>
          <w:b/>
          <w:bCs/>
          <w:sz w:val="20"/>
          <w:szCs w:val="20"/>
        </w:rPr>
        <w:t xml:space="preserve">  </w:t>
      </w:r>
      <w:r w:rsidRPr="00181AA0">
        <w:rPr>
          <w:rFonts w:ascii="Verdana" w:hAnsi="Verdana"/>
          <w:bCs/>
          <w:sz w:val="20"/>
          <w:szCs w:val="20"/>
        </w:rPr>
        <w:t>[2011] UK</w:t>
      </w:r>
      <w:r w:rsidRPr="00181AA0">
        <w:rPr>
          <w:rFonts w:ascii="Verdana" w:hAnsi="Verdana"/>
          <w:bCs/>
          <w:sz w:val="20"/>
          <w:szCs w:val="20"/>
        </w:rPr>
        <w:t>S</w:t>
      </w:r>
      <w:r w:rsidRPr="00181AA0">
        <w:rPr>
          <w:rFonts w:ascii="Verdana" w:hAnsi="Verdana"/>
          <w:bCs/>
          <w:sz w:val="20"/>
          <w:szCs w:val="20"/>
        </w:rPr>
        <w:t>C 33 [15] (Lord Brown)</w:t>
      </w:r>
      <w:r w:rsidR="00945775" w:rsidRPr="00181AA0">
        <w:rPr>
          <w:rFonts w:ascii="Verdana" w:hAnsi="Verdana"/>
          <w:bCs/>
          <w:sz w:val="20"/>
          <w:szCs w:val="20"/>
        </w:rPr>
        <w:t>.</w:t>
      </w:r>
    </w:p>
  </w:footnote>
  <w:footnote w:id="65">
    <w:p w:rsidR="00945775" w:rsidRPr="00181AA0" w:rsidRDefault="00945775" w:rsidP="00181AA0">
      <w:pPr>
        <w:pStyle w:val="s32b251d"/>
        <w:keepNext/>
        <w:keepLines/>
        <w:spacing w:before="0" w:beforeAutospacing="0" w:after="120" w:afterAutospacing="0"/>
        <w:rPr>
          <w:rFonts w:ascii="Verdana" w:hAnsi="Verdana"/>
          <w:sz w:val="20"/>
          <w:szCs w:val="20"/>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r>
      <w:proofErr w:type="gramStart"/>
      <w:r w:rsidRPr="00181AA0">
        <w:rPr>
          <w:rStyle w:val="sb8d990e2"/>
          <w:rFonts w:ascii="Verdana" w:hAnsi="Verdana"/>
          <w:i/>
          <w:sz w:val="20"/>
          <w:szCs w:val="20"/>
        </w:rPr>
        <w:t xml:space="preserve">Fadeyeva v Russia, </w:t>
      </w:r>
      <w:r w:rsidR="00125492" w:rsidRPr="00181AA0">
        <w:rPr>
          <w:rStyle w:val="sb8d990e2"/>
          <w:rFonts w:ascii="Verdana" w:hAnsi="Verdana"/>
          <w:sz w:val="20"/>
          <w:szCs w:val="20"/>
        </w:rPr>
        <w:t xml:space="preserve">Judgment of </w:t>
      </w:r>
      <w:r w:rsidRPr="00181AA0">
        <w:rPr>
          <w:rStyle w:val="sb8d990e2"/>
          <w:rFonts w:ascii="Verdana" w:hAnsi="Verdana"/>
          <w:sz w:val="20"/>
          <w:szCs w:val="20"/>
        </w:rPr>
        <w:t>9 June 2005 [89].</w:t>
      </w:r>
      <w:proofErr w:type="gramEnd"/>
    </w:p>
  </w:footnote>
  <w:footnote w:id="66">
    <w:p w:rsidR="00945775" w:rsidRPr="00181AA0" w:rsidRDefault="00945775"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i/>
          <w:lang w:eastAsia="en-GB"/>
        </w:rPr>
        <w:t>Sentges v The Netherlands</w:t>
      </w:r>
      <w:r w:rsidRPr="00181AA0">
        <w:rPr>
          <w:rFonts w:ascii="Verdana" w:hAnsi="Verdana"/>
          <w:lang w:eastAsia="en-GB"/>
        </w:rPr>
        <w:t xml:space="preserve"> </w:t>
      </w:r>
      <w:r w:rsidR="00125492" w:rsidRPr="00181AA0">
        <w:rPr>
          <w:rFonts w:ascii="Verdana" w:hAnsi="Verdana"/>
        </w:rPr>
        <w:t xml:space="preserve">(2003) 7 CCLR 400, 405; </w:t>
      </w:r>
      <w:r w:rsidRPr="00181AA0">
        <w:rPr>
          <w:rFonts w:ascii="Verdana" w:hAnsi="Verdana"/>
          <w:lang w:eastAsia="en-GB"/>
        </w:rPr>
        <w:t xml:space="preserve">also see </w:t>
      </w:r>
      <w:r w:rsidRPr="00181AA0">
        <w:rPr>
          <w:rFonts w:ascii="Verdana" w:hAnsi="Verdana"/>
          <w:i/>
          <w:lang w:eastAsia="en-GB"/>
        </w:rPr>
        <w:t>Draon v France</w:t>
      </w:r>
      <w:r w:rsidRPr="00181AA0">
        <w:rPr>
          <w:rFonts w:ascii="Verdana" w:hAnsi="Verdana"/>
          <w:lang w:eastAsia="en-GB"/>
        </w:rPr>
        <w:t xml:space="preserve"> (2006) 42 EHRR 40, [108] (GC).</w:t>
      </w:r>
    </w:p>
  </w:footnote>
  <w:footnote w:id="67">
    <w:p w:rsidR="003D29E1" w:rsidRPr="00181AA0" w:rsidRDefault="003D29E1" w:rsidP="00181AA0">
      <w:pPr>
        <w:pStyle w:val="FootnoteTex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Pr="00181AA0">
        <w:rPr>
          <w:rFonts w:ascii="Verdana" w:hAnsi="Verdana"/>
          <w:i/>
        </w:rPr>
        <w:t xml:space="preserve">Tysiac v Poland </w:t>
      </w:r>
      <w:r w:rsidRPr="00181AA0">
        <w:rPr>
          <w:rStyle w:val="st"/>
          <w:rFonts w:ascii="Verdana" w:hAnsi="Verdana"/>
        </w:rPr>
        <w:t xml:space="preserve">(2007) 45 </w:t>
      </w:r>
      <w:r w:rsidRPr="00181AA0">
        <w:rPr>
          <w:rStyle w:val="Emphasis"/>
          <w:rFonts w:ascii="Verdana" w:hAnsi="Verdana"/>
          <w:i w:val="0"/>
        </w:rPr>
        <w:t>EHRR</w:t>
      </w:r>
      <w:r w:rsidRPr="00181AA0">
        <w:rPr>
          <w:rStyle w:val="st"/>
          <w:rFonts w:ascii="Verdana" w:hAnsi="Verdana"/>
          <w:i/>
        </w:rPr>
        <w:t xml:space="preserve"> </w:t>
      </w:r>
      <w:r w:rsidRPr="00181AA0">
        <w:rPr>
          <w:rStyle w:val="st"/>
          <w:rFonts w:ascii="Verdana" w:hAnsi="Verdana"/>
        </w:rPr>
        <w:t>42</w:t>
      </w:r>
      <w:r w:rsidRPr="00181AA0">
        <w:rPr>
          <w:rFonts w:ascii="Verdana" w:hAnsi="Verdana"/>
          <w:i/>
        </w:rPr>
        <w:t xml:space="preserve"> </w:t>
      </w:r>
      <w:r w:rsidRPr="00181AA0">
        <w:rPr>
          <w:rFonts w:ascii="Verdana" w:hAnsi="Verdana"/>
        </w:rPr>
        <w:t>[112]</w:t>
      </w:r>
    </w:p>
  </w:footnote>
  <w:footnote w:id="68">
    <w:p w:rsidR="005C0830" w:rsidRPr="00181AA0" w:rsidRDefault="005C0830" w:rsidP="00181AA0">
      <w:pPr>
        <w:pStyle w:val="FootnoteText"/>
        <w:keepNext/>
        <w:keepLines/>
        <w:jc w:val="left"/>
        <w:rPr>
          <w:rFonts w:ascii="Verdana" w:hAnsi="Verdana"/>
        </w:rPr>
      </w:pPr>
      <w:r w:rsidRPr="00181AA0">
        <w:rPr>
          <w:rStyle w:val="FootnoteReference"/>
          <w:rFonts w:ascii="Verdana" w:hAnsi="Verdana"/>
        </w:rPr>
        <w:footnoteRef/>
      </w:r>
      <w:r w:rsidRPr="00181AA0">
        <w:rPr>
          <w:rFonts w:ascii="Verdana" w:hAnsi="Verdana"/>
        </w:rPr>
        <w:t xml:space="preserve"> </w:t>
      </w:r>
      <w:r w:rsidRPr="00181AA0">
        <w:rPr>
          <w:rFonts w:ascii="Verdana" w:hAnsi="Verdana"/>
        </w:rPr>
        <w:tab/>
      </w:r>
      <w:r w:rsidR="00FB5D4A" w:rsidRPr="00181AA0">
        <w:rPr>
          <w:rFonts w:ascii="Verdana" w:hAnsi="Verdana"/>
          <w:i/>
        </w:rPr>
        <w:t xml:space="preserve">Goodwin v United Kingdom </w:t>
      </w:r>
      <w:r w:rsidR="00FB5D4A" w:rsidRPr="00181AA0">
        <w:rPr>
          <w:rFonts w:ascii="Verdana" w:hAnsi="Verdana"/>
        </w:rPr>
        <w:t xml:space="preserve">(2002) 35 EHRR 18 (GC), [84-85]; </w:t>
      </w:r>
      <w:r w:rsidR="00FB5D4A" w:rsidRPr="00181AA0">
        <w:rPr>
          <w:rFonts w:ascii="Verdana" w:hAnsi="Verdana"/>
          <w:i/>
        </w:rPr>
        <w:t xml:space="preserve">Draon v France, </w:t>
      </w:r>
      <w:r w:rsidR="00FB5D4A" w:rsidRPr="00181AA0">
        <w:rPr>
          <w:rFonts w:ascii="Verdana" w:hAnsi="Verdana"/>
        </w:rPr>
        <w:t xml:space="preserve">op cit; </w:t>
      </w:r>
      <w:r w:rsidRPr="00181AA0">
        <w:rPr>
          <w:rFonts w:ascii="Verdana" w:hAnsi="Verdana"/>
        </w:rPr>
        <w:t xml:space="preserve">[110] </w:t>
      </w:r>
    </w:p>
  </w:footnote>
  <w:footnote w:id="69">
    <w:p w:rsidR="0053749C" w:rsidRPr="00181AA0" w:rsidRDefault="0053749C" w:rsidP="00181AA0">
      <w:pPr>
        <w:autoSpaceDE w:val="0"/>
        <w:autoSpaceDN w:val="0"/>
        <w:adjustRightInd w:val="0"/>
        <w:spacing w:after="120"/>
        <w:jc w:val="left"/>
        <w:rPr>
          <w:rFonts w:ascii="Verdana" w:hAnsi="Verdana"/>
          <w:sz w:val="20"/>
          <w:szCs w:val="20"/>
        </w:rPr>
      </w:pPr>
      <w:r w:rsidRPr="00181AA0">
        <w:rPr>
          <w:rStyle w:val="FootnoteReference"/>
          <w:rFonts w:ascii="Verdana" w:hAnsi="Verdana"/>
          <w:sz w:val="20"/>
          <w:szCs w:val="20"/>
        </w:rPr>
        <w:footnoteRef/>
      </w:r>
      <w:r w:rsidRPr="00181AA0">
        <w:rPr>
          <w:rFonts w:ascii="Verdana" w:hAnsi="Verdana"/>
          <w:sz w:val="20"/>
          <w:szCs w:val="20"/>
        </w:rPr>
        <w:t xml:space="preserve"> </w:t>
      </w:r>
      <w:r w:rsidRPr="00181AA0">
        <w:rPr>
          <w:rFonts w:ascii="Verdana" w:hAnsi="Verdana"/>
          <w:sz w:val="20"/>
          <w:szCs w:val="20"/>
        </w:rPr>
        <w:tab/>
        <w:t xml:space="preserve">See </w:t>
      </w:r>
      <w:r w:rsidRPr="00181AA0">
        <w:rPr>
          <w:rFonts w:ascii="Verdana" w:eastAsia="Calibri" w:hAnsi="Verdana" w:cs="MinionPro-Regular"/>
          <w:sz w:val="20"/>
          <w:szCs w:val="20"/>
          <w:lang w:eastAsia="en-GB"/>
        </w:rPr>
        <w:t xml:space="preserve">J.-P. </w:t>
      </w:r>
      <w:proofErr w:type="gramStart"/>
      <w:r w:rsidRPr="00181AA0">
        <w:rPr>
          <w:rFonts w:ascii="Verdana" w:eastAsia="Calibri" w:hAnsi="Verdana" w:cs="MinionPro-Regular"/>
          <w:sz w:val="20"/>
          <w:szCs w:val="20"/>
          <w:lang w:eastAsia="en-GB"/>
        </w:rPr>
        <w:t xml:space="preserve">Marguénaud </w:t>
      </w:r>
      <w:r w:rsidRPr="00181AA0">
        <w:rPr>
          <w:rFonts w:ascii="Verdana" w:eastAsia="MinionPro-It" w:hAnsi="Verdana" w:cs="MinionPro-It"/>
          <w:i/>
          <w:iCs/>
          <w:sz w:val="20"/>
          <w:szCs w:val="20"/>
          <w:lang w:eastAsia="en-GB"/>
        </w:rPr>
        <w:t>La Cour europeenne des</w:t>
      </w:r>
      <w:r w:rsidR="00CF3B99">
        <w:rPr>
          <w:rFonts w:ascii="Verdana" w:eastAsia="MinionPro-It" w:hAnsi="Verdana" w:cs="MinionPro-It"/>
          <w:i/>
          <w:iCs/>
          <w:sz w:val="20"/>
          <w:szCs w:val="20"/>
          <w:lang w:eastAsia="en-GB"/>
        </w:rPr>
        <w:t xml:space="preserve"> </w:t>
      </w:r>
      <w:r w:rsidRPr="00181AA0">
        <w:rPr>
          <w:rFonts w:ascii="Verdana" w:eastAsia="MinionPro-It" w:hAnsi="Verdana" w:cs="MinionPro-It"/>
          <w:i/>
          <w:iCs/>
          <w:sz w:val="20"/>
          <w:szCs w:val="20"/>
          <w:lang w:eastAsia="en-GB"/>
        </w:rPr>
        <w:t>Droits de l’Homme</w:t>
      </w:r>
      <w:r w:rsidRPr="00181AA0">
        <w:rPr>
          <w:rFonts w:ascii="Verdana" w:eastAsia="Calibri" w:hAnsi="Verdana" w:cs="MinionPro-Regular"/>
          <w:sz w:val="20"/>
          <w:szCs w:val="20"/>
          <w:lang w:eastAsia="en-GB"/>
        </w:rPr>
        <w:t>, (Dalloz, Paris, coll. Connaissance du droit) 2</w:t>
      </w:r>
      <w:r w:rsidRPr="00181AA0">
        <w:rPr>
          <w:rFonts w:ascii="Verdana" w:eastAsia="Calibri" w:hAnsi="Verdana" w:cs="MinionPro-Regular"/>
          <w:sz w:val="20"/>
          <w:szCs w:val="20"/>
          <w:vertAlign w:val="superscript"/>
          <w:lang w:eastAsia="en-GB"/>
        </w:rPr>
        <w:t>nd</w:t>
      </w:r>
      <w:r w:rsidRPr="00181AA0">
        <w:rPr>
          <w:rFonts w:ascii="Verdana" w:eastAsia="Calibri" w:hAnsi="Verdana" w:cs="MinionPro-Regular"/>
          <w:sz w:val="20"/>
          <w:szCs w:val="20"/>
          <w:lang w:eastAsia="en-GB"/>
        </w:rPr>
        <w:t xml:space="preserve"> Edn, p. 36.</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F49"/>
    <w:multiLevelType w:val="hybridMultilevel"/>
    <w:tmpl w:val="B97EB22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156327EF"/>
    <w:multiLevelType w:val="hybridMultilevel"/>
    <w:tmpl w:val="6A44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F636A"/>
    <w:multiLevelType w:val="hybridMultilevel"/>
    <w:tmpl w:val="3A52A3C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3">
    <w:nsid w:val="36A76D78"/>
    <w:multiLevelType w:val="hybridMultilevel"/>
    <w:tmpl w:val="5B60ECFC"/>
    <w:lvl w:ilvl="0" w:tplc="341EF186">
      <w:start w:val="1"/>
      <w:numFmt w:val="decimal"/>
      <w:lvlText w:val="6.%1"/>
      <w:lvlJc w:val="left"/>
      <w:pPr>
        <w:tabs>
          <w:tab w:val="num" w:pos="0"/>
        </w:tabs>
        <w:ind w:left="0" w:hanging="720"/>
      </w:pPr>
      <w:rPr>
        <w:rFonts w:ascii="New York" w:hAnsi="New York" w:hint="default"/>
        <w:b/>
        <w:i w:val="0"/>
        <w:sz w:val="22"/>
      </w:rPr>
    </w:lvl>
    <w:lvl w:ilvl="1" w:tplc="03F0646C">
      <w:start w:val="1"/>
      <w:numFmt w:val="decimal"/>
      <w:lvlText w:val="(%2)"/>
      <w:lvlJc w:val="left"/>
      <w:pPr>
        <w:tabs>
          <w:tab w:val="num" w:pos="1440"/>
        </w:tabs>
        <w:ind w:left="1440" w:hanging="360"/>
      </w:pPr>
      <w:rPr>
        <w:rFonts w:hint="default"/>
      </w:rPr>
    </w:lvl>
    <w:lvl w:ilvl="2" w:tplc="43E2A81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321AF5"/>
    <w:multiLevelType w:val="hybridMultilevel"/>
    <w:tmpl w:val="D2E88A78"/>
    <w:lvl w:ilvl="0" w:tplc="660C46F4">
      <w:start w:val="1"/>
      <w:numFmt w:val="decimal"/>
      <w:lvlText w:val="12.%1"/>
      <w:lvlJc w:val="left"/>
      <w:pPr>
        <w:tabs>
          <w:tab w:val="num" w:pos="0"/>
        </w:tabs>
        <w:ind w:left="0" w:hanging="576"/>
      </w:pPr>
      <w:rPr>
        <w:rFonts w:ascii="New York" w:hAnsi="New York"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footnotePr>
    <w:footnote w:id="-1"/>
    <w:footnote w:id="0"/>
  </w:footnotePr>
  <w:endnotePr>
    <w:endnote w:id="-1"/>
    <w:endnote w:id="0"/>
  </w:endnotePr>
  <w:compat/>
  <w:rsids>
    <w:rsidRoot w:val="002B0F1C"/>
    <w:rsid w:val="0004048C"/>
    <w:rsid w:val="000519D9"/>
    <w:rsid w:val="0006777F"/>
    <w:rsid w:val="00067968"/>
    <w:rsid w:val="000B67CD"/>
    <w:rsid w:val="001024AF"/>
    <w:rsid w:val="00114A9A"/>
    <w:rsid w:val="00123921"/>
    <w:rsid w:val="00125492"/>
    <w:rsid w:val="0014434C"/>
    <w:rsid w:val="00150568"/>
    <w:rsid w:val="001628D6"/>
    <w:rsid w:val="00164558"/>
    <w:rsid w:val="001647A3"/>
    <w:rsid w:val="00174783"/>
    <w:rsid w:val="00181AA0"/>
    <w:rsid w:val="00182116"/>
    <w:rsid w:val="001911E1"/>
    <w:rsid w:val="001A04C2"/>
    <w:rsid w:val="001F10A8"/>
    <w:rsid w:val="00215350"/>
    <w:rsid w:val="00220590"/>
    <w:rsid w:val="0025376A"/>
    <w:rsid w:val="002719A7"/>
    <w:rsid w:val="0028314A"/>
    <w:rsid w:val="00291868"/>
    <w:rsid w:val="002A229B"/>
    <w:rsid w:val="002A410D"/>
    <w:rsid w:val="002B0F1C"/>
    <w:rsid w:val="002E3744"/>
    <w:rsid w:val="003212F4"/>
    <w:rsid w:val="00321BA6"/>
    <w:rsid w:val="0034260A"/>
    <w:rsid w:val="00355CA3"/>
    <w:rsid w:val="00371B3F"/>
    <w:rsid w:val="003740B0"/>
    <w:rsid w:val="003766F1"/>
    <w:rsid w:val="003820BB"/>
    <w:rsid w:val="00382BD5"/>
    <w:rsid w:val="003877ED"/>
    <w:rsid w:val="003A1094"/>
    <w:rsid w:val="003B3794"/>
    <w:rsid w:val="003B5A9D"/>
    <w:rsid w:val="003D29E1"/>
    <w:rsid w:val="003D39F0"/>
    <w:rsid w:val="003D6E47"/>
    <w:rsid w:val="003E468D"/>
    <w:rsid w:val="004163D7"/>
    <w:rsid w:val="00450B35"/>
    <w:rsid w:val="004537E7"/>
    <w:rsid w:val="0045639B"/>
    <w:rsid w:val="00475E52"/>
    <w:rsid w:val="004846AF"/>
    <w:rsid w:val="004925CE"/>
    <w:rsid w:val="004C5448"/>
    <w:rsid w:val="004C5D35"/>
    <w:rsid w:val="00522CF5"/>
    <w:rsid w:val="0052337B"/>
    <w:rsid w:val="0053749C"/>
    <w:rsid w:val="0057527A"/>
    <w:rsid w:val="00582191"/>
    <w:rsid w:val="005B3D9A"/>
    <w:rsid w:val="005B473A"/>
    <w:rsid w:val="005C0830"/>
    <w:rsid w:val="005C5D4D"/>
    <w:rsid w:val="005D5EF2"/>
    <w:rsid w:val="005E1E87"/>
    <w:rsid w:val="00632410"/>
    <w:rsid w:val="0063598D"/>
    <w:rsid w:val="00664495"/>
    <w:rsid w:val="00687C04"/>
    <w:rsid w:val="006928B9"/>
    <w:rsid w:val="006C2F82"/>
    <w:rsid w:val="006D0217"/>
    <w:rsid w:val="006D157B"/>
    <w:rsid w:val="006E1651"/>
    <w:rsid w:val="00703AC4"/>
    <w:rsid w:val="0070567B"/>
    <w:rsid w:val="00725654"/>
    <w:rsid w:val="007349AE"/>
    <w:rsid w:val="007733E8"/>
    <w:rsid w:val="00775C95"/>
    <w:rsid w:val="00790253"/>
    <w:rsid w:val="007E40D5"/>
    <w:rsid w:val="00805942"/>
    <w:rsid w:val="008241CC"/>
    <w:rsid w:val="0084319D"/>
    <w:rsid w:val="00847824"/>
    <w:rsid w:val="0086585B"/>
    <w:rsid w:val="008663F5"/>
    <w:rsid w:val="008C22BA"/>
    <w:rsid w:val="008C23EA"/>
    <w:rsid w:val="008D15CD"/>
    <w:rsid w:val="00904381"/>
    <w:rsid w:val="00905146"/>
    <w:rsid w:val="00930912"/>
    <w:rsid w:val="009454E3"/>
    <w:rsid w:val="00945775"/>
    <w:rsid w:val="0095548C"/>
    <w:rsid w:val="0098188F"/>
    <w:rsid w:val="009A2B96"/>
    <w:rsid w:val="009B3F94"/>
    <w:rsid w:val="009D24FE"/>
    <w:rsid w:val="009D4627"/>
    <w:rsid w:val="009D619E"/>
    <w:rsid w:val="00A01104"/>
    <w:rsid w:val="00A05CB7"/>
    <w:rsid w:val="00A156B1"/>
    <w:rsid w:val="00A20859"/>
    <w:rsid w:val="00A2510C"/>
    <w:rsid w:val="00A678F1"/>
    <w:rsid w:val="00A70524"/>
    <w:rsid w:val="00AD0D8C"/>
    <w:rsid w:val="00AF0F60"/>
    <w:rsid w:val="00AF2D8D"/>
    <w:rsid w:val="00B3089E"/>
    <w:rsid w:val="00B363B8"/>
    <w:rsid w:val="00B7038B"/>
    <w:rsid w:val="00BF2DA1"/>
    <w:rsid w:val="00C1555E"/>
    <w:rsid w:val="00C5409F"/>
    <w:rsid w:val="00C61804"/>
    <w:rsid w:val="00C807B0"/>
    <w:rsid w:val="00C81184"/>
    <w:rsid w:val="00C95027"/>
    <w:rsid w:val="00CF3B99"/>
    <w:rsid w:val="00D05BC5"/>
    <w:rsid w:val="00D269E0"/>
    <w:rsid w:val="00D511FE"/>
    <w:rsid w:val="00D72285"/>
    <w:rsid w:val="00D86E03"/>
    <w:rsid w:val="00D94DB0"/>
    <w:rsid w:val="00DA68D8"/>
    <w:rsid w:val="00DB42D9"/>
    <w:rsid w:val="00DF02B7"/>
    <w:rsid w:val="00E145EE"/>
    <w:rsid w:val="00E64D88"/>
    <w:rsid w:val="00E9729C"/>
    <w:rsid w:val="00EA31F7"/>
    <w:rsid w:val="00EC12B2"/>
    <w:rsid w:val="00EE791F"/>
    <w:rsid w:val="00F00D88"/>
    <w:rsid w:val="00F0214E"/>
    <w:rsid w:val="00F6575F"/>
    <w:rsid w:val="00F855E4"/>
    <w:rsid w:val="00FB5D4A"/>
    <w:rsid w:val="00FC4C7A"/>
    <w:rsid w:val="00FC58CF"/>
    <w:rsid w:val="00FF77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1C"/>
    <w:pPr>
      <w:jc w:val="both"/>
    </w:pPr>
    <w:rPr>
      <w:rFonts w:ascii="New York" w:eastAsia="Times New Roman" w:hAnsi="New York"/>
      <w:sz w:val="22"/>
      <w:szCs w:val="24"/>
      <w:lang w:eastAsia="en-US"/>
    </w:rPr>
  </w:style>
  <w:style w:type="paragraph" w:styleId="Heading1">
    <w:name w:val="heading 1"/>
    <w:basedOn w:val="Normal"/>
    <w:next w:val="Normal"/>
    <w:link w:val="Heading1Char"/>
    <w:qFormat/>
    <w:rsid w:val="002B0F1C"/>
    <w:pPr>
      <w:keepNext/>
      <w:spacing w:before="240" w:after="60"/>
      <w:outlineLvl w:val="0"/>
    </w:pPr>
    <w:rPr>
      <w:rFonts w:cs="Arial"/>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0F1C"/>
    <w:rPr>
      <w:rFonts w:ascii="New York" w:eastAsia="Times New Roman" w:hAnsi="New York" w:cs="Arial"/>
      <w:b/>
      <w:bCs/>
      <w:kern w:val="32"/>
      <w:szCs w:val="32"/>
    </w:rPr>
  </w:style>
  <w:style w:type="paragraph" w:styleId="FootnoteText">
    <w:name w:val="footnote text"/>
    <w:aliases w:val=" Char Char,Char Char"/>
    <w:basedOn w:val="Normal"/>
    <w:link w:val="FootnoteTextChar"/>
    <w:rsid w:val="002B0F1C"/>
    <w:pPr>
      <w:spacing w:after="120"/>
    </w:pPr>
    <w:rPr>
      <w:sz w:val="20"/>
      <w:szCs w:val="20"/>
    </w:rPr>
  </w:style>
  <w:style w:type="character" w:customStyle="1" w:styleId="FootnoteTextChar">
    <w:name w:val="Footnote Text Char"/>
    <w:aliases w:val=" Char Char Char,Char Char Char"/>
    <w:link w:val="FootnoteText"/>
    <w:rsid w:val="002B0F1C"/>
    <w:rPr>
      <w:rFonts w:ascii="New York" w:eastAsia="Times New Roman" w:hAnsi="New York" w:cs="Times New Roman"/>
      <w:sz w:val="20"/>
      <w:szCs w:val="20"/>
    </w:rPr>
  </w:style>
  <w:style w:type="character" w:styleId="FootnoteReference">
    <w:name w:val="footnote reference"/>
    <w:semiHidden/>
    <w:rsid w:val="002B0F1C"/>
    <w:rPr>
      <w:vertAlign w:val="superscript"/>
    </w:rPr>
  </w:style>
  <w:style w:type="paragraph" w:styleId="NormalIndent">
    <w:name w:val="Normal Indent"/>
    <w:basedOn w:val="Normal"/>
    <w:rsid w:val="002B0F1C"/>
    <w:pPr>
      <w:spacing w:before="120" w:after="120"/>
      <w:ind w:left="360" w:right="360"/>
    </w:pPr>
  </w:style>
  <w:style w:type="paragraph" w:styleId="ListParagraph">
    <w:name w:val="List Paragraph"/>
    <w:basedOn w:val="Normal"/>
    <w:uiPriority w:val="34"/>
    <w:qFormat/>
    <w:rsid w:val="00FC4C7A"/>
    <w:pPr>
      <w:ind w:left="720"/>
      <w:contextualSpacing/>
    </w:pPr>
  </w:style>
  <w:style w:type="character" w:styleId="Emphasis">
    <w:name w:val="Emphasis"/>
    <w:uiPriority w:val="20"/>
    <w:qFormat/>
    <w:rsid w:val="00FC4C7A"/>
    <w:rPr>
      <w:i/>
      <w:iCs/>
    </w:rPr>
  </w:style>
  <w:style w:type="character" w:styleId="Hyperlink">
    <w:name w:val="Hyperlink"/>
    <w:uiPriority w:val="99"/>
    <w:semiHidden/>
    <w:unhideWhenUsed/>
    <w:rsid w:val="00FC4C7A"/>
    <w:rPr>
      <w:color w:val="0000FF"/>
      <w:u w:val="single"/>
    </w:rPr>
  </w:style>
  <w:style w:type="character" w:customStyle="1" w:styleId="sb8d990e2">
    <w:name w:val="sb8d990e2"/>
    <w:basedOn w:val="DefaultParagraphFont"/>
    <w:rsid w:val="00150568"/>
  </w:style>
  <w:style w:type="character" w:customStyle="1" w:styleId="wordhighlighted">
    <w:name w:val="wordhighlighted"/>
    <w:basedOn w:val="DefaultParagraphFont"/>
    <w:rsid w:val="00150568"/>
  </w:style>
  <w:style w:type="paragraph" w:styleId="Header">
    <w:name w:val="header"/>
    <w:basedOn w:val="Normal"/>
    <w:link w:val="HeaderChar"/>
    <w:uiPriority w:val="99"/>
    <w:unhideWhenUsed/>
    <w:rsid w:val="0028314A"/>
    <w:pPr>
      <w:tabs>
        <w:tab w:val="center" w:pos="4513"/>
        <w:tab w:val="right" w:pos="9026"/>
      </w:tabs>
    </w:pPr>
  </w:style>
  <w:style w:type="character" w:customStyle="1" w:styleId="HeaderChar">
    <w:name w:val="Header Char"/>
    <w:link w:val="Header"/>
    <w:uiPriority w:val="99"/>
    <w:rsid w:val="0028314A"/>
    <w:rPr>
      <w:rFonts w:ascii="New York" w:eastAsia="Times New Roman" w:hAnsi="New York" w:cs="Times New Roman"/>
      <w:szCs w:val="24"/>
    </w:rPr>
  </w:style>
  <w:style w:type="paragraph" w:styleId="Footer">
    <w:name w:val="footer"/>
    <w:basedOn w:val="Normal"/>
    <w:link w:val="FooterChar"/>
    <w:uiPriority w:val="99"/>
    <w:unhideWhenUsed/>
    <w:rsid w:val="0028314A"/>
    <w:pPr>
      <w:tabs>
        <w:tab w:val="center" w:pos="4513"/>
        <w:tab w:val="right" w:pos="9026"/>
      </w:tabs>
    </w:pPr>
  </w:style>
  <w:style w:type="character" w:customStyle="1" w:styleId="FooterChar">
    <w:name w:val="Footer Char"/>
    <w:link w:val="Footer"/>
    <w:uiPriority w:val="99"/>
    <w:rsid w:val="0028314A"/>
    <w:rPr>
      <w:rFonts w:ascii="New York" w:eastAsia="Times New Roman" w:hAnsi="New York" w:cs="Times New Roman"/>
      <w:szCs w:val="24"/>
    </w:rPr>
  </w:style>
  <w:style w:type="paragraph" w:customStyle="1" w:styleId="s30eec3f8">
    <w:name w:val="s30eec3f8"/>
    <w:basedOn w:val="Normal"/>
    <w:rsid w:val="008C23EA"/>
    <w:pPr>
      <w:spacing w:before="100" w:beforeAutospacing="1" w:after="100" w:afterAutospacing="1"/>
      <w:jc w:val="left"/>
    </w:pPr>
    <w:rPr>
      <w:rFonts w:ascii="Times New Roman" w:hAnsi="Times New Roman"/>
      <w:sz w:val="24"/>
      <w:lang w:eastAsia="en-GB"/>
    </w:rPr>
  </w:style>
  <w:style w:type="character" w:customStyle="1" w:styleId="s6b621b36">
    <w:name w:val="s6b621b36"/>
    <w:basedOn w:val="DefaultParagraphFont"/>
    <w:rsid w:val="007349AE"/>
  </w:style>
  <w:style w:type="paragraph" w:styleId="NormalWeb">
    <w:name w:val="Normal (Web)"/>
    <w:basedOn w:val="Normal"/>
    <w:uiPriority w:val="99"/>
    <w:semiHidden/>
    <w:unhideWhenUsed/>
    <w:rsid w:val="005B473A"/>
    <w:pPr>
      <w:spacing w:before="100" w:beforeAutospacing="1" w:after="100" w:afterAutospacing="1"/>
      <w:jc w:val="left"/>
    </w:pPr>
    <w:rPr>
      <w:rFonts w:ascii="Times New Roman" w:hAnsi="Times New Roman"/>
      <w:sz w:val="24"/>
      <w:lang w:eastAsia="en-GB"/>
    </w:rPr>
  </w:style>
  <w:style w:type="character" w:customStyle="1" w:styleId="s7d2086b4">
    <w:name w:val="s7d2086b4"/>
    <w:rsid w:val="0057527A"/>
  </w:style>
  <w:style w:type="character" w:customStyle="1" w:styleId="sf8bfa2bc">
    <w:name w:val="sf8bfa2bc"/>
    <w:rsid w:val="0057527A"/>
  </w:style>
  <w:style w:type="paragraph" w:customStyle="1" w:styleId="s32b251d">
    <w:name w:val="s32b251d"/>
    <w:basedOn w:val="Normal"/>
    <w:rsid w:val="0057527A"/>
    <w:pPr>
      <w:spacing w:before="100" w:beforeAutospacing="1" w:after="100" w:afterAutospacing="1"/>
      <w:jc w:val="left"/>
    </w:pPr>
    <w:rPr>
      <w:rFonts w:ascii="Times New Roman" w:hAnsi="Times New Roman"/>
      <w:sz w:val="24"/>
      <w:lang w:eastAsia="en-GB"/>
    </w:rPr>
  </w:style>
  <w:style w:type="paragraph" w:customStyle="1" w:styleId="loose">
    <w:name w:val="loose"/>
    <w:basedOn w:val="Normal"/>
    <w:rsid w:val="001911E1"/>
    <w:pPr>
      <w:spacing w:before="100" w:beforeAutospacing="1" w:after="100" w:afterAutospacing="1"/>
      <w:jc w:val="left"/>
    </w:pPr>
    <w:rPr>
      <w:rFonts w:ascii="Times New Roman" w:hAnsi="Times New Roman"/>
      <w:sz w:val="24"/>
      <w:lang w:eastAsia="en-GB"/>
    </w:rPr>
  </w:style>
  <w:style w:type="character" w:customStyle="1" w:styleId="italic">
    <w:name w:val="italic"/>
    <w:rsid w:val="001911E1"/>
  </w:style>
  <w:style w:type="character" w:customStyle="1" w:styleId="st">
    <w:name w:val="st"/>
    <w:rsid w:val="003D29E1"/>
  </w:style>
</w:styles>
</file>

<file path=word/webSettings.xml><?xml version="1.0" encoding="utf-8"?>
<w:webSettings xmlns:r="http://schemas.openxmlformats.org/officeDocument/2006/relationships" xmlns:w="http://schemas.openxmlformats.org/wordprocessingml/2006/main">
  <w:divs>
    <w:div w:id="19623542">
      <w:bodyDiv w:val="1"/>
      <w:marLeft w:val="0"/>
      <w:marRight w:val="0"/>
      <w:marTop w:val="0"/>
      <w:marBottom w:val="0"/>
      <w:divBdr>
        <w:top w:val="none" w:sz="0" w:space="0" w:color="auto"/>
        <w:left w:val="none" w:sz="0" w:space="0" w:color="auto"/>
        <w:bottom w:val="none" w:sz="0" w:space="0" w:color="auto"/>
        <w:right w:val="none" w:sz="0" w:space="0" w:color="auto"/>
      </w:divBdr>
    </w:div>
    <w:div w:id="77408653">
      <w:bodyDiv w:val="1"/>
      <w:marLeft w:val="0"/>
      <w:marRight w:val="0"/>
      <w:marTop w:val="0"/>
      <w:marBottom w:val="0"/>
      <w:divBdr>
        <w:top w:val="none" w:sz="0" w:space="0" w:color="auto"/>
        <w:left w:val="none" w:sz="0" w:space="0" w:color="auto"/>
        <w:bottom w:val="none" w:sz="0" w:space="0" w:color="auto"/>
        <w:right w:val="none" w:sz="0" w:space="0" w:color="auto"/>
      </w:divBdr>
      <w:divsChild>
        <w:div w:id="1373725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98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3475299">
      <w:bodyDiv w:val="1"/>
      <w:marLeft w:val="0"/>
      <w:marRight w:val="0"/>
      <w:marTop w:val="0"/>
      <w:marBottom w:val="0"/>
      <w:divBdr>
        <w:top w:val="none" w:sz="0" w:space="0" w:color="auto"/>
        <w:left w:val="none" w:sz="0" w:space="0" w:color="auto"/>
        <w:bottom w:val="none" w:sz="0" w:space="0" w:color="auto"/>
        <w:right w:val="none" w:sz="0" w:space="0" w:color="auto"/>
      </w:divBdr>
    </w:div>
    <w:div w:id="20058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3450</Words>
  <Characters>19670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htomlinson</dc:creator>
  <cp:lastModifiedBy>Lyalya</cp:lastModifiedBy>
  <cp:revision>2</cp:revision>
  <dcterms:created xsi:type="dcterms:W3CDTF">2012-08-18T15:06:00Z</dcterms:created>
  <dcterms:modified xsi:type="dcterms:W3CDTF">2012-08-18T15:06:00Z</dcterms:modified>
</cp:coreProperties>
</file>