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40" w:rsidRDefault="00191D40" w:rsidP="00191D40">
      <w:pPr>
        <w:jc w:val="center"/>
        <w:rPr>
          <w:b/>
          <w:bCs/>
          <w:u w:val="single"/>
          <w:lang w:val="en-US"/>
        </w:rPr>
      </w:pPr>
      <w:r>
        <w:rPr>
          <w:b/>
          <w:bCs/>
          <w:u w:val="single"/>
          <w:lang w:val="en-US"/>
        </w:rPr>
        <w:t xml:space="preserve">The Administrative Law Bar Association:  </w:t>
      </w:r>
      <w:r w:rsidR="00050555">
        <w:rPr>
          <w:b/>
          <w:bCs/>
          <w:u w:val="single"/>
          <w:lang w:val="en-US"/>
        </w:rPr>
        <w:t>‘</w:t>
      </w:r>
      <w:r>
        <w:rPr>
          <w:b/>
          <w:bCs/>
          <w:u w:val="single"/>
          <w:lang w:val="en-US"/>
        </w:rPr>
        <w:t>Recent Cases in Public Law</w:t>
      </w:r>
      <w:r w:rsidR="00050555">
        <w:rPr>
          <w:b/>
          <w:bCs/>
          <w:u w:val="single"/>
          <w:lang w:val="en-US"/>
        </w:rPr>
        <w:t>’</w:t>
      </w:r>
      <w:r>
        <w:rPr>
          <w:b/>
          <w:bCs/>
          <w:u w:val="single"/>
          <w:lang w:val="en-US"/>
        </w:rPr>
        <w:t>: July 2012</w:t>
      </w:r>
    </w:p>
    <w:p w:rsidR="00C63BD2" w:rsidRPr="00C63BD2" w:rsidRDefault="0065319B" w:rsidP="00191D40">
      <w:pPr>
        <w:jc w:val="center"/>
        <w:rPr>
          <w:bCs/>
          <w:i/>
          <w:lang w:val="en-US"/>
        </w:rPr>
      </w:pPr>
      <w:r>
        <w:rPr>
          <w:bCs/>
          <w:i/>
          <w:lang w:val="en-US"/>
        </w:rPr>
        <w:t>(Or, a</w:t>
      </w:r>
      <w:r w:rsidR="00C63BD2" w:rsidRPr="00C63BD2">
        <w:rPr>
          <w:bCs/>
          <w:i/>
          <w:lang w:val="en-US"/>
        </w:rPr>
        <w:t xml:space="preserve"> lecture in search of a theme)</w:t>
      </w:r>
    </w:p>
    <w:p w:rsidR="0087722E" w:rsidRDefault="0087722E" w:rsidP="00AB0B7A">
      <w:pPr>
        <w:rPr>
          <w:b/>
          <w:bCs/>
          <w:lang w:val="en-US"/>
        </w:rPr>
      </w:pPr>
      <w:r>
        <w:rPr>
          <w:b/>
          <w:bCs/>
          <w:lang w:val="en-US"/>
        </w:rPr>
        <w:t xml:space="preserve">  </w:t>
      </w:r>
    </w:p>
    <w:p w:rsidR="00D632E4" w:rsidRPr="00D632E4" w:rsidRDefault="00D632E4" w:rsidP="00AB0B7A">
      <w:pPr>
        <w:rPr>
          <w:b/>
          <w:bCs/>
          <w:u w:val="single"/>
          <w:lang w:val="en-US"/>
        </w:rPr>
      </w:pPr>
      <w:r w:rsidRPr="00D632E4">
        <w:rPr>
          <w:b/>
          <w:bCs/>
          <w:u w:val="single"/>
          <w:lang w:val="en-US"/>
        </w:rPr>
        <w:t>Constitutional Law</w:t>
      </w:r>
    </w:p>
    <w:p w:rsidR="00C904E9" w:rsidRDefault="00C904E9" w:rsidP="008F11FF">
      <w:pPr>
        <w:pStyle w:val="ListParagraph"/>
        <w:numPr>
          <w:ilvl w:val="0"/>
          <w:numId w:val="1"/>
        </w:numPr>
        <w:jc w:val="both"/>
        <w:rPr>
          <w:bCs/>
          <w:lang w:val="en-US"/>
        </w:rPr>
      </w:pPr>
      <w:r>
        <w:rPr>
          <w:bCs/>
          <w:lang w:val="en-US"/>
        </w:rPr>
        <w:t xml:space="preserve">The Supreme Court has </w:t>
      </w:r>
      <w:r w:rsidR="00D632E4">
        <w:rPr>
          <w:bCs/>
          <w:lang w:val="en-US"/>
        </w:rPr>
        <w:t xml:space="preserve">very </w:t>
      </w:r>
      <w:r>
        <w:rPr>
          <w:bCs/>
          <w:lang w:val="en-US"/>
        </w:rPr>
        <w:t xml:space="preserve">recently (18 July 2012) given judgment in two major cases concerning the scope of the royal prerogative and the nature of immigration rules: </w:t>
      </w:r>
      <w:r w:rsidRPr="00C904E9">
        <w:rPr>
          <w:bCs/>
          <w:i/>
          <w:u w:val="single"/>
          <w:lang w:val="en-US"/>
        </w:rPr>
        <w:t>R(Munir) v Secretary of State for the Home Department</w:t>
      </w:r>
      <w:r>
        <w:rPr>
          <w:bCs/>
          <w:lang w:val="en-US"/>
        </w:rPr>
        <w:t xml:space="preserve"> [2012] UKSC 32 and </w:t>
      </w:r>
      <w:r w:rsidRPr="00C904E9">
        <w:rPr>
          <w:bCs/>
          <w:i/>
          <w:u w:val="single"/>
          <w:lang w:val="en-US"/>
        </w:rPr>
        <w:t>R (Alvi) v Secretary of State for the Home Department</w:t>
      </w:r>
      <w:r>
        <w:rPr>
          <w:bCs/>
          <w:lang w:val="en-US"/>
        </w:rPr>
        <w:t xml:space="preserve"> [2012] UKSC 33.  </w:t>
      </w:r>
    </w:p>
    <w:p w:rsidR="00C904E9" w:rsidRDefault="00C904E9" w:rsidP="00C904E9">
      <w:pPr>
        <w:pStyle w:val="ListParagraph"/>
        <w:ind w:left="360"/>
        <w:jc w:val="both"/>
        <w:rPr>
          <w:bCs/>
          <w:lang w:val="en-US"/>
        </w:rPr>
      </w:pPr>
    </w:p>
    <w:p w:rsidR="00C904E9" w:rsidRDefault="00C904E9" w:rsidP="008F11FF">
      <w:pPr>
        <w:pStyle w:val="ListParagraph"/>
        <w:numPr>
          <w:ilvl w:val="0"/>
          <w:numId w:val="1"/>
        </w:numPr>
        <w:jc w:val="both"/>
        <w:rPr>
          <w:bCs/>
          <w:lang w:val="en-US"/>
        </w:rPr>
      </w:pPr>
      <w:r>
        <w:rPr>
          <w:bCs/>
          <w:lang w:val="en-US"/>
        </w:rPr>
        <w:t xml:space="preserve">The first, </w:t>
      </w:r>
      <w:r w:rsidRPr="00C904E9">
        <w:rPr>
          <w:bCs/>
          <w:i/>
          <w:u w:val="single"/>
          <w:lang w:val="en-US"/>
        </w:rPr>
        <w:t>Munir</w:t>
      </w:r>
      <w:r>
        <w:rPr>
          <w:bCs/>
          <w:lang w:val="en-US"/>
        </w:rPr>
        <w:t>, concerned the withdrawal of the ‘long residence concession’ known as DP5/96, which was withdrawn in 9 December 2008 on the basis that it had been superseded by the HRA and chang</w:t>
      </w:r>
      <w:r w:rsidR="00276026">
        <w:rPr>
          <w:bCs/>
          <w:lang w:val="en-US"/>
        </w:rPr>
        <w:t>es in the Immigration Rules.  DP5/96</w:t>
      </w:r>
      <w:r>
        <w:rPr>
          <w:bCs/>
          <w:lang w:val="en-US"/>
        </w:rPr>
        <w:t xml:space="preserve"> had never been laid before Parliament or formed part of the Immigration Rules.  It was contende</w:t>
      </w:r>
      <w:r w:rsidR="00276026">
        <w:rPr>
          <w:bCs/>
          <w:lang w:val="en-US"/>
        </w:rPr>
        <w:t>d for Mr Munir, in the CA, that</w:t>
      </w:r>
      <w:r>
        <w:rPr>
          <w:bCs/>
          <w:lang w:val="en-US"/>
        </w:rPr>
        <w:t xml:space="preserve"> the withdrawal of DP5/96 amounted to a statement of a change in the immigration rules and that, as a result, it should have been</w:t>
      </w:r>
      <w:r w:rsidR="00276026">
        <w:rPr>
          <w:bCs/>
          <w:lang w:val="en-US"/>
        </w:rPr>
        <w:t xml:space="preserve"> laid before Parliament and its withdrawal </w:t>
      </w:r>
      <w:r>
        <w:rPr>
          <w:bCs/>
          <w:lang w:val="en-US"/>
        </w:rPr>
        <w:t>had no effect unless it was. See s3(2), Immigration Act 1971:</w:t>
      </w:r>
    </w:p>
    <w:p w:rsidR="00C904E9" w:rsidRDefault="00C904E9" w:rsidP="00C904E9">
      <w:pPr>
        <w:pStyle w:val="ListParagraph"/>
        <w:ind w:left="360"/>
        <w:jc w:val="both"/>
        <w:rPr>
          <w:bCs/>
          <w:lang w:val="en-US"/>
        </w:rPr>
      </w:pPr>
    </w:p>
    <w:p w:rsidR="00C904E9" w:rsidRDefault="00C904E9" w:rsidP="00276026">
      <w:pPr>
        <w:pStyle w:val="ListParagraph"/>
        <w:ind w:left="1440" w:right="567"/>
        <w:jc w:val="both"/>
        <w:rPr>
          <w:bCs/>
          <w:lang w:val="en-US"/>
        </w:rPr>
      </w:pPr>
      <w:r w:rsidRPr="00C904E9">
        <w:rPr>
          <w:bCs/>
          <w:lang w:val="en-US"/>
        </w:rPr>
        <w:t xml:space="preserve"> “The Secretary of State shall from time to time (and as soon as</w:t>
      </w:r>
      <w:r w:rsidR="00276026">
        <w:rPr>
          <w:bCs/>
          <w:lang w:val="en-US"/>
        </w:rPr>
        <w:t xml:space="preserve"> </w:t>
      </w:r>
      <w:r w:rsidRPr="00C904E9">
        <w:rPr>
          <w:bCs/>
          <w:lang w:val="en-US"/>
        </w:rPr>
        <w:t>may be) lay before Parliament statements of the rules, or of any</w:t>
      </w:r>
      <w:r w:rsidR="00276026">
        <w:rPr>
          <w:bCs/>
          <w:lang w:val="en-US"/>
        </w:rPr>
        <w:t xml:space="preserve"> </w:t>
      </w:r>
      <w:r w:rsidRPr="00C904E9">
        <w:rPr>
          <w:bCs/>
          <w:lang w:val="en-US"/>
        </w:rPr>
        <w:t>changes in the rules, laid down by him as to the practice to be</w:t>
      </w:r>
      <w:r w:rsidR="00276026">
        <w:rPr>
          <w:bCs/>
          <w:lang w:val="en-US"/>
        </w:rPr>
        <w:t xml:space="preserve"> </w:t>
      </w:r>
      <w:r w:rsidRPr="00C904E9">
        <w:rPr>
          <w:bCs/>
          <w:lang w:val="en-US"/>
        </w:rPr>
        <w:t>followed in the administration of this Act for regulating the entry</w:t>
      </w:r>
      <w:r w:rsidR="00276026">
        <w:rPr>
          <w:bCs/>
          <w:lang w:val="en-US"/>
        </w:rPr>
        <w:t xml:space="preserve"> </w:t>
      </w:r>
      <w:r w:rsidRPr="00C904E9">
        <w:rPr>
          <w:bCs/>
          <w:lang w:val="en-US"/>
        </w:rPr>
        <w:t>into and stay in the United Kingdom of persons required by this</w:t>
      </w:r>
      <w:r w:rsidR="00276026">
        <w:rPr>
          <w:bCs/>
          <w:lang w:val="en-US"/>
        </w:rPr>
        <w:t xml:space="preserve"> </w:t>
      </w:r>
      <w:r w:rsidRPr="00C904E9">
        <w:rPr>
          <w:bCs/>
          <w:lang w:val="en-US"/>
        </w:rPr>
        <w:t>Act to have leave to enter....”</w:t>
      </w:r>
    </w:p>
    <w:p w:rsidR="00C904E9" w:rsidRDefault="00C904E9" w:rsidP="00C904E9">
      <w:pPr>
        <w:pStyle w:val="ListParagraph"/>
        <w:ind w:left="1440"/>
        <w:jc w:val="both"/>
        <w:rPr>
          <w:bCs/>
          <w:lang w:val="en-US"/>
        </w:rPr>
      </w:pPr>
    </w:p>
    <w:p w:rsidR="008D1A5A" w:rsidRDefault="00C904E9" w:rsidP="008D1A5A">
      <w:pPr>
        <w:pStyle w:val="ListParagraph"/>
        <w:numPr>
          <w:ilvl w:val="0"/>
          <w:numId w:val="1"/>
        </w:numPr>
        <w:jc w:val="both"/>
        <w:rPr>
          <w:bCs/>
          <w:lang w:val="en-US"/>
        </w:rPr>
      </w:pPr>
      <w:r w:rsidRPr="00C904E9">
        <w:rPr>
          <w:bCs/>
          <w:lang w:val="en-US"/>
        </w:rPr>
        <w:t xml:space="preserve">The </w:t>
      </w:r>
      <w:r w:rsidR="00B55265">
        <w:rPr>
          <w:bCs/>
          <w:lang w:val="en-US"/>
        </w:rPr>
        <w:t>Government argued that</w:t>
      </w:r>
      <w:r w:rsidRPr="00C904E9">
        <w:rPr>
          <w:bCs/>
          <w:lang w:val="en-US"/>
        </w:rPr>
        <w:t xml:space="preserve"> everything done by the Secretary of State for the purpose of regulating the entry into and stay in the United Kingdom of persons who re</w:t>
      </w:r>
      <w:r w:rsidR="00EA18FC">
        <w:rPr>
          <w:bCs/>
          <w:lang w:val="en-US"/>
        </w:rPr>
        <w:t>quire</w:t>
      </w:r>
      <w:r w:rsidR="00DE345E">
        <w:rPr>
          <w:bCs/>
          <w:lang w:val="en-US"/>
        </w:rPr>
        <w:t>d</w:t>
      </w:r>
      <w:r w:rsidR="00EA18FC">
        <w:rPr>
          <w:bCs/>
          <w:lang w:val="en-US"/>
        </w:rPr>
        <w:t xml:space="preserve"> leave to enter or remain wa</w:t>
      </w:r>
      <w:r w:rsidRPr="00C904E9">
        <w:rPr>
          <w:bCs/>
          <w:lang w:val="en-US"/>
        </w:rPr>
        <w:t xml:space="preserve">s done in exercise of the prerogative power. </w:t>
      </w:r>
      <w:r w:rsidR="00EA18FC">
        <w:rPr>
          <w:bCs/>
          <w:lang w:val="en-US"/>
        </w:rPr>
        <w:t xml:space="preserve">   The SoS was </w:t>
      </w:r>
      <w:r w:rsidRPr="00C904E9">
        <w:rPr>
          <w:bCs/>
          <w:lang w:val="en-US"/>
        </w:rPr>
        <w:t xml:space="preserve">under no legal </w:t>
      </w:r>
      <w:r w:rsidR="00B55265">
        <w:rPr>
          <w:bCs/>
          <w:lang w:val="en-US"/>
        </w:rPr>
        <w:t xml:space="preserve">(as opposed to political) </w:t>
      </w:r>
      <w:r w:rsidR="00276026" w:rsidRPr="00C904E9">
        <w:rPr>
          <w:bCs/>
          <w:lang w:val="en-US"/>
        </w:rPr>
        <w:t xml:space="preserve">obligation </w:t>
      </w:r>
      <w:r w:rsidRPr="00C904E9">
        <w:rPr>
          <w:bCs/>
          <w:lang w:val="en-US"/>
        </w:rPr>
        <w:t xml:space="preserve">to lay any rules </w:t>
      </w:r>
      <w:r w:rsidR="00EA18FC">
        <w:rPr>
          <w:bCs/>
          <w:lang w:val="en-US"/>
        </w:rPr>
        <w:t>before Parliament.  “</w:t>
      </w:r>
      <w:r w:rsidR="008D1A5A">
        <w:rPr>
          <w:bCs/>
          <w:lang w:val="en-US"/>
        </w:rPr>
        <w:t>[Mr Swift</w:t>
      </w:r>
      <w:r w:rsidR="00276026">
        <w:rPr>
          <w:bCs/>
          <w:lang w:val="en-US"/>
        </w:rPr>
        <w:t xml:space="preserve"> QC</w:t>
      </w:r>
      <w:r w:rsidR="008D1A5A">
        <w:rPr>
          <w:bCs/>
          <w:lang w:val="en-US"/>
        </w:rPr>
        <w:t>]</w:t>
      </w:r>
      <w:r w:rsidRPr="00C904E9">
        <w:rPr>
          <w:bCs/>
          <w:lang w:val="en-US"/>
        </w:rPr>
        <w:t xml:space="preserve"> therefore submits that (i) the making and laying of immigration rules before Parliament is an exercise by the Secretary of State of the prerogative power and (ii) the publication of a policy which identifies the circumstances in which there may be a relaxation of legislation or the rules which regulate entry into and stay in the United Kingdom is also an exercise of the prerogative power and not a statement</w:t>
      </w:r>
      <w:r>
        <w:rPr>
          <w:bCs/>
          <w:lang w:val="en-US"/>
        </w:rPr>
        <w:t xml:space="preserve"> </w:t>
      </w:r>
      <w:r w:rsidRPr="00C904E9">
        <w:rPr>
          <w:bCs/>
          <w:lang w:val="en-US"/>
        </w:rPr>
        <w:t>within the meaning of section 3(2).</w:t>
      </w:r>
      <w:r w:rsidR="008D1A5A">
        <w:rPr>
          <w:bCs/>
          <w:lang w:val="en-US"/>
        </w:rPr>
        <w:t>”</w:t>
      </w:r>
    </w:p>
    <w:p w:rsidR="008D1A5A" w:rsidRDefault="008D1A5A" w:rsidP="008D1A5A">
      <w:pPr>
        <w:pStyle w:val="ListParagraph"/>
        <w:ind w:left="360"/>
        <w:jc w:val="both"/>
        <w:rPr>
          <w:bCs/>
          <w:lang w:val="en-US"/>
        </w:rPr>
      </w:pPr>
    </w:p>
    <w:p w:rsidR="008D1A5A" w:rsidRDefault="00C904E9" w:rsidP="008D1A5A">
      <w:pPr>
        <w:pStyle w:val="ListParagraph"/>
        <w:numPr>
          <w:ilvl w:val="0"/>
          <w:numId w:val="1"/>
        </w:numPr>
        <w:jc w:val="both"/>
        <w:rPr>
          <w:bCs/>
          <w:lang w:val="en-US"/>
        </w:rPr>
      </w:pPr>
      <w:r w:rsidRPr="008D1A5A">
        <w:rPr>
          <w:bCs/>
          <w:lang w:val="en-US"/>
        </w:rPr>
        <w:t>This ar</w:t>
      </w:r>
      <w:r w:rsidR="00B55265" w:rsidRPr="008D1A5A">
        <w:rPr>
          <w:bCs/>
          <w:lang w:val="en-US"/>
        </w:rPr>
        <w:t xml:space="preserve">gument was rejected by Lord Dyson, with whom the other members of the </w:t>
      </w:r>
      <w:r w:rsidR="00DE345E">
        <w:rPr>
          <w:bCs/>
          <w:lang w:val="en-US"/>
        </w:rPr>
        <w:t xml:space="preserve">Supreme </w:t>
      </w:r>
      <w:r w:rsidR="00B55265" w:rsidRPr="008D1A5A">
        <w:rPr>
          <w:bCs/>
          <w:lang w:val="en-US"/>
        </w:rPr>
        <w:t xml:space="preserve">Court agreed.  He analysed the </w:t>
      </w:r>
      <w:r w:rsidR="00EA18FC">
        <w:rPr>
          <w:bCs/>
          <w:lang w:val="en-US"/>
        </w:rPr>
        <w:t xml:space="preserve">history of the </w:t>
      </w:r>
      <w:r w:rsidR="00B55265" w:rsidRPr="008D1A5A">
        <w:rPr>
          <w:bCs/>
          <w:lang w:val="en-US"/>
        </w:rPr>
        <w:t xml:space="preserve">development of the statutory control of the entry of </w:t>
      </w:r>
      <w:r w:rsidR="00276026">
        <w:rPr>
          <w:bCs/>
          <w:lang w:val="en-US"/>
        </w:rPr>
        <w:t>‘</w:t>
      </w:r>
      <w:r w:rsidR="00B55265" w:rsidRPr="008D1A5A">
        <w:rPr>
          <w:bCs/>
          <w:lang w:val="en-US"/>
        </w:rPr>
        <w:t>aliens</w:t>
      </w:r>
      <w:r w:rsidR="00276026">
        <w:rPr>
          <w:bCs/>
          <w:lang w:val="en-US"/>
        </w:rPr>
        <w:t>’</w:t>
      </w:r>
      <w:r w:rsidR="00B55265" w:rsidRPr="008D1A5A">
        <w:rPr>
          <w:bCs/>
          <w:lang w:val="en-US"/>
        </w:rPr>
        <w:t xml:space="preserve">.  He noted that the Crown’s prerogative powers </w:t>
      </w:r>
      <w:r w:rsidR="00EA18FC">
        <w:rPr>
          <w:bCs/>
          <w:lang w:val="en-US"/>
        </w:rPr>
        <w:t xml:space="preserve">had always </w:t>
      </w:r>
      <w:r w:rsidR="00B55265" w:rsidRPr="008D1A5A">
        <w:rPr>
          <w:bCs/>
          <w:lang w:val="en-US"/>
        </w:rPr>
        <w:t xml:space="preserve">related only to the control of aliens – not </w:t>
      </w:r>
      <w:r w:rsidR="00EA18FC">
        <w:rPr>
          <w:bCs/>
          <w:lang w:val="en-US"/>
        </w:rPr>
        <w:t xml:space="preserve">British or </w:t>
      </w:r>
      <w:r w:rsidR="00B55265" w:rsidRPr="008D1A5A">
        <w:rPr>
          <w:bCs/>
          <w:lang w:val="en-US"/>
        </w:rPr>
        <w:t>Commonwealth citizens (although the</w:t>
      </w:r>
      <w:r w:rsidR="00EA18FC">
        <w:rPr>
          <w:bCs/>
          <w:lang w:val="en-US"/>
        </w:rPr>
        <w:t xml:space="preserve"> latter had</w:t>
      </w:r>
      <w:r w:rsidR="008D1A5A">
        <w:rPr>
          <w:bCs/>
          <w:lang w:val="en-US"/>
        </w:rPr>
        <w:t xml:space="preserve"> </w:t>
      </w:r>
      <w:r w:rsidR="00B55265" w:rsidRPr="008D1A5A">
        <w:rPr>
          <w:bCs/>
          <w:lang w:val="en-US"/>
        </w:rPr>
        <w:t>lost the right of abode in 1962 with the Commonwealth Immigrants Act 1962).    Fur</w:t>
      </w:r>
      <w:r w:rsidR="00276026">
        <w:rPr>
          <w:bCs/>
          <w:lang w:val="en-US"/>
        </w:rPr>
        <w:t xml:space="preserve">ther, the intention of the </w:t>
      </w:r>
      <w:r w:rsidR="00B55265" w:rsidRPr="008D1A5A">
        <w:rPr>
          <w:bCs/>
          <w:lang w:val="en-US"/>
        </w:rPr>
        <w:t xml:space="preserve">Immigration Act </w:t>
      </w:r>
      <w:r w:rsidR="00276026">
        <w:rPr>
          <w:bCs/>
          <w:lang w:val="en-US"/>
        </w:rPr>
        <w:t xml:space="preserve">1971 </w:t>
      </w:r>
      <w:r w:rsidR="00B55265" w:rsidRPr="008D1A5A">
        <w:rPr>
          <w:bCs/>
          <w:lang w:val="en-US"/>
        </w:rPr>
        <w:t>was that th</w:t>
      </w:r>
      <w:r w:rsidR="00EA18FC">
        <w:rPr>
          <w:bCs/>
          <w:lang w:val="en-US"/>
        </w:rPr>
        <w:t>os</w:t>
      </w:r>
      <w:r w:rsidR="00B55265" w:rsidRPr="008D1A5A">
        <w:rPr>
          <w:bCs/>
          <w:lang w:val="en-US"/>
        </w:rPr>
        <w:t>e prerogative powers (in respect of aliens) should</w:t>
      </w:r>
      <w:r w:rsidR="008D1A5A">
        <w:rPr>
          <w:bCs/>
          <w:lang w:val="en-US"/>
        </w:rPr>
        <w:t>, thereafter,</w:t>
      </w:r>
      <w:r w:rsidR="00B55265" w:rsidRPr="008D1A5A">
        <w:rPr>
          <w:bCs/>
          <w:lang w:val="en-US"/>
        </w:rPr>
        <w:t xml:space="preserve"> be exercised pursuant to the Act.  </w:t>
      </w:r>
      <w:r w:rsidR="00B55265" w:rsidRPr="008D1A5A">
        <w:rPr>
          <w:bCs/>
          <w:lang w:val="en-US"/>
        </w:rPr>
        <w:lastRenderedPageBreak/>
        <w:t>The ‘saving’ provision for the use of the prerogative contained in s33(5)</w:t>
      </w:r>
      <w:r w:rsidR="00276026">
        <w:rPr>
          <w:bCs/>
          <w:lang w:val="en-US"/>
        </w:rPr>
        <w:t xml:space="preserve"> IA</w:t>
      </w:r>
      <w:r w:rsidR="00B55265" w:rsidRPr="008D1A5A">
        <w:rPr>
          <w:bCs/>
          <w:lang w:val="en-US"/>
        </w:rPr>
        <w:t xml:space="preserve"> was intended only to apply exceptionally, to enemy aliens.   Thus, Lord Dyson concluded</w:t>
      </w:r>
      <w:r w:rsidR="008D1A5A" w:rsidRPr="008D1A5A">
        <w:rPr>
          <w:bCs/>
          <w:lang w:val="en-US"/>
        </w:rPr>
        <w:t>:  “In particular, the power to make rules and to grant and vary leave to enter and remain is vested in the Secretary of State by the Act. The exercise of that power is an exercise of statutory power and not the prerogative</w:t>
      </w:r>
      <w:r w:rsidR="008D1A5A">
        <w:rPr>
          <w:bCs/>
          <w:lang w:val="en-US"/>
        </w:rPr>
        <w:t>” [para 33]</w:t>
      </w:r>
      <w:r w:rsidR="008D1A5A" w:rsidRPr="008D1A5A">
        <w:rPr>
          <w:bCs/>
          <w:lang w:val="en-US"/>
        </w:rPr>
        <w:t xml:space="preserve">. </w:t>
      </w:r>
      <w:r w:rsidR="008D1A5A">
        <w:rPr>
          <w:bCs/>
          <w:lang w:val="en-US"/>
        </w:rPr>
        <w:t xml:space="preserve">It followed that the </w:t>
      </w:r>
      <w:r w:rsidR="00B55265" w:rsidRPr="008D1A5A">
        <w:rPr>
          <w:bCs/>
          <w:lang w:val="en-US"/>
        </w:rPr>
        <w:t xml:space="preserve">power </w:t>
      </w:r>
      <w:r w:rsidR="008D1A5A">
        <w:rPr>
          <w:bCs/>
          <w:lang w:val="en-US"/>
        </w:rPr>
        <w:t xml:space="preserve">had </w:t>
      </w:r>
      <w:r w:rsidR="00B55265" w:rsidRPr="008D1A5A">
        <w:rPr>
          <w:bCs/>
          <w:lang w:val="en-US"/>
        </w:rPr>
        <w:t>to be exercised subject to the control of Parliament (</w:t>
      </w:r>
      <w:r w:rsidR="00276026">
        <w:rPr>
          <w:bCs/>
          <w:lang w:val="en-US"/>
        </w:rPr>
        <w:t xml:space="preserve">i.e., </w:t>
      </w:r>
      <w:r w:rsidR="00B55265" w:rsidRPr="008D1A5A">
        <w:rPr>
          <w:bCs/>
          <w:lang w:val="en-US"/>
        </w:rPr>
        <w:t>via the negative resolution procedure</w:t>
      </w:r>
      <w:r w:rsidR="00EA18FC">
        <w:rPr>
          <w:bCs/>
          <w:lang w:val="en-US"/>
        </w:rPr>
        <w:t xml:space="preserve"> specified by the IA</w:t>
      </w:r>
      <w:r w:rsidR="00B55265" w:rsidRPr="008D1A5A">
        <w:rPr>
          <w:bCs/>
          <w:lang w:val="en-US"/>
        </w:rPr>
        <w:t>).</w:t>
      </w:r>
    </w:p>
    <w:p w:rsidR="008D1A5A" w:rsidRDefault="008D1A5A" w:rsidP="008D1A5A">
      <w:pPr>
        <w:pStyle w:val="ListParagraph"/>
        <w:ind w:left="360"/>
        <w:jc w:val="both"/>
        <w:rPr>
          <w:bCs/>
          <w:lang w:val="en-US"/>
        </w:rPr>
      </w:pPr>
    </w:p>
    <w:p w:rsidR="00B55265" w:rsidRDefault="008D1A5A" w:rsidP="008D1A5A">
      <w:pPr>
        <w:pStyle w:val="ListParagraph"/>
        <w:numPr>
          <w:ilvl w:val="0"/>
          <w:numId w:val="1"/>
        </w:numPr>
        <w:jc w:val="both"/>
        <w:rPr>
          <w:bCs/>
          <w:lang w:val="en-US"/>
        </w:rPr>
      </w:pPr>
      <w:r w:rsidRPr="008D1A5A">
        <w:rPr>
          <w:bCs/>
          <w:lang w:val="en-US"/>
        </w:rPr>
        <w:t>All that said, Mr Munir failed because DP5/96 concerned a concession, relating to when leave might be granted outside the rules.  Lord Dyson held that this discretion, too, was exercised by virtue of the IA.  But it did not fall within the terms of s3(2) (“the practice to be</w:t>
      </w:r>
      <w:r>
        <w:rPr>
          <w:bCs/>
          <w:lang w:val="en-US"/>
        </w:rPr>
        <w:t xml:space="preserve"> </w:t>
      </w:r>
      <w:r w:rsidRPr="008D1A5A">
        <w:rPr>
          <w:bCs/>
          <w:lang w:val="en-US"/>
        </w:rPr>
        <w:t>followed</w:t>
      </w:r>
      <w:r>
        <w:rPr>
          <w:bCs/>
          <w:lang w:val="en-US"/>
        </w:rPr>
        <w:t xml:space="preserve">”) because it did not lay down a fixed rule, but merely that the rules “may” be relaxed.  </w:t>
      </w:r>
      <w:r w:rsidR="00AC010B">
        <w:rPr>
          <w:bCs/>
          <w:lang w:val="en-US"/>
        </w:rPr>
        <w:t>“It was not a statement as to the circumstances in which overstayers would be allowed to stay.  It did not have to be laid before Parliament.” [para 45].</w:t>
      </w:r>
    </w:p>
    <w:p w:rsidR="00EB741F" w:rsidRDefault="00EB741F" w:rsidP="00EB741F">
      <w:pPr>
        <w:pStyle w:val="ListParagraph"/>
        <w:ind w:left="360"/>
        <w:jc w:val="both"/>
        <w:rPr>
          <w:bCs/>
          <w:lang w:val="en-US"/>
        </w:rPr>
      </w:pPr>
    </w:p>
    <w:p w:rsidR="00EB741F" w:rsidRDefault="00EB741F" w:rsidP="00EB741F">
      <w:pPr>
        <w:pStyle w:val="ListParagraph"/>
        <w:numPr>
          <w:ilvl w:val="0"/>
          <w:numId w:val="1"/>
        </w:numPr>
        <w:jc w:val="both"/>
        <w:rPr>
          <w:bCs/>
          <w:lang w:val="en-US"/>
        </w:rPr>
      </w:pPr>
      <w:r w:rsidRPr="00C904E9">
        <w:rPr>
          <w:bCs/>
          <w:i/>
          <w:u w:val="single"/>
          <w:lang w:val="en-US"/>
        </w:rPr>
        <w:t>R (Alvi) v Secretary of State for the Home Department</w:t>
      </w:r>
      <w:r>
        <w:rPr>
          <w:bCs/>
          <w:lang w:val="en-US"/>
        </w:rPr>
        <w:t xml:space="preserve"> [2012] UKSC 33 considered related issues, in the context of the long line of cases which started with </w:t>
      </w:r>
      <w:r w:rsidR="00EA18FC" w:rsidRPr="00EA18FC">
        <w:rPr>
          <w:bCs/>
          <w:i/>
          <w:u w:val="single"/>
          <w:lang w:val="en-US"/>
        </w:rPr>
        <w:t>Pankina v Secretary of State for the Home Department</w:t>
      </w:r>
      <w:r w:rsidR="0081435A">
        <w:rPr>
          <w:bCs/>
          <w:lang w:val="en-US"/>
        </w:rPr>
        <w:t xml:space="preserve"> [2010] EWCA Civ 719.  This </w:t>
      </w:r>
      <w:r w:rsidR="00EA18FC">
        <w:rPr>
          <w:bCs/>
          <w:lang w:val="en-US"/>
        </w:rPr>
        <w:t>conce</w:t>
      </w:r>
      <w:r w:rsidR="0081435A">
        <w:rPr>
          <w:bCs/>
          <w:lang w:val="en-US"/>
        </w:rPr>
        <w:t>rned</w:t>
      </w:r>
      <w:r w:rsidR="00EA18FC">
        <w:rPr>
          <w:bCs/>
          <w:lang w:val="en-US"/>
        </w:rPr>
        <w:t xml:space="preserve"> the ‘points-based’ system for entry of non EEA nationals who wish to study or work in the UK.  We might note, at the outset, the sentiments at paragraph 11 of Lord Hope’</w:t>
      </w:r>
      <w:r w:rsidR="001D1AFC">
        <w:rPr>
          <w:bCs/>
          <w:lang w:val="en-US"/>
        </w:rPr>
        <w:t>s judg</w:t>
      </w:r>
      <w:r w:rsidR="00EA18FC">
        <w:rPr>
          <w:bCs/>
          <w:lang w:val="en-US"/>
        </w:rPr>
        <w:t>ment:</w:t>
      </w:r>
    </w:p>
    <w:p w:rsidR="00EA18FC" w:rsidRDefault="00EA18FC" w:rsidP="00EA18FC">
      <w:pPr>
        <w:pStyle w:val="ListParagraph"/>
        <w:ind w:left="360"/>
        <w:jc w:val="both"/>
        <w:rPr>
          <w:bCs/>
          <w:lang w:val="en-US"/>
        </w:rPr>
      </w:pPr>
    </w:p>
    <w:p w:rsidR="00EA18FC" w:rsidRDefault="00EA18FC" w:rsidP="00EA18FC">
      <w:pPr>
        <w:pStyle w:val="ListParagraph"/>
        <w:ind w:right="567"/>
        <w:jc w:val="both"/>
        <w:rPr>
          <w:bCs/>
          <w:lang w:val="en-US"/>
        </w:rPr>
      </w:pPr>
      <w:r>
        <w:rPr>
          <w:bCs/>
          <w:lang w:val="en-US"/>
        </w:rPr>
        <w:t>“</w:t>
      </w:r>
      <w:r w:rsidRPr="00EA18FC">
        <w:rPr>
          <w:bCs/>
          <w:lang w:val="en-US"/>
        </w:rPr>
        <w:t xml:space="preserve">In </w:t>
      </w:r>
      <w:r w:rsidRPr="00EA18FC">
        <w:rPr>
          <w:bCs/>
          <w:i/>
          <w:lang w:val="en-US"/>
        </w:rPr>
        <w:t>DP (United States of America) v Secretary of State for the Home Department</w:t>
      </w:r>
      <w:r w:rsidRPr="00EA18FC">
        <w:rPr>
          <w:bCs/>
          <w:lang w:val="en-US"/>
        </w:rPr>
        <w:t xml:space="preserve"> [2012] EWCA Civ 365, para 14 Longmore LJ lamented, with good reason, the absolute whirlwind which litigants and judges now feel themselves in due to the speed with which the law, practice and policy change in this field of law.</w:t>
      </w:r>
      <w:r>
        <w:rPr>
          <w:bCs/>
          <w:lang w:val="en-US"/>
        </w:rPr>
        <w:t>”</w:t>
      </w:r>
    </w:p>
    <w:p w:rsidR="001D1AFC" w:rsidRPr="00EB741F" w:rsidRDefault="001D1AFC" w:rsidP="00EA18FC">
      <w:pPr>
        <w:pStyle w:val="ListParagraph"/>
        <w:ind w:right="567"/>
        <w:jc w:val="both"/>
        <w:rPr>
          <w:bCs/>
          <w:lang w:val="en-US"/>
        </w:rPr>
      </w:pPr>
    </w:p>
    <w:p w:rsidR="00EB741F" w:rsidRDefault="001D1AFC" w:rsidP="008D1A5A">
      <w:pPr>
        <w:pStyle w:val="ListParagraph"/>
        <w:numPr>
          <w:ilvl w:val="0"/>
          <w:numId w:val="1"/>
        </w:numPr>
        <w:jc w:val="both"/>
        <w:rPr>
          <w:bCs/>
          <w:lang w:val="en-US"/>
        </w:rPr>
      </w:pPr>
      <w:r>
        <w:rPr>
          <w:bCs/>
          <w:lang w:val="en-US"/>
        </w:rPr>
        <w:t>Mr Alvi</w:t>
      </w:r>
      <w:r w:rsidR="00ED49E8">
        <w:rPr>
          <w:bCs/>
          <w:lang w:val="en-US"/>
        </w:rPr>
        <w:t xml:space="preserve"> had been given leave to remain and work prior to the entry of the points-based system.  When he needed to renew his leave, he applied under the new scheme, seeking leave as a “Tier 2 (General) Migrant”.  But his application</w:t>
      </w:r>
      <w:r>
        <w:rPr>
          <w:bCs/>
          <w:lang w:val="en-US"/>
        </w:rPr>
        <w:t xml:space="preserve"> </w:t>
      </w:r>
      <w:r w:rsidR="00ED49E8">
        <w:rPr>
          <w:bCs/>
          <w:lang w:val="en-US"/>
        </w:rPr>
        <w:t xml:space="preserve">was rejected in February 2010 because his job as an Assistant Physiotherapist did not lead to the award of sufficient points to enable him to qualify for leave.  It was not above NVQ level 3.  The </w:t>
      </w:r>
      <w:r w:rsidR="004F7F35">
        <w:rPr>
          <w:bCs/>
          <w:lang w:val="en-US"/>
        </w:rPr>
        <w:t>challenge</w:t>
      </w:r>
      <w:r w:rsidR="00ED49E8">
        <w:rPr>
          <w:bCs/>
          <w:lang w:val="en-US"/>
        </w:rPr>
        <w:t xml:space="preserve"> concerned the importance of the fact that the list of skilled occupations, for the purpose of the award of points, had not been laid before Parliament.  In other words, did s3(2) IA bite?  </w:t>
      </w:r>
      <w:r w:rsidR="004F7F35">
        <w:rPr>
          <w:bCs/>
          <w:lang w:val="en-US"/>
        </w:rPr>
        <w:t>The</w:t>
      </w:r>
      <w:r w:rsidR="004F7F35" w:rsidRPr="004F7F35">
        <w:rPr>
          <w:bCs/>
          <w:lang w:val="en-US"/>
        </w:rPr>
        <w:t xml:space="preserve"> </w:t>
      </w:r>
      <w:r w:rsidR="004F7F35">
        <w:rPr>
          <w:bCs/>
          <w:lang w:val="en-US"/>
        </w:rPr>
        <w:t>Court of Appeal had held that it did.   The Supreme Court was therefore concerned with the issue of t</w:t>
      </w:r>
      <w:r w:rsidR="00ED49E8">
        <w:rPr>
          <w:bCs/>
          <w:lang w:val="en-US"/>
        </w:rPr>
        <w:t xml:space="preserve">o what extent it </w:t>
      </w:r>
      <w:r w:rsidR="004F7F35">
        <w:rPr>
          <w:bCs/>
          <w:lang w:val="en-US"/>
        </w:rPr>
        <w:t xml:space="preserve">was </w:t>
      </w:r>
      <w:r w:rsidR="00ED49E8">
        <w:rPr>
          <w:bCs/>
          <w:lang w:val="en-US"/>
        </w:rPr>
        <w:t>permissible for the SoS to refer</w:t>
      </w:r>
      <w:r w:rsidR="00276026">
        <w:rPr>
          <w:bCs/>
          <w:lang w:val="en-US"/>
        </w:rPr>
        <w:t>,</w:t>
      </w:r>
      <w:r w:rsidR="00ED49E8">
        <w:rPr>
          <w:bCs/>
          <w:lang w:val="en-US"/>
        </w:rPr>
        <w:t xml:space="preserve"> in the Rules</w:t>
      </w:r>
      <w:r w:rsidR="00276026">
        <w:rPr>
          <w:bCs/>
          <w:lang w:val="en-US"/>
        </w:rPr>
        <w:t>, to ‘extrinsic’ materials</w:t>
      </w:r>
      <w:r w:rsidR="004F7F35">
        <w:rPr>
          <w:bCs/>
          <w:lang w:val="en-US"/>
        </w:rPr>
        <w:t xml:space="preserve">; and then to change them.   </w:t>
      </w:r>
    </w:p>
    <w:p w:rsidR="00ED49E8" w:rsidRDefault="00ED49E8" w:rsidP="00ED49E8">
      <w:pPr>
        <w:pStyle w:val="ListParagraph"/>
        <w:ind w:left="360"/>
        <w:jc w:val="both"/>
        <w:rPr>
          <w:bCs/>
          <w:lang w:val="en-US"/>
        </w:rPr>
      </w:pPr>
    </w:p>
    <w:p w:rsidR="00ED49E8" w:rsidRPr="00ED49E8" w:rsidRDefault="00ED49E8" w:rsidP="00F200B8">
      <w:pPr>
        <w:pStyle w:val="ListParagraph"/>
        <w:ind w:right="510"/>
        <w:jc w:val="both"/>
        <w:rPr>
          <w:bCs/>
          <w:lang w:val="en-US"/>
        </w:rPr>
      </w:pPr>
      <w:r>
        <w:rPr>
          <w:bCs/>
          <w:lang w:val="en-US"/>
        </w:rPr>
        <w:t>“</w:t>
      </w:r>
      <w:r w:rsidRPr="00ED49E8">
        <w:rPr>
          <w:bCs/>
          <w:lang w:val="en-US"/>
        </w:rPr>
        <w:t>“</w:t>
      </w:r>
      <w:r>
        <w:rPr>
          <w:bCs/>
          <w:lang w:val="en-US"/>
        </w:rPr>
        <w:t xml:space="preserve">[The </w:t>
      </w:r>
      <w:r w:rsidR="00F200B8">
        <w:rPr>
          <w:bCs/>
          <w:lang w:val="en-US"/>
        </w:rPr>
        <w:t>Respondents</w:t>
      </w:r>
      <w:r>
        <w:rPr>
          <w:bCs/>
          <w:lang w:val="en-US"/>
        </w:rPr>
        <w:t xml:space="preserve">] </w:t>
      </w:r>
      <w:r w:rsidRPr="00ED49E8">
        <w:rPr>
          <w:bCs/>
          <w:lang w:val="en-US"/>
        </w:rPr>
        <w:t>accepted that it was open to the Secretary of State to refer in a rule to another document which was available when the rule, or a statement of changes in the rules, was laid before Parliament. But it would be so</w:t>
      </w:r>
      <w:r>
        <w:rPr>
          <w:bCs/>
          <w:lang w:val="en-US"/>
        </w:rPr>
        <w:t xml:space="preserve"> </w:t>
      </w:r>
      <w:r w:rsidRPr="00ED49E8">
        <w:rPr>
          <w:bCs/>
          <w:lang w:val="en-US"/>
        </w:rPr>
        <w:t>only if the content of that other document was fixed and thus not open to change at</w:t>
      </w:r>
      <w:r w:rsidR="00F200B8">
        <w:rPr>
          <w:bCs/>
          <w:lang w:val="en-US"/>
        </w:rPr>
        <w:t xml:space="preserve"> </w:t>
      </w:r>
      <w:r w:rsidRPr="00ED49E8">
        <w:rPr>
          <w:bCs/>
          <w:lang w:val="en-US"/>
        </w:rPr>
        <w:t xml:space="preserve">the Secretary of State’s discretion without further reference to Parliament. </w:t>
      </w:r>
      <w:r w:rsidR="00F200B8">
        <w:rPr>
          <w:bCs/>
          <w:lang w:val="en-US"/>
        </w:rPr>
        <w:t>…..</w:t>
      </w:r>
      <w:r w:rsidRPr="00ED49E8">
        <w:rPr>
          <w:bCs/>
          <w:lang w:val="en-US"/>
        </w:rPr>
        <w:t xml:space="preserve"> Put more precisely to fit the facts of this case, was it sufficient for the Secretary of State to state in paragraph 82(a)(i) that no points would be awarded</w:t>
      </w:r>
      <w:r>
        <w:rPr>
          <w:bCs/>
          <w:lang w:val="en-US"/>
        </w:rPr>
        <w:t xml:space="preserve"> </w:t>
      </w:r>
      <w:r w:rsidRPr="00ED49E8">
        <w:rPr>
          <w:bCs/>
          <w:lang w:val="en-US"/>
        </w:rPr>
        <w:t xml:space="preserve">for sponsorship unless that job for which the person was being </w:t>
      </w:r>
      <w:r w:rsidRPr="00ED49E8">
        <w:rPr>
          <w:bCs/>
          <w:lang w:val="en-US"/>
        </w:rPr>
        <w:lastRenderedPageBreak/>
        <w:t>sponsored appeared</w:t>
      </w:r>
      <w:r>
        <w:rPr>
          <w:bCs/>
          <w:lang w:val="en-US"/>
        </w:rPr>
        <w:t xml:space="preserve"> </w:t>
      </w:r>
      <w:r w:rsidRPr="00ED49E8">
        <w:rPr>
          <w:bCs/>
          <w:lang w:val="en-US"/>
        </w:rPr>
        <w:t>on UKBA’s list of skilled occupations if that list was not fixed but was open to</w:t>
      </w:r>
      <w:r>
        <w:rPr>
          <w:bCs/>
          <w:lang w:val="en-US"/>
        </w:rPr>
        <w:t xml:space="preserve"> </w:t>
      </w:r>
      <w:r w:rsidRPr="00ED49E8">
        <w:rPr>
          <w:bCs/>
          <w:lang w:val="en-US"/>
        </w:rPr>
        <w:t>change at the discretion of the Secretary of State?</w:t>
      </w:r>
      <w:r>
        <w:rPr>
          <w:bCs/>
          <w:lang w:val="en-US"/>
        </w:rPr>
        <w:t>”</w:t>
      </w:r>
    </w:p>
    <w:p w:rsidR="00ED49E8" w:rsidRDefault="00ED49E8" w:rsidP="00ED49E8">
      <w:pPr>
        <w:pStyle w:val="ListParagraph"/>
        <w:ind w:left="360"/>
        <w:jc w:val="both"/>
        <w:rPr>
          <w:bCs/>
          <w:lang w:val="en-US"/>
        </w:rPr>
      </w:pPr>
    </w:p>
    <w:p w:rsidR="00ED49E8" w:rsidRDefault="00F200B8" w:rsidP="008D1A5A">
      <w:pPr>
        <w:pStyle w:val="ListParagraph"/>
        <w:numPr>
          <w:ilvl w:val="0"/>
          <w:numId w:val="1"/>
        </w:numPr>
        <w:jc w:val="both"/>
        <w:rPr>
          <w:bCs/>
          <w:lang w:val="en-US"/>
        </w:rPr>
      </w:pPr>
      <w:r>
        <w:rPr>
          <w:bCs/>
          <w:lang w:val="en-US"/>
        </w:rPr>
        <w:t xml:space="preserve">Lord Hope echoed the conclusions of Lord Dyson in </w:t>
      </w:r>
      <w:r w:rsidRPr="00F200B8">
        <w:rPr>
          <w:bCs/>
          <w:i/>
          <w:u w:val="single"/>
          <w:lang w:val="en-US"/>
        </w:rPr>
        <w:t>Munir</w:t>
      </w:r>
      <w:r>
        <w:rPr>
          <w:bCs/>
          <w:lang w:val="en-US"/>
        </w:rPr>
        <w:t xml:space="preserve"> on the nature of the changes wrought by the IA 1971:</w:t>
      </w:r>
    </w:p>
    <w:p w:rsidR="00F200B8" w:rsidRDefault="00F200B8" w:rsidP="00F200B8">
      <w:pPr>
        <w:pStyle w:val="ListParagraph"/>
        <w:ind w:left="360"/>
        <w:jc w:val="both"/>
        <w:rPr>
          <w:bCs/>
          <w:lang w:val="en-US"/>
        </w:rPr>
      </w:pPr>
    </w:p>
    <w:p w:rsidR="00F200B8" w:rsidRDefault="00276026" w:rsidP="00F200B8">
      <w:pPr>
        <w:pStyle w:val="ListParagraph"/>
        <w:ind w:right="567"/>
        <w:jc w:val="both"/>
        <w:rPr>
          <w:bCs/>
          <w:lang w:val="en-US"/>
        </w:rPr>
      </w:pPr>
      <w:r>
        <w:rPr>
          <w:bCs/>
          <w:lang w:val="en-US"/>
        </w:rPr>
        <w:t>“</w:t>
      </w:r>
      <w:r w:rsidR="00F200B8" w:rsidRPr="00F200B8">
        <w:rPr>
          <w:bCs/>
          <w:lang w:val="en-US"/>
        </w:rPr>
        <w:t xml:space="preserve">31. In </w:t>
      </w:r>
      <w:r w:rsidR="00F200B8" w:rsidRPr="00F200B8">
        <w:rPr>
          <w:bCs/>
          <w:i/>
          <w:iCs/>
          <w:lang w:val="en-US"/>
        </w:rPr>
        <w:t xml:space="preserve">R v Secretary of State for the Home Department, Ex p Ounejma </w:t>
      </w:r>
      <w:r w:rsidR="00F200B8" w:rsidRPr="00F200B8">
        <w:rPr>
          <w:bCs/>
          <w:lang w:val="en-US"/>
        </w:rPr>
        <w:t>(1989)</w:t>
      </w:r>
      <w:r w:rsidR="00F200B8">
        <w:rPr>
          <w:bCs/>
          <w:lang w:val="en-US"/>
        </w:rPr>
        <w:t xml:space="preserve"> </w:t>
      </w:r>
      <w:r w:rsidR="00F200B8" w:rsidRPr="00F200B8">
        <w:rPr>
          <w:bCs/>
          <w:lang w:val="en-US"/>
        </w:rPr>
        <w:t>Imm A R 75, 80 per Glidewell LJ said that the residual prerogative powers remain,</w:t>
      </w:r>
      <w:r w:rsidR="00F200B8">
        <w:rPr>
          <w:bCs/>
          <w:lang w:val="en-US"/>
        </w:rPr>
        <w:t xml:space="preserve"> </w:t>
      </w:r>
      <w:r w:rsidR="00F200B8" w:rsidRPr="00F200B8">
        <w:rPr>
          <w:bCs/>
          <w:lang w:val="en-US"/>
        </w:rPr>
        <w:t xml:space="preserve">and in Macdonald, </w:t>
      </w:r>
      <w:r w:rsidR="00F200B8" w:rsidRPr="00F200B8">
        <w:rPr>
          <w:bCs/>
          <w:i/>
          <w:iCs/>
          <w:lang w:val="en-US"/>
        </w:rPr>
        <w:t xml:space="preserve">Immigration Law and Practice in the United Kingdom </w:t>
      </w:r>
      <w:r w:rsidR="00F200B8" w:rsidRPr="00F200B8">
        <w:rPr>
          <w:bCs/>
          <w:lang w:val="en-US"/>
        </w:rPr>
        <w:t>8th ed</w:t>
      </w:r>
      <w:r w:rsidR="00F200B8">
        <w:rPr>
          <w:bCs/>
          <w:lang w:val="en-US"/>
        </w:rPr>
        <w:t xml:space="preserve"> </w:t>
      </w:r>
      <w:r w:rsidR="00F200B8" w:rsidRPr="00F200B8">
        <w:rPr>
          <w:bCs/>
          <w:lang w:val="en-US"/>
        </w:rPr>
        <w:t xml:space="preserve">(2010), para 2.35 it is asserted that the </w:t>
      </w:r>
      <w:r w:rsidR="00F200B8">
        <w:rPr>
          <w:bCs/>
          <w:lang w:val="en-US"/>
        </w:rPr>
        <w:t xml:space="preserve"> p</w:t>
      </w:r>
      <w:r w:rsidR="00F200B8" w:rsidRPr="00F200B8">
        <w:rPr>
          <w:bCs/>
          <w:lang w:val="en-US"/>
        </w:rPr>
        <w:t>rerogative power is not impaired or</w:t>
      </w:r>
      <w:r w:rsidR="00F200B8">
        <w:rPr>
          <w:bCs/>
          <w:lang w:val="en-US"/>
        </w:rPr>
        <w:t xml:space="preserve"> </w:t>
      </w:r>
      <w:r w:rsidR="00F200B8" w:rsidRPr="00F200B8">
        <w:rPr>
          <w:bCs/>
          <w:lang w:val="en-US"/>
        </w:rPr>
        <w:t>superseded, merely put in abeyance. But these propositions understate the effect of</w:t>
      </w:r>
      <w:r w:rsidR="00F200B8">
        <w:rPr>
          <w:bCs/>
          <w:lang w:val="en-US"/>
        </w:rPr>
        <w:t xml:space="preserve"> </w:t>
      </w:r>
      <w:r w:rsidR="00F200B8" w:rsidRPr="00F200B8">
        <w:rPr>
          <w:bCs/>
          <w:lang w:val="en-US"/>
        </w:rPr>
        <w:t>the 1971 Act. It should be seen as a constitutional landmark which, for all practical</w:t>
      </w:r>
      <w:r w:rsidR="00F200B8">
        <w:rPr>
          <w:bCs/>
          <w:lang w:val="en-US"/>
        </w:rPr>
        <w:t xml:space="preserve"> </w:t>
      </w:r>
      <w:r w:rsidR="00F200B8" w:rsidRPr="00F200B8">
        <w:rPr>
          <w:bCs/>
          <w:lang w:val="en-US"/>
        </w:rPr>
        <w:t>purposes, gave statutory force to all the powers previously exercisable in the field</w:t>
      </w:r>
      <w:r w:rsidR="00F200B8">
        <w:rPr>
          <w:bCs/>
          <w:lang w:val="en-US"/>
        </w:rPr>
        <w:t xml:space="preserve"> </w:t>
      </w:r>
      <w:r w:rsidR="00F200B8" w:rsidRPr="00F200B8">
        <w:rPr>
          <w:bCs/>
          <w:lang w:val="en-US"/>
        </w:rPr>
        <w:t>of immigration control under the prerogative. It is still open to the Secretary of</w:t>
      </w:r>
      <w:r w:rsidR="00F200B8">
        <w:rPr>
          <w:bCs/>
          <w:lang w:val="en-US"/>
        </w:rPr>
        <w:t xml:space="preserve"> </w:t>
      </w:r>
      <w:r w:rsidR="00F200B8" w:rsidRPr="00F200B8">
        <w:rPr>
          <w:bCs/>
          <w:lang w:val="en-US"/>
        </w:rPr>
        <w:t>State in her discretion to grant leave to enter or remain to an alien whose</w:t>
      </w:r>
      <w:r w:rsidR="00F200B8">
        <w:rPr>
          <w:bCs/>
          <w:lang w:val="en-US"/>
        </w:rPr>
        <w:t xml:space="preserve"> </w:t>
      </w:r>
      <w:r w:rsidR="00F200B8" w:rsidRPr="00F200B8">
        <w:rPr>
          <w:bCs/>
          <w:lang w:val="en-US"/>
        </w:rPr>
        <w:t>application does not meet the requirements of the Immigration Rules. It is for her</w:t>
      </w:r>
      <w:r w:rsidR="00F200B8">
        <w:rPr>
          <w:bCs/>
          <w:lang w:val="en-US"/>
        </w:rPr>
        <w:t xml:space="preserve"> </w:t>
      </w:r>
      <w:r w:rsidR="00F200B8" w:rsidRPr="00F200B8">
        <w:rPr>
          <w:bCs/>
          <w:lang w:val="en-US"/>
        </w:rPr>
        <w:t>to determine the practice to be followed in the administration of the Act. But the</w:t>
      </w:r>
      <w:r w:rsidR="00F200B8">
        <w:rPr>
          <w:bCs/>
          <w:lang w:val="en-US"/>
        </w:rPr>
        <w:t xml:space="preserve"> </w:t>
      </w:r>
      <w:r w:rsidR="00F200B8" w:rsidRPr="00F200B8">
        <w:rPr>
          <w:bCs/>
          <w:lang w:val="en-US"/>
        </w:rPr>
        <w:t>statutory context in which those powers are being exercised must be respected. As</w:t>
      </w:r>
      <w:r w:rsidR="00F200B8">
        <w:rPr>
          <w:bCs/>
          <w:lang w:val="en-US"/>
        </w:rPr>
        <w:t xml:space="preserve"> </w:t>
      </w:r>
      <w:r w:rsidR="00F200B8" w:rsidRPr="00F200B8">
        <w:rPr>
          <w:bCs/>
          <w:lang w:val="en-US"/>
        </w:rPr>
        <w:t>their source is the 1971 Act itself, it would not be open to her to exercise them in a</w:t>
      </w:r>
      <w:r w:rsidR="00F200B8">
        <w:rPr>
          <w:bCs/>
          <w:lang w:val="en-US"/>
        </w:rPr>
        <w:t xml:space="preserve"> </w:t>
      </w:r>
      <w:r w:rsidR="00F200B8" w:rsidRPr="00F200B8">
        <w:rPr>
          <w:bCs/>
          <w:lang w:val="en-US"/>
        </w:rPr>
        <w:t>way that was not in accordance with the rules that she has laid before Parliament.</w:t>
      </w:r>
      <w:r>
        <w:rPr>
          <w:bCs/>
          <w:lang w:val="en-US"/>
        </w:rPr>
        <w:t>”</w:t>
      </w:r>
    </w:p>
    <w:p w:rsidR="00F200B8" w:rsidRDefault="00F200B8" w:rsidP="00F200B8">
      <w:pPr>
        <w:pStyle w:val="ListParagraph"/>
        <w:rPr>
          <w:bCs/>
          <w:lang w:val="en-US"/>
        </w:rPr>
      </w:pPr>
    </w:p>
    <w:p w:rsidR="00F200B8" w:rsidRPr="00F200B8" w:rsidRDefault="00F200B8" w:rsidP="00F200B8">
      <w:pPr>
        <w:pStyle w:val="ListParagraph"/>
        <w:numPr>
          <w:ilvl w:val="0"/>
          <w:numId w:val="1"/>
        </w:numPr>
        <w:autoSpaceDE w:val="0"/>
        <w:autoSpaceDN w:val="0"/>
        <w:adjustRightInd w:val="0"/>
        <w:spacing w:after="0" w:line="240" w:lineRule="auto"/>
        <w:rPr>
          <w:bCs/>
          <w:lang w:val="en-US"/>
        </w:rPr>
      </w:pPr>
      <w:r w:rsidRPr="00F200B8">
        <w:rPr>
          <w:bCs/>
          <w:lang w:val="en-US"/>
        </w:rPr>
        <w:t>This laid the ground for stressing the Importance of the Parliamentary scrutiny enabled by s3(2).  That being so:</w:t>
      </w:r>
    </w:p>
    <w:p w:rsidR="00F200B8" w:rsidRDefault="00F200B8" w:rsidP="00F200B8">
      <w:pPr>
        <w:autoSpaceDE w:val="0"/>
        <w:autoSpaceDN w:val="0"/>
        <w:adjustRightInd w:val="0"/>
        <w:spacing w:after="0" w:line="240" w:lineRule="auto"/>
        <w:rPr>
          <w:bCs/>
          <w:lang w:val="en-US"/>
        </w:rPr>
      </w:pPr>
    </w:p>
    <w:p w:rsidR="00F200B8" w:rsidRDefault="00F200B8" w:rsidP="00F200B8">
      <w:pPr>
        <w:pStyle w:val="ListParagraph"/>
        <w:ind w:right="567"/>
        <w:jc w:val="both"/>
        <w:rPr>
          <w:bCs/>
          <w:lang w:val="en-US"/>
        </w:rPr>
      </w:pPr>
      <w:r>
        <w:rPr>
          <w:bCs/>
          <w:lang w:val="en-US"/>
        </w:rPr>
        <w:t xml:space="preserve">“ </w:t>
      </w:r>
      <w:r w:rsidRPr="00F200B8">
        <w:rPr>
          <w:bCs/>
          <w:lang w:val="en-US"/>
        </w:rPr>
        <w:t>any requirement which, if not satisfied, will lead to an application for leave to enter or to remain being refused is a rule within the meaning of section 3(2). A provision which is of that character is a rule within the ordinary meaning of that word. So a fair reading of section 3(2) requires that it be laid before Parliament.” [para 57]</w:t>
      </w:r>
    </w:p>
    <w:p w:rsidR="00F200B8" w:rsidRDefault="00F200B8" w:rsidP="00F200B8">
      <w:pPr>
        <w:pStyle w:val="ListParagraph"/>
        <w:ind w:right="567"/>
        <w:jc w:val="both"/>
        <w:rPr>
          <w:bCs/>
          <w:lang w:val="en-US"/>
        </w:rPr>
      </w:pPr>
    </w:p>
    <w:p w:rsidR="00D93345" w:rsidRDefault="00F200B8" w:rsidP="002949D7">
      <w:pPr>
        <w:pStyle w:val="ListParagraph"/>
        <w:numPr>
          <w:ilvl w:val="0"/>
          <w:numId w:val="1"/>
        </w:numPr>
        <w:jc w:val="both"/>
        <w:rPr>
          <w:bCs/>
          <w:lang w:val="en-US"/>
        </w:rPr>
      </w:pPr>
      <w:r w:rsidRPr="00453C7C">
        <w:rPr>
          <w:bCs/>
          <w:lang w:val="en-US"/>
        </w:rPr>
        <w:t xml:space="preserve">This test replaces the test that the lower Courts have sought to formulate and apply since Pankina (in cases such as </w:t>
      </w:r>
      <w:r w:rsidRPr="00276026">
        <w:rPr>
          <w:bCs/>
          <w:i/>
          <w:u w:val="single"/>
          <w:lang w:val="en-US"/>
        </w:rPr>
        <w:t>R (English UK) v Secretary of State for the Home Department</w:t>
      </w:r>
      <w:r w:rsidRPr="002949D7">
        <w:rPr>
          <w:bCs/>
          <w:lang w:val="en-US"/>
        </w:rPr>
        <w:t xml:space="preserve"> </w:t>
      </w:r>
      <w:r w:rsidRPr="00453C7C">
        <w:rPr>
          <w:bCs/>
          <w:lang w:val="en-US"/>
        </w:rPr>
        <w:t xml:space="preserve">[2010] EWHC 1726 (Admin), </w:t>
      </w:r>
      <w:r w:rsidRPr="00276026">
        <w:rPr>
          <w:bCs/>
          <w:i/>
          <w:u w:val="single"/>
          <w:lang w:val="en-US"/>
        </w:rPr>
        <w:t>R (Joint Council for the Welfare of Immigrants) v Secretary of State for the Home Department</w:t>
      </w:r>
      <w:r w:rsidRPr="00453C7C">
        <w:rPr>
          <w:bCs/>
          <w:lang w:val="en-US"/>
        </w:rPr>
        <w:t xml:space="preserve"> [2010] EWHC 3524, </w:t>
      </w:r>
      <w:r w:rsidRPr="00276026">
        <w:rPr>
          <w:bCs/>
          <w:i/>
          <w:u w:val="single"/>
          <w:lang w:val="en-US"/>
        </w:rPr>
        <w:t>R (Ahmed) v Secretary of State for the Home Department</w:t>
      </w:r>
      <w:r w:rsidRPr="00453C7C">
        <w:rPr>
          <w:bCs/>
          <w:lang w:val="en-US"/>
        </w:rPr>
        <w:t xml:space="preserve"> [2011] EWHC 2855, </w:t>
      </w:r>
      <w:r w:rsidRPr="00276026">
        <w:rPr>
          <w:bCs/>
          <w:i/>
          <w:u w:val="single"/>
          <w:lang w:val="en-US"/>
        </w:rPr>
        <w:t>R (Purzia) v Secretary of State for the Home Department</w:t>
      </w:r>
      <w:r w:rsidRPr="00453C7C">
        <w:rPr>
          <w:bCs/>
          <w:lang w:val="en-US"/>
        </w:rPr>
        <w:t xml:space="preserve"> [2011] EWHC 3276 and </w:t>
      </w:r>
      <w:r w:rsidRPr="00276026">
        <w:rPr>
          <w:bCs/>
          <w:i/>
          <w:u w:val="single"/>
          <w:lang w:val="en-US"/>
        </w:rPr>
        <w:t>R (New London College Limited) v Secretary of State for the Home Department</w:t>
      </w:r>
      <w:r w:rsidRPr="00453C7C">
        <w:rPr>
          <w:bCs/>
          <w:lang w:val="en-US"/>
        </w:rPr>
        <w:t xml:space="preserve"> [2012] EWCA Civ 51</w:t>
      </w:r>
      <w:r w:rsidR="00276026">
        <w:rPr>
          <w:bCs/>
          <w:lang w:val="en-US"/>
        </w:rPr>
        <w:t>)</w:t>
      </w:r>
      <w:r w:rsidRPr="00453C7C">
        <w:rPr>
          <w:bCs/>
          <w:lang w:val="en-US"/>
        </w:rPr>
        <w:t xml:space="preserve">. </w:t>
      </w:r>
      <w:r w:rsidR="00453C7C" w:rsidRPr="00453C7C">
        <w:rPr>
          <w:bCs/>
          <w:lang w:val="en-US"/>
        </w:rPr>
        <w:t xml:space="preserve"> These </w:t>
      </w:r>
      <w:r w:rsidR="00276026">
        <w:rPr>
          <w:bCs/>
          <w:lang w:val="en-US"/>
        </w:rPr>
        <w:t xml:space="preserve">cases </w:t>
      </w:r>
      <w:r w:rsidR="00453C7C" w:rsidRPr="00453C7C">
        <w:rPr>
          <w:bCs/>
          <w:lang w:val="en-US"/>
        </w:rPr>
        <w:t>revealed “</w:t>
      </w:r>
      <w:r w:rsidR="00453C7C" w:rsidRPr="00CA2D05">
        <w:rPr>
          <w:bCs/>
          <w:lang w:val="en-US"/>
        </w:rPr>
        <w:t xml:space="preserve">a variety of approaches, and the use of a variety of expressions, to determine where the line must be drawn in order to determine whether material in an extraneous document which is not set out expressly in the rules can validly be relied on to determine an applicant’s claim.” </w:t>
      </w:r>
      <w:r w:rsidR="00CA2D05" w:rsidRPr="00CA2D05">
        <w:rPr>
          <w:bCs/>
          <w:lang w:val="en-US"/>
        </w:rPr>
        <w:t xml:space="preserve"> </w:t>
      </w:r>
      <w:r w:rsidR="00CA2D05">
        <w:rPr>
          <w:bCs/>
          <w:lang w:val="en-US"/>
        </w:rPr>
        <w:t xml:space="preserve">  Their Lordships recognized that the test which they had formulated – whilst agreed by all – still was </w:t>
      </w:r>
      <w:r w:rsidR="00CA2D05">
        <w:rPr>
          <w:bCs/>
          <w:lang w:val="en-US"/>
        </w:rPr>
        <w:lastRenderedPageBreak/>
        <w:t xml:space="preserve">capable of yielding inconsistent results, insofar as Lord </w:t>
      </w:r>
      <w:r w:rsidR="00D93345">
        <w:rPr>
          <w:bCs/>
          <w:lang w:val="en-US"/>
        </w:rPr>
        <w:t>Hope</w:t>
      </w:r>
      <w:r w:rsidR="00276026">
        <w:rPr>
          <w:bCs/>
          <w:lang w:val="en-US"/>
        </w:rPr>
        <w:t xml:space="preserve"> disagreed with Lord Dyson</w:t>
      </w:r>
      <w:r w:rsidR="00276026">
        <w:rPr>
          <w:rStyle w:val="FootnoteReference"/>
          <w:bCs/>
          <w:lang w:val="en-US"/>
        </w:rPr>
        <w:footnoteReference w:id="1"/>
      </w:r>
      <w:r w:rsidR="00276026">
        <w:rPr>
          <w:bCs/>
          <w:lang w:val="en-US"/>
        </w:rPr>
        <w:t xml:space="preserve"> </w:t>
      </w:r>
      <w:r w:rsidR="00CA2D05">
        <w:rPr>
          <w:bCs/>
          <w:lang w:val="en-US"/>
        </w:rPr>
        <w:t xml:space="preserve">as to whether or not the </w:t>
      </w:r>
      <w:r w:rsidR="00934304">
        <w:rPr>
          <w:bCs/>
          <w:lang w:val="en-US"/>
        </w:rPr>
        <w:t>statements</w:t>
      </w:r>
      <w:r w:rsidR="00CA2D05">
        <w:rPr>
          <w:bCs/>
          <w:lang w:val="en-US"/>
        </w:rPr>
        <w:t xml:space="preserve"> in the guidance to employers upon how the resi</w:t>
      </w:r>
      <w:r w:rsidR="00D93345">
        <w:rPr>
          <w:bCs/>
          <w:lang w:val="en-US"/>
        </w:rPr>
        <w:t>dent labour test should be sati</w:t>
      </w:r>
      <w:r w:rsidR="00CA2D05">
        <w:rPr>
          <w:bCs/>
          <w:lang w:val="en-US"/>
        </w:rPr>
        <w:t xml:space="preserve">sfied amounted to a </w:t>
      </w:r>
      <w:r w:rsidR="00D93345">
        <w:rPr>
          <w:bCs/>
          <w:lang w:val="en-US"/>
        </w:rPr>
        <w:t>‘</w:t>
      </w:r>
      <w:r w:rsidR="00CA2D05">
        <w:rPr>
          <w:bCs/>
          <w:lang w:val="en-US"/>
        </w:rPr>
        <w:t>rule</w:t>
      </w:r>
      <w:r w:rsidR="00D93345">
        <w:rPr>
          <w:bCs/>
          <w:lang w:val="en-US"/>
        </w:rPr>
        <w:t>’</w:t>
      </w:r>
      <w:r w:rsidR="00CA2D05">
        <w:rPr>
          <w:bCs/>
          <w:lang w:val="en-US"/>
        </w:rPr>
        <w:t xml:space="preserve"> or not.  Lord Hope </w:t>
      </w:r>
      <w:r w:rsidR="00F23F21">
        <w:rPr>
          <w:bCs/>
          <w:lang w:val="en-US"/>
        </w:rPr>
        <w:t xml:space="preserve">hoped that </w:t>
      </w:r>
      <w:r w:rsidR="00CA2D05">
        <w:rPr>
          <w:bCs/>
          <w:lang w:val="en-US"/>
        </w:rPr>
        <w:t xml:space="preserve">the decision maker </w:t>
      </w:r>
      <w:r w:rsidR="00E17563">
        <w:rPr>
          <w:bCs/>
          <w:lang w:val="en-US"/>
        </w:rPr>
        <w:t>w</w:t>
      </w:r>
      <w:r w:rsidR="00CA2D05">
        <w:rPr>
          <w:bCs/>
          <w:lang w:val="en-US"/>
        </w:rPr>
        <w:t xml:space="preserve">ould </w:t>
      </w:r>
      <w:r w:rsidR="00F23F21">
        <w:rPr>
          <w:bCs/>
          <w:lang w:val="en-US"/>
        </w:rPr>
        <w:t xml:space="preserve">therefore </w:t>
      </w:r>
      <w:r w:rsidR="00CA2D05">
        <w:rPr>
          <w:bCs/>
          <w:lang w:val="en-US"/>
        </w:rPr>
        <w:t>err on the side of caution</w:t>
      </w:r>
      <w:r w:rsidR="00934304">
        <w:rPr>
          <w:bCs/>
          <w:lang w:val="en-US"/>
        </w:rPr>
        <w:t xml:space="preserve">, in deciding what </w:t>
      </w:r>
      <w:r w:rsidR="00E17563">
        <w:rPr>
          <w:bCs/>
          <w:lang w:val="en-US"/>
        </w:rPr>
        <w:t xml:space="preserve">changes </w:t>
      </w:r>
      <w:r w:rsidR="00276026">
        <w:rPr>
          <w:bCs/>
          <w:lang w:val="en-US"/>
        </w:rPr>
        <w:t>must be laid</w:t>
      </w:r>
      <w:r w:rsidR="00934304">
        <w:rPr>
          <w:bCs/>
          <w:lang w:val="en-US"/>
        </w:rPr>
        <w:t xml:space="preserve"> before Parliament</w:t>
      </w:r>
      <w:r w:rsidR="00CA2D05">
        <w:rPr>
          <w:bCs/>
          <w:lang w:val="en-US"/>
        </w:rPr>
        <w:t xml:space="preserve">.  </w:t>
      </w:r>
    </w:p>
    <w:p w:rsidR="00D93345" w:rsidRDefault="00D93345" w:rsidP="002949D7">
      <w:pPr>
        <w:pStyle w:val="ListParagraph"/>
        <w:ind w:left="360"/>
        <w:jc w:val="both"/>
        <w:rPr>
          <w:bCs/>
          <w:lang w:val="en-US"/>
        </w:rPr>
      </w:pPr>
    </w:p>
    <w:p w:rsidR="00CA2D05" w:rsidRPr="00D93345" w:rsidRDefault="00CA2D05" w:rsidP="002949D7">
      <w:pPr>
        <w:pStyle w:val="ListParagraph"/>
        <w:numPr>
          <w:ilvl w:val="0"/>
          <w:numId w:val="1"/>
        </w:numPr>
        <w:jc w:val="both"/>
        <w:rPr>
          <w:bCs/>
          <w:lang w:val="en-US"/>
        </w:rPr>
      </w:pPr>
      <w:r w:rsidRPr="00D93345">
        <w:rPr>
          <w:bCs/>
          <w:lang w:val="en-US"/>
        </w:rPr>
        <w:t xml:space="preserve">It is apparent that the real impact of this decision is likely to be, not upon the SoS, but on the Secondary Legislation Scrutiny Committee of the House of Lords, which has the difficult task of scrutinizing the merits of changes to the Immigration Rules. </w:t>
      </w:r>
      <w:r w:rsidR="00D93345">
        <w:rPr>
          <w:bCs/>
          <w:lang w:val="en-US"/>
        </w:rPr>
        <w:t>“</w:t>
      </w:r>
      <w:r w:rsidR="00D93345" w:rsidRPr="00D93345">
        <w:rPr>
          <w:bCs/>
          <w:lang w:val="en-US"/>
        </w:rPr>
        <w:t>The situation that has created this problem is so far removed from what it was in 1971 that one wonders whether the system that was designed over forty years ago is sti</w:t>
      </w:r>
      <w:r w:rsidR="00F23F21">
        <w:rPr>
          <w:bCs/>
          <w:lang w:val="en-US"/>
        </w:rPr>
        <w:t>ll fit for its purpose today.”  (</w:t>
      </w:r>
      <w:r w:rsidR="00D93345" w:rsidRPr="00D93345">
        <w:rPr>
          <w:bCs/>
          <w:lang w:val="en-US"/>
        </w:rPr>
        <w:t>Lord Hope, para 65</w:t>
      </w:r>
      <w:r w:rsidR="00E57950">
        <w:rPr>
          <w:bCs/>
          <w:lang w:val="en-US"/>
        </w:rPr>
        <w:t>; see also Lord Wilson at paragraph 128, expressing similar concerns</w:t>
      </w:r>
      <w:r w:rsidR="00F23F21">
        <w:rPr>
          <w:bCs/>
          <w:lang w:val="en-US"/>
        </w:rPr>
        <w:t>)</w:t>
      </w:r>
      <w:r w:rsidR="00D93345" w:rsidRPr="00D93345">
        <w:rPr>
          <w:bCs/>
          <w:lang w:val="en-US"/>
        </w:rPr>
        <w:t xml:space="preserve">. </w:t>
      </w:r>
    </w:p>
    <w:p w:rsidR="00CA2D05" w:rsidRDefault="00CA2D05" w:rsidP="005A7060">
      <w:pPr>
        <w:pStyle w:val="ListParagraph"/>
        <w:ind w:left="360"/>
        <w:jc w:val="both"/>
        <w:rPr>
          <w:bCs/>
          <w:lang w:val="en-US"/>
        </w:rPr>
      </w:pPr>
    </w:p>
    <w:p w:rsidR="00F200B8" w:rsidRDefault="00CA2D05" w:rsidP="005A7060">
      <w:pPr>
        <w:pStyle w:val="ListParagraph"/>
        <w:numPr>
          <w:ilvl w:val="0"/>
          <w:numId w:val="1"/>
        </w:numPr>
        <w:jc w:val="both"/>
        <w:rPr>
          <w:bCs/>
          <w:lang w:val="en-US"/>
        </w:rPr>
      </w:pPr>
      <w:r w:rsidRPr="00CA2D05">
        <w:rPr>
          <w:bCs/>
          <w:lang w:val="en-US"/>
        </w:rPr>
        <w:t xml:space="preserve">The </w:t>
      </w:r>
      <w:r w:rsidRPr="005A7060">
        <w:rPr>
          <w:bCs/>
          <w:i/>
          <w:u w:val="single"/>
          <w:lang w:val="en-US"/>
        </w:rPr>
        <w:t>New London College</w:t>
      </w:r>
      <w:r w:rsidRPr="00CA2D05">
        <w:rPr>
          <w:bCs/>
          <w:lang w:val="en-US"/>
        </w:rPr>
        <w:t xml:space="preserve"> case</w:t>
      </w:r>
      <w:r w:rsidR="00850CB2">
        <w:rPr>
          <w:bCs/>
          <w:lang w:val="en-US"/>
        </w:rPr>
        <w:t xml:space="preserve"> (which concerns the system for the removal of sponsor licences)</w:t>
      </w:r>
      <w:r w:rsidRPr="00CA2D05">
        <w:rPr>
          <w:bCs/>
          <w:lang w:val="en-US"/>
        </w:rPr>
        <w:t xml:space="preserve"> is </w:t>
      </w:r>
      <w:r w:rsidR="0081435A">
        <w:rPr>
          <w:bCs/>
          <w:lang w:val="en-US"/>
        </w:rPr>
        <w:t xml:space="preserve">now </w:t>
      </w:r>
      <w:r w:rsidRPr="00CA2D05">
        <w:rPr>
          <w:bCs/>
          <w:lang w:val="en-US"/>
        </w:rPr>
        <w:t>a</w:t>
      </w:r>
      <w:r w:rsidR="00F23F21">
        <w:rPr>
          <w:bCs/>
          <w:lang w:val="en-US"/>
        </w:rPr>
        <w:t>waiting a permission decision from</w:t>
      </w:r>
      <w:r w:rsidRPr="00CA2D05">
        <w:rPr>
          <w:bCs/>
          <w:lang w:val="en-US"/>
        </w:rPr>
        <w:t xml:space="preserve"> the SC.  </w:t>
      </w:r>
    </w:p>
    <w:p w:rsidR="0059748A" w:rsidRDefault="0059748A" w:rsidP="0059748A">
      <w:pPr>
        <w:pStyle w:val="ListParagraph"/>
        <w:autoSpaceDE w:val="0"/>
        <w:autoSpaceDN w:val="0"/>
        <w:adjustRightInd w:val="0"/>
        <w:spacing w:after="0" w:line="240" w:lineRule="auto"/>
        <w:ind w:left="360"/>
        <w:jc w:val="both"/>
        <w:rPr>
          <w:bCs/>
          <w:lang w:val="en-US"/>
        </w:rPr>
      </w:pPr>
    </w:p>
    <w:p w:rsidR="00C10733" w:rsidRDefault="00230FB7" w:rsidP="00C10733">
      <w:pPr>
        <w:pStyle w:val="ListParagraph"/>
        <w:numPr>
          <w:ilvl w:val="0"/>
          <w:numId w:val="1"/>
        </w:numPr>
        <w:jc w:val="both"/>
        <w:rPr>
          <w:bCs/>
          <w:lang w:val="en-US"/>
        </w:rPr>
      </w:pPr>
      <w:r w:rsidRPr="0059748A">
        <w:rPr>
          <w:bCs/>
          <w:lang w:val="en-US"/>
        </w:rPr>
        <w:t xml:space="preserve">Another very recent decision upholding the supremacy of Parliament is </w:t>
      </w:r>
      <w:r w:rsidR="00DE345E">
        <w:rPr>
          <w:bCs/>
          <w:i/>
          <w:u w:val="single"/>
          <w:lang w:val="en-US"/>
        </w:rPr>
        <w:t>R(Child Poverty Action Group</w:t>
      </w:r>
      <w:r w:rsidRPr="005C1450">
        <w:rPr>
          <w:bCs/>
          <w:i/>
          <w:u w:val="single"/>
          <w:lang w:val="en-US"/>
        </w:rPr>
        <w:t>) v Secretary of State for Work and Pensions</w:t>
      </w:r>
      <w:r w:rsidRPr="0059748A">
        <w:rPr>
          <w:bCs/>
          <w:lang w:val="en-US"/>
        </w:rPr>
        <w:t xml:space="preserve"> (decision of 17 July</w:t>
      </w:r>
      <w:r w:rsidR="00F23F21">
        <w:rPr>
          <w:bCs/>
          <w:lang w:val="en-US"/>
        </w:rPr>
        <w:t>).  T</w:t>
      </w:r>
      <w:r w:rsidRPr="0059748A">
        <w:rPr>
          <w:bCs/>
          <w:lang w:val="en-US"/>
        </w:rPr>
        <w:t>he CPAG challenged the failure of the government to establish a Child Poverty Commission, as required b</w:t>
      </w:r>
      <w:r w:rsidR="00DE345E">
        <w:rPr>
          <w:bCs/>
          <w:lang w:val="en-US"/>
        </w:rPr>
        <w:t xml:space="preserve">y the Child Poverty Act 2010. </w:t>
      </w:r>
      <w:r w:rsidR="00F23F21" w:rsidRPr="0059748A">
        <w:rPr>
          <w:bCs/>
          <w:lang w:val="en-US"/>
        </w:rPr>
        <w:t xml:space="preserve">  I have not seen a copy o</w:t>
      </w:r>
      <w:r w:rsidR="00F23F21">
        <w:rPr>
          <w:bCs/>
          <w:lang w:val="en-US"/>
        </w:rPr>
        <w:t>f the full judgment of Singh J, but, a</w:t>
      </w:r>
      <w:r w:rsidRPr="0059748A">
        <w:rPr>
          <w:bCs/>
          <w:lang w:val="en-US"/>
        </w:rPr>
        <w:t xml:space="preserve">ccording to the Lawtel report, </w:t>
      </w:r>
      <w:r w:rsidR="005C1450">
        <w:rPr>
          <w:bCs/>
          <w:lang w:val="en-US"/>
        </w:rPr>
        <w:t>Singh J held:  “</w:t>
      </w:r>
      <w:r w:rsidR="0059748A" w:rsidRPr="0059748A">
        <w:rPr>
          <w:bCs/>
          <w:lang w:val="en-US"/>
        </w:rPr>
        <w:t xml:space="preserve">It was a fundamental constitutional principle that the executive had no power to make law except when permitted by primary legislation.  The executive was entitled to invite Parliament to change primary legislation, but it could not derogate from primary legislation. Parliament had enacted law, namely the 2010 Act, to create the Child Poverty Commission and requiring the secretaries of state to obtain its advice within 12 months of the enactment of the Act. The secretaries of state decided not to do that. </w:t>
      </w:r>
      <w:r w:rsidR="00DE345E">
        <w:rPr>
          <w:bCs/>
          <w:lang w:val="en-US"/>
        </w:rPr>
        <w:t xml:space="preserve"> </w:t>
      </w:r>
      <w:r w:rsidR="0059748A" w:rsidRPr="0059748A">
        <w:rPr>
          <w:bCs/>
          <w:lang w:val="en-US"/>
        </w:rPr>
        <w:t>They may have had good reason, but they were not entitled to ignore or not to comply with that law. ... The secretaries of state were in clear breach of s.10(1) as a result of their deliberate decision not to establish the Child Poverty Commission. The breach of s.10(1) was sufficiently important that Parliament must have intended it to go to the vires of the secretaries of state's strategy.</w:t>
      </w:r>
      <w:r w:rsidR="0059748A" w:rsidRPr="00D632E4">
        <w:rPr>
          <w:bCs/>
          <w:lang w:val="en-US"/>
        </w:rPr>
        <w:t>”</w:t>
      </w:r>
    </w:p>
    <w:p w:rsidR="00C10733" w:rsidRDefault="00C10733" w:rsidP="00C10733">
      <w:pPr>
        <w:pStyle w:val="ListParagraph"/>
        <w:ind w:left="360"/>
        <w:jc w:val="both"/>
        <w:rPr>
          <w:bCs/>
          <w:lang w:val="en-US"/>
        </w:rPr>
      </w:pPr>
    </w:p>
    <w:p w:rsidR="00D632E4" w:rsidRDefault="00D632E4" w:rsidP="00C10733">
      <w:pPr>
        <w:pStyle w:val="ListParagraph"/>
        <w:numPr>
          <w:ilvl w:val="0"/>
          <w:numId w:val="1"/>
        </w:numPr>
        <w:jc w:val="both"/>
        <w:rPr>
          <w:bCs/>
          <w:lang w:val="en-US"/>
        </w:rPr>
      </w:pPr>
      <w:r w:rsidRPr="00C10733">
        <w:rPr>
          <w:bCs/>
          <w:lang w:val="en-US"/>
        </w:rPr>
        <w:t xml:space="preserve">Looking </w:t>
      </w:r>
      <w:r w:rsidR="00C10733" w:rsidRPr="00C10733">
        <w:rPr>
          <w:bCs/>
          <w:lang w:val="en-US"/>
        </w:rPr>
        <w:t>rather further</w:t>
      </w:r>
      <w:r w:rsidR="00F23F21">
        <w:rPr>
          <w:bCs/>
          <w:lang w:val="en-US"/>
        </w:rPr>
        <w:t xml:space="preserve"> back</w:t>
      </w:r>
      <w:r w:rsidRPr="00C10733">
        <w:rPr>
          <w:bCs/>
          <w:lang w:val="en-US"/>
        </w:rPr>
        <w:t xml:space="preserve">, </w:t>
      </w:r>
      <w:r w:rsidR="003C6E54" w:rsidRPr="00C10733">
        <w:rPr>
          <w:bCs/>
          <w:lang w:val="en-US"/>
        </w:rPr>
        <w:t xml:space="preserve">we may note the SC decision of </w:t>
      </w:r>
      <w:r w:rsidR="003C6E54" w:rsidRPr="00C10733">
        <w:rPr>
          <w:bCs/>
          <w:i/>
          <w:u w:val="single"/>
          <w:lang w:val="en-US"/>
        </w:rPr>
        <w:t xml:space="preserve">AXA General Insurance Ltd v </w:t>
      </w:r>
      <w:r w:rsidR="00C10733" w:rsidRPr="00C10733">
        <w:rPr>
          <w:bCs/>
          <w:i/>
          <w:u w:val="single"/>
          <w:lang w:val="en-US"/>
        </w:rPr>
        <w:t>the Lord Advocate</w:t>
      </w:r>
      <w:r w:rsidR="00C10733" w:rsidRPr="00C10733">
        <w:rPr>
          <w:bCs/>
          <w:lang w:val="en-US"/>
        </w:rPr>
        <w:t xml:space="preserve"> [2011] UKSC 46, a decision of a 7-member SC.  The </w:t>
      </w:r>
      <w:r w:rsidR="00C10733">
        <w:rPr>
          <w:bCs/>
          <w:lang w:val="en-US"/>
        </w:rPr>
        <w:t>appellants we</w:t>
      </w:r>
      <w:r w:rsidR="00C10733" w:rsidRPr="00C10733">
        <w:rPr>
          <w:bCs/>
          <w:lang w:val="en-US"/>
        </w:rPr>
        <w:t xml:space="preserve">re insurance companies which </w:t>
      </w:r>
      <w:r w:rsidR="00C10733">
        <w:rPr>
          <w:bCs/>
          <w:lang w:val="en-US"/>
        </w:rPr>
        <w:t xml:space="preserve">were in the business of </w:t>
      </w:r>
      <w:r w:rsidR="00C10733" w:rsidRPr="00C10733">
        <w:rPr>
          <w:bCs/>
          <w:lang w:val="en-US"/>
        </w:rPr>
        <w:t>indemnify</w:t>
      </w:r>
      <w:r w:rsidR="00C10733">
        <w:rPr>
          <w:bCs/>
          <w:lang w:val="en-US"/>
        </w:rPr>
        <w:t>ing</w:t>
      </w:r>
      <w:r w:rsidR="00C10733" w:rsidRPr="00C10733">
        <w:rPr>
          <w:bCs/>
          <w:lang w:val="en-US"/>
        </w:rPr>
        <w:t xml:space="preserve"> employers against  liability for negligence. They sought to challenge the lawfulness of an Act of the Scottish Parliament (the Damages (Asbestos-related C</w:t>
      </w:r>
      <w:r w:rsidR="00C10733">
        <w:rPr>
          <w:bCs/>
          <w:lang w:val="en-US"/>
        </w:rPr>
        <w:t xml:space="preserve">onditions) (Scotland) Act 2009), </w:t>
      </w:r>
      <w:r w:rsidR="00C10733" w:rsidRPr="00C10733">
        <w:rPr>
          <w:bCs/>
          <w:lang w:val="en-US"/>
        </w:rPr>
        <w:t>which provides that asbestos-related pleural plaques and certain other asbestos-related conditi</w:t>
      </w:r>
      <w:r w:rsidR="00DE345E">
        <w:rPr>
          <w:bCs/>
          <w:lang w:val="en-US"/>
        </w:rPr>
        <w:t xml:space="preserve">ons constitute personal injury </w:t>
      </w:r>
      <w:r w:rsidR="00C10733" w:rsidRPr="00C10733">
        <w:rPr>
          <w:bCs/>
          <w:lang w:val="en-US"/>
        </w:rPr>
        <w:t>actionable under Scots law.</w:t>
      </w:r>
    </w:p>
    <w:p w:rsidR="00C10733" w:rsidRPr="00C10733" w:rsidRDefault="00C10733" w:rsidP="00C10733">
      <w:pPr>
        <w:pStyle w:val="ListParagraph"/>
        <w:rPr>
          <w:bCs/>
          <w:lang w:val="en-US"/>
        </w:rPr>
      </w:pPr>
    </w:p>
    <w:p w:rsidR="00F23F21" w:rsidRDefault="00F24AAD" w:rsidP="008D217B">
      <w:pPr>
        <w:pStyle w:val="ListParagraph"/>
        <w:numPr>
          <w:ilvl w:val="0"/>
          <w:numId w:val="1"/>
        </w:numPr>
        <w:jc w:val="both"/>
        <w:rPr>
          <w:bCs/>
          <w:lang w:val="en-US"/>
        </w:rPr>
      </w:pPr>
      <w:r w:rsidRPr="00845294">
        <w:rPr>
          <w:bCs/>
          <w:lang w:val="en-US"/>
        </w:rPr>
        <w:t>The greater part of the judgments concerned the issue of a viola</w:t>
      </w:r>
      <w:r w:rsidR="00F23F21">
        <w:rPr>
          <w:bCs/>
          <w:lang w:val="en-US"/>
        </w:rPr>
        <w:t>tion of Article 1, Protocol 1.  T</w:t>
      </w:r>
      <w:r w:rsidRPr="00845294">
        <w:rPr>
          <w:bCs/>
          <w:lang w:val="en-US"/>
        </w:rPr>
        <w:t>he insurers had a ‘possession’ in the</w:t>
      </w:r>
      <w:r w:rsidR="00F23F21">
        <w:rPr>
          <w:bCs/>
          <w:lang w:val="en-US"/>
        </w:rPr>
        <w:t xml:space="preserve"> fund </w:t>
      </w:r>
      <w:r w:rsidRPr="00845294">
        <w:rPr>
          <w:bCs/>
          <w:lang w:val="en-US"/>
        </w:rPr>
        <w:t xml:space="preserve">of money they might have to pay to satisfy claims, and the </w:t>
      </w:r>
      <w:r w:rsidRPr="00845294">
        <w:rPr>
          <w:bCs/>
          <w:lang w:val="en-US"/>
        </w:rPr>
        <w:lastRenderedPageBreak/>
        <w:t xml:space="preserve">issue therefore arose as to whether interference with that possession pursued a legitimate and could be shown to be reasonably proportionate to that aim (held, ‘yes’).  </w:t>
      </w:r>
    </w:p>
    <w:p w:rsidR="00F23F21" w:rsidRPr="00F23F21" w:rsidRDefault="00F23F21" w:rsidP="00F23F21">
      <w:pPr>
        <w:pStyle w:val="ListParagraph"/>
        <w:rPr>
          <w:bCs/>
          <w:lang w:val="en-US"/>
        </w:rPr>
      </w:pPr>
    </w:p>
    <w:p w:rsidR="00F23F21" w:rsidRDefault="00F24AAD" w:rsidP="008D217B">
      <w:pPr>
        <w:pStyle w:val="ListParagraph"/>
        <w:numPr>
          <w:ilvl w:val="0"/>
          <w:numId w:val="1"/>
        </w:numPr>
        <w:jc w:val="both"/>
        <w:rPr>
          <w:bCs/>
          <w:lang w:val="en-US"/>
        </w:rPr>
      </w:pPr>
      <w:r w:rsidRPr="00845294">
        <w:rPr>
          <w:bCs/>
          <w:lang w:val="en-US"/>
        </w:rPr>
        <w:t xml:space="preserve">But perhaps of greater interest was the claim at common law that the Act was irrational and arbitrary.   This raised the issue of the extent to which Acts of the Scottish Parliament (ASPs) were reviewable.  </w:t>
      </w:r>
      <w:r w:rsidR="003F38AD">
        <w:rPr>
          <w:bCs/>
          <w:lang w:val="en-US"/>
        </w:rPr>
        <w:t xml:space="preserve">Plainly, </w:t>
      </w:r>
      <w:r w:rsidRPr="00845294">
        <w:rPr>
          <w:bCs/>
          <w:lang w:val="en-US"/>
        </w:rPr>
        <w:t xml:space="preserve">ASPs are passed by a body to whom powers have been delegated, by the UK Parliament; </w:t>
      </w:r>
      <w:r w:rsidR="00F23F21" w:rsidRPr="00845294">
        <w:rPr>
          <w:bCs/>
          <w:lang w:val="en-US"/>
        </w:rPr>
        <w:t>sovereignty</w:t>
      </w:r>
      <w:r w:rsidRPr="00845294">
        <w:rPr>
          <w:bCs/>
          <w:lang w:val="en-US"/>
        </w:rPr>
        <w:t xml:space="preserve"> remains with the UK Parliament</w:t>
      </w:r>
      <w:r w:rsidR="00845294" w:rsidRPr="00845294">
        <w:rPr>
          <w:bCs/>
          <w:lang w:val="en-US"/>
        </w:rPr>
        <w:t xml:space="preserve"> and the Scottish Parliament may only legisl</w:t>
      </w:r>
      <w:r w:rsidR="00F23F21">
        <w:rPr>
          <w:bCs/>
          <w:lang w:val="en-US"/>
        </w:rPr>
        <w:t>ate within its competence.  W</w:t>
      </w:r>
      <w:r w:rsidR="00845294" w:rsidRPr="00845294">
        <w:rPr>
          <w:bCs/>
          <w:lang w:val="en-US"/>
        </w:rPr>
        <w:t xml:space="preserve">hether or not it did so was an issue for the courts.   </w:t>
      </w:r>
    </w:p>
    <w:p w:rsidR="00F23F21" w:rsidRPr="00F23F21" w:rsidRDefault="00F23F21" w:rsidP="00F23F21">
      <w:pPr>
        <w:pStyle w:val="ListParagraph"/>
        <w:rPr>
          <w:bCs/>
          <w:lang w:val="en-US"/>
        </w:rPr>
      </w:pPr>
    </w:p>
    <w:p w:rsidR="008D217B" w:rsidRPr="008D217B" w:rsidRDefault="00845294" w:rsidP="008D217B">
      <w:pPr>
        <w:pStyle w:val="ListParagraph"/>
        <w:numPr>
          <w:ilvl w:val="0"/>
          <w:numId w:val="1"/>
        </w:numPr>
        <w:jc w:val="both"/>
        <w:rPr>
          <w:bCs/>
          <w:lang w:val="en-US"/>
        </w:rPr>
      </w:pPr>
      <w:r w:rsidRPr="008D217B">
        <w:rPr>
          <w:bCs/>
          <w:lang w:val="en-US"/>
        </w:rPr>
        <w:t>But these facts did not assist on what grounds of review applied; this was “uncharted territory”.  According to Lord Hope, “</w:t>
      </w:r>
      <w:r w:rsidRPr="008D217B">
        <w:rPr>
          <w:rFonts w:cs="TimesNewRomanPSMT"/>
        </w:rPr>
        <w:t>the rule  of law enforced by the courts” was the “ultimate controlling factor on which our constitution is based” and the courts would act to protect this (if, for example, the role of the courts in protecting the interests of the individual was under attack).  However, given the democratic nature of the Scottish Parliament and the fact that compatibility between legislation and the ECHR was already required</w:t>
      </w:r>
      <w:r w:rsidR="003F38AD">
        <w:rPr>
          <w:rFonts w:cs="TimesNewRomanPSMT"/>
        </w:rPr>
        <w:t xml:space="preserve"> by the Act establishing it</w:t>
      </w:r>
      <w:r w:rsidRPr="008D217B">
        <w:rPr>
          <w:rFonts w:cs="TimesNewRomanPSMT"/>
        </w:rPr>
        <w:t>, ASPs were not subject to review on the grounds of irrationality, unreasonableness or arbitrariness.</w:t>
      </w:r>
    </w:p>
    <w:p w:rsidR="008D217B" w:rsidRPr="008D217B" w:rsidRDefault="008D217B" w:rsidP="008D217B">
      <w:pPr>
        <w:pStyle w:val="ListParagraph"/>
        <w:ind w:left="360"/>
        <w:jc w:val="both"/>
        <w:rPr>
          <w:bCs/>
          <w:lang w:val="en-US"/>
        </w:rPr>
      </w:pPr>
    </w:p>
    <w:p w:rsidR="008D217B" w:rsidRPr="008D217B" w:rsidRDefault="008D217B" w:rsidP="008D217B">
      <w:pPr>
        <w:pStyle w:val="ListParagraph"/>
        <w:numPr>
          <w:ilvl w:val="0"/>
          <w:numId w:val="1"/>
        </w:numPr>
        <w:jc w:val="both"/>
        <w:rPr>
          <w:bCs/>
          <w:lang w:val="en-US"/>
        </w:rPr>
      </w:pPr>
      <w:r w:rsidRPr="008D217B">
        <w:rPr>
          <w:rFonts w:cs="TimesNewRomanPSMT"/>
        </w:rPr>
        <w:t>Or, according to Lord Reed:</w:t>
      </w:r>
    </w:p>
    <w:p w:rsidR="008D217B" w:rsidRPr="008D217B" w:rsidRDefault="008D217B" w:rsidP="008D217B">
      <w:pPr>
        <w:pStyle w:val="ListParagraph"/>
        <w:rPr>
          <w:rFonts w:cs="TimesNewRomanPSMT"/>
        </w:rPr>
      </w:pPr>
    </w:p>
    <w:p w:rsidR="008D217B" w:rsidRPr="008D217B" w:rsidRDefault="008D217B" w:rsidP="008D217B">
      <w:pPr>
        <w:pStyle w:val="ListParagraph"/>
        <w:ind w:right="567"/>
        <w:jc w:val="both"/>
        <w:rPr>
          <w:bCs/>
          <w:lang w:val="en-US"/>
        </w:rPr>
      </w:pPr>
      <w:r w:rsidRPr="008D217B">
        <w:rPr>
          <w:rFonts w:cs="TimesNewRomanPSMT"/>
        </w:rPr>
        <w:t>“Since [the Scottish Parliament’s] powers are plenary, they do not require to be exercised for any specific purpose or with regard to any specific considerations. It follows that grounds of review developed in relation to administrative bodies which have been given limited powers for identifiable purposes, and which are designed to prevent such bodies from exceeding their powers or using them for an improper purpose or being influenced by irrelevant considerations, generally have no purchase in such circumstances, and cannot be applied.” (para 147).</w:t>
      </w:r>
    </w:p>
    <w:p w:rsidR="008D217B" w:rsidRPr="008D217B" w:rsidRDefault="008D217B" w:rsidP="008D217B">
      <w:pPr>
        <w:pStyle w:val="ListParagraph"/>
        <w:rPr>
          <w:rFonts w:cs="TimesNewRomanPSMT"/>
        </w:rPr>
      </w:pPr>
    </w:p>
    <w:p w:rsidR="00B35784" w:rsidRPr="00B35784" w:rsidRDefault="008D217B" w:rsidP="008D217B">
      <w:pPr>
        <w:pStyle w:val="ListParagraph"/>
        <w:numPr>
          <w:ilvl w:val="0"/>
          <w:numId w:val="1"/>
        </w:numPr>
        <w:jc w:val="both"/>
        <w:rPr>
          <w:bCs/>
          <w:lang w:val="en-US"/>
        </w:rPr>
      </w:pPr>
      <w:r w:rsidRPr="008D217B">
        <w:rPr>
          <w:rFonts w:cs="TimesNewRomanPSMT"/>
        </w:rPr>
        <w:t>However, that still left an “exceptional category”, within which the Courts could intervene, if the Scottish Parliament passed an ASP in violation of fundamental ‘constitutional’ principles such as “fundamental rights” or “the rule of law”. The Westminster Parliament could not have intended to establish such a body.</w:t>
      </w:r>
      <w:r w:rsidR="00B35784">
        <w:rPr>
          <w:rFonts w:cs="TimesNewRomanPSMT"/>
        </w:rPr>
        <w:t xml:space="preserve">  </w:t>
      </w:r>
    </w:p>
    <w:p w:rsidR="00B35784" w:rsidRPr="00B35784" w:rsidRDefault="00B35784" w:rsidP="00B35784">
      <w:pPr>
        <w:pStyle w:val="ListParagraph"/>
        <w:ind w:left="360"/>
        <w:jc w:val="both"/>
        <w:rPr>
          <w:bCs/>
          <w:lang w:val="en-US"/>
        </w:rPr>
      </w:pPr>
    </w:p>
    <w:p w:rsidR="008D217B" w:rsidRPr="008D217B" w:rsidRDefault="00B35784" w:rsidP="008D217B">
      <w:pPr>
        <w:pStyle w:val="ListParagraph"/>
        <w:numPr>
          <w:ilvl w:val="0"/>
          <w:numId w:val="1"/>
        </w:numPr>
        <w:jc w:val="both"/>
        <w:rPr>
          <w:bCs/>
          <w:lang w:val="en-US"/>
        </w:rPr>
      </w:pPr>
      <w:r>
        <w:rPr>
          <w:rFonts w:cs="TimesNewRomanPSMT"/>
        </w:rPr>
        <w:t xml:space="preserve">It can be seen that the circumstances in which such a challenge could be entertained are left vague and undefined.  The SC has, perhaps, put down a ‘marker’, but left any future definition for more extreme circumstances. </w:t>
      </w:r>
    </w:p>
    <w:p w:rsidR="005C1450" w:rsidRPr="008D217B" w:rsidRDefault="005C1450" w:rsidP="005C1450">
      <w:pPr>
        <w:pStyle w:val="ListParagraph"/>
        <w:rPr>
          <w:bCs/>
          <w:lang w:val="en-US"/>
        </w:rPr>
      </w:pPr>
    </w:p>
    <w:p w:rsidR="005C1450" w:rsidRPr="00767663" w:rsidRDefault="005C1450" w:rsidP="005C1450">
      <w:pPr>
        <w:pStyle w:val="ListParagraph"/>
        <w:autoSpaceDE w:val="0"/>
        <w:autoSpaceDN w:val="0"/>
        <w:adjustRightInd w:val="0"/>
        <w:spacing w:after="0" w:line="240" w:lineRule="auto"/>
        <w:ind w:left="360"/>
        <w:jc w:val="both"/>
        <w:rPr>
          <w:b/>
          <w:bCs/>
          <w:u w:val="single"/>
          <w:lang w:val="en-US"/>
        </w:rPr>
      </w:pPr>
      <w:r w:rsidRPr="00767663">
        <w:rPr>
          <w:b/>
          <w:bCs/>
          <w:u w:val="single"/>
          <w:lang w:val="en-US"/>
        </w:rPr>
        <w:t>The ECHR</w:t>
      </w:r>
      <w:r w:rsidR="00513C8F" w:rsidRPr="00767663">
        <w:rPr>
          <w:b/>
          <w:bCs/>
          <w:u w:val="single"/>
          <w:lang w:val="en-US"/>
        </w:rPr>
        <w:t xml:space="preserve"> and the HRA</w:t>
      </w:r>
    </w:p>
    <w:p w:rsidR="005C1450" w:rsidRDefault="005C1450" w:rsidP="00587D19">
      <w:pPr>
        <w:pStyle w:val="ListParagraph"/>
        <w:ind w:left="360"/>
        <w:rPr>
          <w:bCs/>
          <w:lang w:val="en-US"/>
        </w:rPr>
      </w:pPr>
    </w:p>
    <w:p w:rsidR="00587D19" w:rsidRPr="00767663" w:rsidRDefault="00587D19" w:rsidP="00587D19">
      <w:pPr>
        <w:pStyle w:val="ListParagraph"/>
        <w:ind w:left="360"/>
        <w:rPr>
          <w:b/>
          <w:bCs/>
          <w:u w:val="single"/>
          <w:lang w:val="en-US"/>
        </w:rPr>
      </w:pPr>
      <w:r w:rsidRPr="00767663">
        <w:rPr>
          <w:b/>
          <w:bCs/>
          <w:u w:val="single"/>
          <w:lang w:val="en-US"/>
        </w:rPr>
        <w:t>Article 2</w:t>
      </w:r>
    </w:p>
    <w:p w:rsidR="00587D19" w:rsidRPr="00870DFF" w:rsidRDefault="00587D19" w:rsidP="00587D19">
      <w:pPr>
        <w:pStyle w:val="ListParagraph"/>
        <w:numPr>
          <w:ilvl w:val="0"/>
          <w:numId w:val="1"/>
        </w:numPr>
        <w:jc w:val="both"/>
        <w:rPr>
          <w:bCs/>
          <w:lang w:val="en-US"/>
        </w:rPr>
      </w:pPr>
      <w:r w:rsidRPr="00870DFF">
        <w:rPr>
          <w:bCs/>
          <w:lang w:val="en-US"/>
        </w:rPr>
        <w:t>On 20 April 2005, Melanie Rabone hanged herself.   At the time, she was on two days’ home leave from Stepping Hill Hospital, Stockport where she was undergoing treatment for a depressive disorder as an informal patient (ie one who was not detained under the Mental Health Act 1983</w:t>
      </w:r>
      <w:r w:rsidR="00F23F21">
        <w:rPr>
          <w:bCs/>
          <w:lang w:val="en-US"/>
        </w:rPr>
        <w:t>)</w:t>
      </w:r>
      <w:r w:rsidRPr="00870DFF">
        <w:rPr>
          <w:bCs/>
          <w:lang w:val="en-US"/>
        </w:rPr>
        <w:t xml:space="preserve">.  </w:t>
      </w:r>
    </w:p>
    <w:p w:rsidR="00587D19" w:rsidRPr="00870DFF" w:rsidRDefault="00587D19" w:rsidP="00587D19">
      <w:pPr>
        <w:pStyle w:val="ListParagraph"/>
        <w:ind w:left="360"/>
        <w:jc w:val="both"/>
        <w:rPr>
          <w:bCs/>
          <w:lang w:val="en-US"/>
        </w:rPr>
      </w:pPr>
    </w:p>
    <w:p w:rsidR="00587D19" w:rsidRPr="00587D19" w:rsidRDefault="00587D19" w:rsidP="00587D19">
      <w:pPr>
        <w:pStyle w:val="ListParagraph"/>
        <w:numPr>
          <w:ilvl w:val="0"/>
          <w:numId w:val="1"/>
        </w:numPr>
        <w:jc w:val="both"/>
        <w:rPr>
          <w:bCs/>
          <w:lang w:val="en-US"/>
        </w:rPr>
      </w:pPr>
      <w:r w:rsidRPr="00F23F21">
        <w:rPr>
          <w:bCs/>
          <w:i/>
          <w:u w:val="single"/>
          <w:lang w:val="en-US"/>
        </w:rPr>
        <w:t xml:space="preserve">Rabone and another </w:t>
      </w:r>
      <w:r w:rsidRPr="00F23F21">
        <w:rPr>
          <w:bCs/>
          <w:i/>
          <w:iCs/>
          <w:u w:val="single"/>
          <w:lang w:val="en-US"/>
        </w:rPr>
        <w:t xml:space="preserve">v </w:t>
      </w:r>
      <w:r w:rsidRPr="00F23F21">
        <w:rPr>
          <w:bCs/>
          <w:i/>
          <w:u w:val="single"/>
          <w:lang w:val="en-US"/>
        </w:rPr>
        <w:t>Pennine Care NHS Foundation Trust</w:t>
      </w:r>
      <w:r w:rsidRPr="00F23F21">
        <w:rPr>
          <w:bCs/>
          <w:lang w:val="en-US"/>
        </w:rPr>
        <w:t xml:space="preserve"> [2012] UKSC 2 (8 February 2012)</w:t>
      </w:r>
      <w:r w:rsidRPr="00587D19">
        <w:rPr>
          <w:b/>
          <w:bCs/>
          <w:lang w:val="en-US"/>
        </w:rPr>
        <w:t xml:space="preserve"> </w:t>
      </w:r>
      <w:r w:rsidRPr="00587D19">
        <w:rPr>
          <w:bCs/>
          <w:lang w:val="en-US"/>
        </w:rPr>
        <w:t xml:space="preserve">was the case brought by her parents </w:t>
      </w:r>
      <w:r>
        <w:rPr>
          <w:bCs/>
          <w:lang w:val="en-US"/>
        </w:rPr>
        <w:t xml:space="preserve">out of these sad facts.  It </w:t>
      </w:r>
      <w:r w:rsidRPr="00587D19">
        <w:rPr>
          <w:bCs/>
          <w:lang w:val="en-US"/>
        </w:rPr>
        <w:t xml:space="preserve">concerned (by the time it reached the Supreme Court) an alleged breach of the “operational duty” (see </w:t>
      </w:r>
      <w:r w:rsidRPr="00F23F21">
        <w:rPr>
          <w:bCs/>
          <w:i/>
          <w:u w:val="single"/>
          <w:lang w:val="en-US"/>
        </w:rPr>
        <w:t>Osman</w:t>
      </w:r>
      <w:r w:rsidRPr="00587D19">
        <w:rPr>
          <w:bCs/>
          <w:lang w:val="en-US"/>
        </w:rPr>
        <w:t>) established under article 2 ECHR (“Everyone’s right to life shall be protected by</w:t>
      </w:r>
      <w:r w:rsidR="00F23F21">
        <w:rPr>
          <w:bCs/>
          <w:lang w:val="en-US"/>
        </w:rPr>
        <w:t xml:space="preserve"> law”).   As Lady Hale observed:</w:t>
      </w:r>
      <w:r w:rsidRPr="00587D19">
        <w:rPr>
          <w:bCs/>
          <w:lang w:val="en-US"/>
        </w:rPr>
        <w:t xml:space="preserve"> “We are here because the ordinary law of tort does not recognise or compensate the anguish suffered by parents who are deprived of the life of their adult child.”</w:t>
      </w:r>
    </w:p>
    <w:p w:rsidR="00587D19" w:rsidRPr="00870DFF" w:rsidRDefault="00587D19" w:rsidP="00587D19">
      <w:pPr>
        <w:pStyle w:val="ListParagraph"/>
        <w:ind w:left="360"/>
        <w:jc w:val="both"/>
        <w:rPr>
          <w:bCs/>
          <w:lang w:val="en-US"/>
        </w:rPr>
      </w:pPr>
    </w:p>
    <w:p w:rsidR="00587D19" w:rsidRPr="00870DFF" w:rsidRDefault="00587D19" w:rsidP="00587D19">
      <w:pPr>
        <w:pStyle w:val="ListParagraph"/>
        <w:numPr>
          <w:ilvl w:val="0"/>
          <w:numId w:val="1"/>
        </w:numPr>
        <w:jc w:val="both"/>
        <w:rPr>
          <w:bCs/>
          <w:lang w:val="en-US"/>
        </w:rPr>
      </w:pPr>
      <w:r w:rsidRPr="00870DFF">
        <w:rPr>
          <w:bCs/>
          <w:lang w:val="en-US"/>
        </w:rPr>
        <w:t xml:space="preserve">In </w:t>
      </w:r>
      <w:r w:rsidRPr="0081435A">
        <w:rPr>
          <w:bCs/>
          <w:i/>
          <w:u w:val="single"/>
          <w:lang w:val="en-US"/>
        </w:rPr>
        <w:t>Powell v United Kingdom</w:t>
      </w:r>
      <w:r w:rsidRPr="00870DFF">
        <w:rPr>
          <w:bCs/>
          <w:lang w:val="en-US"/>
        </w:rPr>
        <w:t xml:space="preserve"> (2000) 30 EHR</w:t>
      </w:r>
      <w:r w:rsidR="00F23F21">
        <w:rPr>
          <w:bCs/>
          <w:lang w:val="en-US"/>
        </w:rPr>
        <w:t>R CD 362 it was held that if</w:t>
      </w:r>
      <w:r w:rsidRPr="00870DFF">
        <w:rPr>
          <w:bCs/>
          <w:lang w:val="en-US"/>
        </w:rPr>
        <w:t xml:space="preserve"> hospital authorities have performed their obligation to adopt appropriate general measures for the protection of the lives of patients in hospitals (for example, by ensuring that competent staff are recruited, high professional standards are maintained and suitable systems of work are put in place), casual acts of negligence by members of staff will not give rise to a breach of article 2.</w:t>
      </w:r>
    </w:p>
    <w:p w:rsidR="00587D19" w:rsidRPr="00870DFF" w:rsidRDefault="00587D19" w:rsidP="00587D19">
      <w:pPr>
        <w:pStyle w:val="ListParagraph"/>
        <w:ind w:left="360"/>
        <w:jc w:val="both"/>
        <w:rPr>
          <w:bCs/>
          <w:lang w:val="en-US"/>
        </w:rPr>
      </w:pPr>
    </w:p>
    <w:p w:rsidR="00587D19" w:rsidRPr="00870DFF" w:rsidRDefault="00587D19" w:rsidP="00587D19">
      <w:pPr>
        <w:pStyle w:val="ListParagraph"/>
        <w:numPr>
          <w:ilvl w:val="0"/>
          <w:numId w:val="1"/>
        </w:numPr>
        <w:jc w:val="both"/>
        <w:rPr>
          <w:bCs/>
          <w:lang w:val="en-US"/>
        </w:rPr>
      </w:pPr>
      <w:r w:rsidRPr="00870DFF">
        <w:rPr>
          <w:bCs/>
          <w:lang w:val="en-US"/>
        </w:rPr>
        <w:t>It was held by the Supreme Court that the admitted</w:t>
      </w:r>
      <w:r w:rsidR="00F23F21">
        <w:rPr>
          <w:bCs/>
          <w:lang w:val="en-US"/>
        </w:rPr>
        <w:t>ly</w:t>
      </w:r>
      <w:r w:rsidRPr="00870DFF">
        <w:rPr>
          <w:bCs/>
          <w:lang w:val="en-US"/>
        </w:rPr>
        <w:t xml:space="preserve"> “casual” negligence of the trust in its treatment of Melanie should not be assimilated to the </w:t>
      </w:r>
      <w:r w:rsidRPr="00F23F21">
        <w:rPr>
          <w:bCs/>
          <w:i/>
          <w:u w:val="single"/>
          <w:lang w:val="en-US"/>
        </w:rPr>
        <w:t>Powell</w:t>
      </w:r>
      <w:r w:rsidRPr="00870DFF">
        <w:rPr>
          <w:bCs/>
          <w:lang w:val="en-US"/>
        </w:rPr>
        <w:t xml:space="preserve"> line of cases</w:t>
      </w:r>
      <w:r w:rsidR="003F38AD">
        <w:rPr>
          <w:bCs/>
          <w:lang w:val="en-US"/>
        </w:rPr>
        <w:t xml:space="preserve"> and the operational duty arose</w:t>
      </w:r>
      <w:r w:rsidRPr="00870DFF">
        <w:rPr>
          <w:bCs/>
          <w:lang w:val="en-US"/>
        </w:rPr>
        <w:t xml:space="preserve">. It was clear that the existence of a “real and immediate risk” to life was ‘a necessary but not sufficient condition’ for the existence of </w:t>
      </w:r>
      <w:r w:rsidR="003F38AD">
        <w:rPr>
          <w:bCs/>
          <w:lang w:val="en-US"/>
        </w:rPr>
        <w:t>such a</w:t>
      </w:r>
      <w:r w:rsidRPr="00870DFF">
        <w:rPr>
          <w:bCs/>
          <w:lang w:val="en-US"/>
        </w:rPr>
        <w:t xml:space="preserve"> duty </w:t>
      </w:r>
      <w:r w:rsidR="00F23F21">
        <w:rPr>
          <w:bCs/>
          <w:lang w:val="en-US"/>
        </w:rPr>
        <w:t xml:space="preserve">under Art 2 </w:t>
      </w:r>
      <w:r w:rsidRPr="00870DFF">
        <w:rPr>
          <w:bCs/>
          <w:lang w:val="en-US"/>
        </w:rPr>
        <w:t>(after all, patients facing heart surgery face such a ri</w:t>
      </w:r>
      <w:r w:rsidR="003F38AD">
        <w:rPr>
          <w:bCs/>
          <w:lang w:val="en-US"/>
        </w:rPr>
        <w:t>sk).  However, the fact that MR</w:t>
      </w:r>
      <w:r w:rsidRPr="00870DFF">
        <w:rPr>
          <w:bCs/>
          <w:lang w:val="en-US"/>
        </w:rPr>
        <w:t xml:space="preserve"> </w:t>
      </w:r>
      <w:r w:rsidR="00F23F21">
        <w:rPr>
          <w:bCs/>
          <w:lang w:val="en-US"/>
        </w:rPr>
        <w:t>was a psychiatric patient meant</w:t>
      </w:r>
      <w:r w:rsidRPr="00870DFF">
        <w:rPr>
          <w:bCs/>
          <w:lang w:val="en-US"/>
        </w:rPr>
        <w:t xml:space="preserve"> that this case should be assimilated to the class of cases where an operational duty arises. Even tho</w:t>
      </w:r>
      <w:r w:rsidR="003F38AD">
        <w:rPr>
          <w:bCs/>
          <w:lang w:val="en-US"/>
        </w:rPr>
        <w:t>ugh MR</w:t>
      </w:r>
      <w:r w:rsidRPr="00870DFF">
        <w:rPr>
          <w:bCs/>
          <w:lang w:val="en-US"/>
        </w:rPr>
        <w:t xml:space="preserve"> had not been detained under the MHA, the state had assumed responsibility for her wellbeing </w:t>
      </w:r>
      <w:r w:rsidR="00F23F21">
        <w:rPr>
          <w:bCs/>
          <w:lang w:val="en-US"/>
        </w:rPr>
        <w:t>and she was a vulnerable person. T</w:t>
      </w:r>
      <w:r w:rsidRPr="00870DFF">
        <w:rPr>
          <w:bCs/>
          <w:lang w:val="en-US"/>
        </w:rPr>
        <w:t xml:space="preserve">here was an analogy to be drawn with the case of the child at risk of abuse in </w:t>
      </w:r>
      <w:r w:rsidRPr="00F23F21">
        <w:rPr>
          <w:bCs/>
          <w:i/>
          <w:u w:val="single"/>
          <w:lang w:val="en-US"/>
        </w:rPr>
        <w:t>Z v United Kingdom</w:t>
      </w:r>
      <w:r w:rsidRPr="00870DFF">
        <w:rPr>
          <w:bCs/>
          <w:lang w:val="en-US"/>
        </w:rPr>
        <w:t>, where the court placed emphasis on the availability of the statutory power to take the child into care and the statutory duty to protect children.   Her apparent freedom was more apparent that real:  “Although she was not a detained patient, it is clear that, if she had insisted on leaving the hospital, the authorities could and should have exercised their powers under the MHA to prevent her from doing so.”</w:t>
      </w:r>
    </w:p>
    <w:p w:rsidR="00587D19" w:rsidRPr="00870DFF" w:rsidRDefault="00587D19" w:rsidP="00587D19">
      <w:pPr>
        <w:pStyle w:val="ListParagraph"/>
        <w:ind w:left="360"/>
        <w:jc w:val="both"/>
        <w:rPr>
          <w:bCs/>
          <w:lang w:val="en-US"/>
        </w:rPr>
      </w:pPr>
    </w:p>
    <w:p w:rsidR="00587D19" w:rsidRPr="00870DFF" w:rsidRDefault="00587D19" w:rsidP="00587D19">
      <w:pPr>
        <w:pStyle w:val="ListParagraph"/>
        <w:numPr>
          <w:ilvl w:val="0"/>
          <w:numId w:val="1"/>
        </w:numPr>
        <w:jc w:val="both"/>
        <w:rPr>
          <w:bCs/>
          <w:lang w:val="en-US"/>
        </w:rPr>
      </w:pPr>
      <w:r w:rsidRPr="00870DFF">
        <w:rPr>
          <w:bCs/>
          <w:lang w:val="en-US"/>
        </w:rPr>
        <w:t xml:space="preserve">There were further observations about breach, and the nature of the ‘real and immediate test’. </w:t>
      </w:r>
    </w:p>
    <w:p w:rsidR="00587D19" w:rsidRPr="00870DFF" w:rsidRDefault="00587D19" w:rsidP="00587D19">
      <w:pPr>
        <w:pStyle w:val="ListParagraph"/>
        <w:ind w:left="360"/>
        <w:jc w:val="both"/>
        <w:rPr>
          <w:bCs/>
          <w:lang w:val="en-US"/>
        </w:rPr>
      </w:pPr>
    </w:p>
    <w:p w:rsidR="00587D19" w:rsidRPr="00870DFF" w:rsidRDefault="00587D19" w:rsidP="00587D19">
      <w:pPr>
        <w:pStyle w:val="ListParagraph"/>
        <w:numPr>
          <w:ilvl w:val="0"/>
          <w:numId w:val="1"/>
        </w:numPr>
        <w:jc w:val="both"/>
        <w:rPr>
          <w:bCs/>
          <w:lang w:val="en-US"/>
        </w:rPr>
      </w:pPr>
      <w:r w:rsidRPr="00870DFF">
        <w:rPr>
          <w:bCs/>
          <w:lang w:val="en-US"/>
        </w:rPr>
        <w:t>The Court also accepted that the parents were ‘victims’ within the meaning of s7 HRA, for the purpose of the breach of the Art. 2 substantive obligation as well as the investigative obligation.   It held that the settlement of the negligence claim did not mean that victim status had been renounced:</w:t>
      </w:r>
    </w:p>
    <w:p w:rsidR="00587D19" w:rsidRPr="00870DFF" w:rsidRDefault="00587D19" w:rsidP="00587D19">
      <w:pPr>
        <w:pStyle w:val="ListParagraph"/>
        <w:ind w:left="360"/>
        <w:jc w:val="both"/>
        <w:rPr>
          <w:bCs/>
          <w:lang w:val="en-US"/>
        </w:rPr>
      </w:pPr>
    </w:p>
    <w:p w:rsidR="00587D19" w:rsidRPr="0087722E" w:rsidRDefault="00587D19" w:rsidP="00587D19">
      <w:pPr>
        <w:autoSpaceDE w:val="0"/>
        <w:autoSpaceDN w:val="0"/>
        <w:adjustRightInd w:val="0"/>
        <w:spacing w:after="0" w:line="240" w:lineRule="auto"/>
        <w:ind w:left="720" w:right="510"/>
        <w:jc w:val="both"/>
        <w:rPr>
          <w:rFonts w:cs="Times New Roman"/>
          <w:lang w:val="en-US"/>
        </w:rPr>
      </w:pPr>
      <w:r w:rsidRPr="0087722E">
        <w:rPr>
          <w:rFonts w:cs="Times New Roman"/>
          <w:lang w:val="en-US"/>
        </w:rPr>
        <w:t>“…….if relatives settle their domestic law claims arising from a death, they will generally cease to be victims in relation to a corresponding Convention claim. The phrase “corresponding Convention claim” is mine. By this I mean that, if (i) the domestic law claim that is settled was made by the same person as seeks to make an article 2 claim and (ii) the head of loss embraced by the settlement broadly covers the same ground as the loss which is the subject of the article 2 claim, then I would expect the ECtHR to say that, by settling the former, the claimant is to be taken to have renounced any claim to the</w:t>
      </w:r>
    </w:p>
    <w:p w:rsidR="00587D19" w:rsidRDefault="00587D19" w:rsidP="00587D19">
      <w:pPr>
        <w:autoSpaceDE w:val="0"/>
        <w:autoSpaceDN w:val="0"/>
        <w:adjustRightInd w:val="0"/>
        <w:spacing w:after="0" w:line="240" w:lineRule="auto"/>
        <w:ind w:left="720" w:right="510"/>
        <w:jc w:val="both"/>
        <w:rPr>
          <w:rFonts w:ascii="Times New Roman" w:hAnsi="Times New Roman" w:cs="Times New Roman"/>
          <w:sz w:val="26"/>
          <w:szCs w:val="26"/>
          <w:lang w:val="en-US"/>
        </w:rPr>
      </w:pPr>
      <w:r w:rsidRPr="0087722E">
        <w:rPr>
          <w:rFonts w:cs="Times New Roman"/>
          <w:lang w:val="en-US"/>
        </w:rPr>
        <w:lastRenderedPageBreak/>
        <w:t>latter.</w:t>
      </w:r>
      <w:r>
        <w:rPr>
          <w:rFonts w:ascii="Times New Roman" w:hAnsi="Times New Roman" w:cs="Times New Roman"/>
          <w:sz w:val="26"/>
          <w:szCs w:val="26"/>
          <w:lang w:val="en-US"/>
        </w:rPr>
        <w:t>”</w:t>
      </w:r>
    </w:p>
    <w:p w:rsidR="00587D19" w:rsidRPr="005C1450" w:rsidRDefault="00587D19" w:rsidP="005C1450">
      <w:pPr>
        <w:pStyle w:val="ListParagraph"/>
        <w:rPr>
          <w:bCs/>
          <w:lang w:val="en-US"/>
        </w:rPr>
      </w:pPr>
    </w:p>
    <w:p w:rsidR="005C1450" w:rsidRDefault="005C1450" w:rsidP="005C1450">
      <w:pPr>
        <w:pStyle w:val="ListParagraph"/>
        <w:autoSpaceDE w:val="0"/>
        <w:autoSpaceDN w:val="0"/>
        <w:adjustRightInd w:val="0"/>
        <w:spacing w:after="0" w:line="240" w:lineRule="auto"/>
        <w:ind w:left="360"/>
        <w:jc w:val="both"/>
        <w:rPr>
          <w:bCs/>
          <w:lang w:val="en-US"/>
        </w:rPr>
      </w:pPr>
      <w:r w:rsidRPr="005C1450">
        <w:rPr>
          <w:bCs/>
          <w:u w:val="single"/>
          <w:lang w:val="en-US"/>
        </w:rPr>
        <w:t>Article 5</w:t>
      </w:r>
      <w:r>
        <w:rPr>
          <w:bCs/>
          <w:lang w:val="en-US"/>
        </w:rPr>
        <w:t xml:space="preserve">.  </w:t>
      </w:r>
    </w:p>
    <w:p w:rsidR="00F23F21" w:rsidRDefault="00F23F21" w:rsidP="005C1450">
      <w:pPr>
        <w:pStyle w:val="ListParagraph"/>
        <w:autoSpaceDE w:val="0"/>
        <w:autoSpaceDN w:val="0"/>
        <w:adjustRightInd w:val="0"/>
        <w:spacing w:after="0" w:line="240" w:lineRule="auto"/>
        <w:ind w:left="360"/>
        <w:jc w:val="both"/>
        <w:rPr>
          <w:bCs/>
          <w:lang w:val="en-US"/>
        </w:rPr>
      </w:pPr>
    </w:p>
    <w:p w:rsidR="005C1450" w:rsidRDefault="005C1450" w:rsidP="009928F8">
      <w:pPr>
        <w:pStyle w:val="ListParagraph"/>
        <w:numPr>
          <w:ilvl w:val="0"/>
          <w:numId w:val="1"/>
        </w:numPr>
        <w:jc w:val="both"/>
        <w:rPr>
          <w:bCs/>
          <w:lang w:val="en-US"/>
        </w:rPr>
      </w:pPr>
      <w:r>
        <w:rPr>
          <w:bCs/>
          <w:lang w:val="en-US"/>
        </w:rPr>
        <w:t>The policing of the Royal Wedding recently (</w:t>
      </w:r>
      <w:r w:rsidR="009928F8">
        <w:rPr>
          <w:bCs/>
          <w:lang w:val="en-US"/>
        </w:rPr>
        <w:t>18 July</w:t>
      </w:r>
      <w:r>
        <w:rPr>
          <w:bCs/>
          <w:lang w:val="en-US"/>
        </w:rPr>
        <w:t xml:space="preserve">) gave rise to </w:t>
      </w:r>
      <w:r w:rsidR="009928F8">
        <w:rPr>
          <w:bCs/>
          <w:lang w:val="en-US"/>
        </w:rPr>
        <w:t xml:space="preserve">the delivery of </w:t>
      </w:r>
      <w:r>
        <w:rPr>
          <w:bCs/>
          <w:lang w:val="en-US"/>
        </w:rPr>
        <w:t xml:space="preserve">a mammoth judgment from the Divisional Court, </w:t>
      </w:r>
      <w:r w:rsidR="009928F8">
        <w:rPr>
          <w:bCs/>
          <w:lang w:val="en-US"/>
        </w:rPr>
        <w:t xml:space="preserve">in </w:t>
      </w:r>
      <w:r w:rsidR="009928F8" w:rsidRPr="009928F8">
        <w:rPr>
          <w:bCs/>
          <w:i/>
          <w:u w:val="single"/>
          <w:lang w:val="en-US"/>
        </w:rPr>
        <w:t>R(Brian Hicks and Ors) v Commissioner of Police of the Metropolis</w:t>
      </w:r>
      <w:r w:rsidR="009928F8">
        <w:rPr>
          <w:bCs/>
          <w:lang w:val="en-US"/>
        </w:rPr>
        <w:t xml:space="preserve"> [2012] EWHC 1947 (Admin).  There were four separate claims before the Court</w:t>
      </w:r>
      <w:r w:rsidR="009A4B6A">
        <w:rPr>
          <w:bCs/>
          <w:lang w:val="en-US"/>
        </w:rPr>
        <w:t xml:space="preserve"> (Richards LJ, Openshaw J)</w:t>
      </w:r>
      <w:r w:rsidR="009928F8">
        <w:rPr>
          <w:bCs/>
          <w:lang w:val="en-US"/>
        </w:rPr>
        <w:t xml:space="preserve">, each bringing challenges to the lawfulness of </w:t>
      </w:r>
      <w:r w:rsidR="009A4B6A">
        <w:rPr>
          <w:bCs/>
          <w:lang w:val="en-US"/>
        </w:rPr>
        <w:t xml:space="preserve">various </w:t>
      </w:r>
      <w:r w:rsidR="009928F8">
        <w:rPr>
          <w:bCs/>
          <w:lang w:val="en-US"/>
        </w:rPr>
        <w:t xml:space="preserve">police actions:  stop and searches, arrests, or the obtaining of a search warrant, in connection with the marriage.  The account of the police’s policies and precautions against violence, and their actions as set out in the judgment, offer a fascinating insight into aspects of that day that I cannot remember being covered on the news at all.  </w:t>
      </w:r>
      <w:r w:rsidR="003F38AD">
        <w:rPr>
          <w:bCs/>
          <w:lang w:val="en-US"/>
        </w:rPr>
        <w:t xml:space="preserve">Which of us have </w:t>
      </w:r>
      <w:r w:rsidR="009928F8">
        <w:rPr>
          <w:bCs/>
          <w:lang w:val="en-US"/>
        </w:rPr>
        <w:t>heard of the</w:t>
      </w:r>
      <w:r w:rsidR="009A4B6A">
        <w:rPr>
          <w:bCs/>
          <w:lang w:val="en-US"/>
        </w:rPr>
        <w:t xml:space="preserve"> ‘zombie fancy dress’ picnic, some of whose participants</w:t>
      </w:r>
      <w:r w:rsidR="009928F8">
        <w:rPr>
          <w:bCs/>
          <w:lang w:val="en-US"/>
        </w:rPr>
        <w:t xml:space="preserve"> (it was said) intended to throw maggots as confetti at the royal wedding procession (“Wedding Breakfast, with Fortnum and Mason’s maggot relish!”). </w:t>
      </w:r>
    </w:p>
    <w:p w:rsidR="009928F8" w:rsidRDefault="009928F8" w:rsidP="009928F8">
      <w:pPr>
        <w:pStyle w:val="ListParagraph"/>
        <w:ind w:left="360"/>
        <w:jc w:val="both"/>
        <w:rPr>
          <w:bCs/>
          <w:lang w:val="en-US"/>
        </w:rPr>
      </w:pPr>
    </w:p>
    <w:p w:rsidR="009928F8" w:rsidRDefault="009928F8" w:rsidP="009928F8">
      <w:pPr>
        <w:pStyle w:val="ListParagraph"/>
        <w:numPr>
          <w:ilvl w:val="0"/>
          <w:numId w:val="1"/>
        </w:numPr>
        <w:jc w:val="both"/>
        <w:rPr>
          <w:bCs/>
          <w:lang w:val="en-US"/>
        </w:rPr>
      </w:pPr>
      <w:r>
        <w:rPr>
          <w:bCs/>
          <w:lang w:val="en-US"/>
        </w:rPr>
        <w:t>I hope I am not doing an injustice to the scale and complexity of these cases, and the care with which they were evidently pursued</w:t>
      </w:r>
      <w:r w:rsidR="003F38AD">
        <w:rPr>
          <w:bCs/>
          <w:lang w:val="en-US"/>
        </w:rPr>
        <w:t xml:space="preserve"> and defended</w:t>
      </w:r>
      <w:r>
        <w:rPr>
          <w:bCs/>
          <w:lang w:val="en-US"/>
        </w:rPr>
        <w:t xml:space="preserve">, if I comment that the most obvious </w:t>
      </w:r>
      <w:r w:rsidR="00D95060">
        <w:rPr>
          <w:bCs/>
          <w:lang w:val="en-US"/>
        </w:rPr>
        <w:t xml:space="preserve">issues of principle raised </w:t>
      </w:r>
      <w:r>
        <w:rPr>
          <w:bCs/>
          <w:lang w:val="en-US"/>
        </w:rPr>
        <w:t>in connection with the claim</w:t>
      </w:r>
      <w:r w:rsidR="003F38AD">
        <w:rPr>
          <w:bCs/>
          <w:lang w:val="en-US"/>
        </w:rPr>
        <w:t>s</w:t>
      </w:r>
      <w:r>
        <w:rPr>
          <w:bCs/>
          <w:lang w:val="en-US"/>
        </w:rPr>
        <w:t xml:space="preserve"> were:</w:t>
      </w:r>
    </w:p>
    <w:p w:rsidR="009928F8" w:rsidRPr="009928F8" w:rsidRDefault="009928F8" w:rsidP="009928F8">
      <w:pPr>
        <w:pStyle w:val="ListParagraph"/>
        <w:rPr>
          <w:bCs/>
          <w:lang w:val="en-US"/>
        </w:rPr>
      </w:pPr>
    </w:p>
    <w:p w:rsidR="009A4B6A" w:rsidRDefault="009928F8" w:rsidP="009A4B6A">
      <w:pPr>
        <w:pStyle w:val="ListParagraph"/>
        <w:numPr>
          <w:ilvl w:val="1"/>
          <w:numId w:val="1"/>
        </w:numPr>
        <w:jc w:val="both"/>
        <w:rPr>
          <w:bCs/>
          <w:lang w:val="en-US"/>
        </w:rPr>
      </w:pPr>
      <w:r w:rsidRPr="009A4B6A">
        <w:rPr>
          <w:bCs/>
          <w:u w:val="single"/>
          <w:lang w:val="en-US"/>
        </w:rPr>
        <w:t>The ambit of Articles 10 and 11 (freedom of assembly), in the context of threatened violence</w:t>
      </w:r>
      <w:r>
        <w:rPr>
          <w:bCs/>
          <w:lang w:val="en-US"/>
        </w:rPr>
        <w:t xml:space="preserve">.  Paragraphs 122 </w:t>
      </w:r>
      <w:r w:rsidR="009A4B6A">
        <w:rPr>
          <w:bCs/>
          <w:lang w:val="en-US"/>
        </w:rPr>
        <w:t>–</w:t>
      </w:r>
      <w:r>
        <w:rPr>
          <w:bCs/>
          <w:lang w:val="en-US"/>
        </w:rPr>
        <w:t xml:space="preserve"> </w:t>
      </w:r>
      <w:r w:rsidR="009A4B6A">
        <w:rPr>
          <w:bCs/>
          <w:lang w:val="en-US"/>
        </w:rPr>
        <w:t xml:space="preserve">127 of the judgment analyses the Strasbourg authorities and holds that the State’s obligation to allow and indeed enable demonstrations, etc, does not require the State to ignore the risk that demonstrators may themselves provoke violence, as a response to their actions.    “The likelihood that protest may lead to violence against the protestors themselves can be an entirely legitimate ground for police intervention </w:t>
      </w:r>
      <w:r w:rsidR="009A4B6A" w:rsidRPr="009A4B6A">
        <w:rPr>
          <w:bCs/>
          <w:i/>
          <w:lang w:val="en-US"/>
        </w:rPr>
        <w:t>against the protestors</w:t>
      </w:r>
      <w:r w:rsidR="009A4B6A">
        <w:rPr>
          <w:bCs/>
          <w:lang w:val="en-US"/>
        </w:rPr>
        <w:t xml:space="preserve"> under the domestic law of breach of the peace … and which .., is capable of operating compatibly with the Convention.” (paragraph 123, emphasis added). </w:t>
      </w:r>
    </w:p>
    <w:p w:rsidR="009A4B6A" w:rsidRPr="009A4B6A" w:rsidRDefault="009A4B6A" w:rsidP="009A4B6A">
      <w:pPr>
        <w:pStyle w:val="ListParagraph"/>
        <w:ind w:left="1080"/>
        <w:jc w:val="both"/>
        <w:rPr>
          <w:bCs/>
          <w:lang w:val="en-US"/>
        </w:rPr>
      </w:pPr>
    </w:p>
    <w:p w:rsidR="009A4B6A" w:rsidRDefault="009A4B6A" w:rsidP="009928F8">
      <w:pPr>
        <w:pStyle w:val="ListParagraph"/>
        <w:numPr>
          <w:ilvl w:val="1"/>
          <w:numId w:val="1"/>
        </w:numPr>
        <w:jc w:val="both"/>
        <w:rPr>
          <w:bCs/>
          <w:lang w:val="en-US"/>
        </w:rPr>
      </w:pPr>
      <w:r w:rsidRPr="009A4B6A">
        <w:rPr>
          <w:bCs/>
          <w:u w:val="single"/>
          <w:lang w:val="en-US"/>
        </w:rPr>
        <w:t>The meaning of Article 5(1)(c)</w:t>
      </w:r>
      <w:r>
        <w:rPr>
          <w:bCs/>
          <w:lang w:val="en-US"/>
        </w:rPr>
        <w:t xml:space="preserve"> (“the lawful arrest or detention of a person effected for the purpose of bringing him before the competent legal authority on reasonable suspicion of having committed an offence or when it is reasonably considered necessary to prevent his committing an offence  …”).   The issue arose because various Claimant</w:t>
      </w:r>
      <w:r w:rsidR="003F38AD">
        <w:rPr>
          <w:bCs/>
          <w:lang w:val="en-US"/>
        </w:rPr>
        <w:t>s</w:t>
      </w:r>
      <w:r>
        <w:rPr>
          <w:bCs/>
          <w:lang w:val="en-US"/>
        </w:rPr>
        <w:t xml:space="preserve">  had been arrested, detained until the wedding (or</w:t>
      </w:r>
      <w:r w:rsidR="003F38AD">
        <w:rPr>
          <w:bCs/>
          <w:lang w:val="en-US"/>
        </w:rPr>
        <w:t xml:space="preserve"> ‘</w:t>
      </w:r>
      <w:r>
        <w:rPr>
          <w:bCs/>
          <w:lang w:val="en-US"/>
        </w:rPr>
        <w:t>the kis</w:t>
      </w:r>
      <w:r w:rsidR="006A5DD4">
        <w:rPr>
          <w:bCs/>
          <w:lang w:val="en-US"/>
        </w:rPr>
        <w:t>s on the balcony</w:t>
      </w:r>
      <w:r w:rsidR="003F38AD">
        <w:rPr>
          <w:bCs/>
          <w:lang w:val="en-US"/>
        </w:rPr>
        <w:t>’</w:t>
      </w:r>
      <w:r w:rsidR="006A5DD4">
        <w:rPr>
          <w:bCs/>
          <w:lang w:val="en-US"/>
        </w:rPr>
        <w:t xml:space="preserve">) was over, but not charged or brought before a court.  So the issue was whether the opening words (“effected for the purpose of bringing him before the competent legal authority”) qualified only the phrase which followed immediately after it, or </w:t>
      </w:r>
      <w:r w:rsidR="006A5DD4" w:rsidRPr="006A5DD4">
        <w:rPr>
          <w:bCs/>
          <w:i/>
          <w:lang w:val="en-US"/>
        </w:rPr>
        <w:t>also</w:t>
      </w:r>
      <w:r w:rsidR="006A5DD4">
        <w:rPr>
          <w:bCs/>
          <w:lang w:val="en-US"/>
        </w:rPr>
        <w:t xml:space="preserve"> the words “when it is reasonably considered necessary to prevent his committing an offence”.    It was held, following the admissibility decision of  </w:t>
      </w:r>
      <w:r w:rsidR="006A5DD4" w:rsidRPr="006A5DD4">
        <w:rPr>
          <w:bCs/>
          <w:i/>
          <w:u w:val="single"/>
          <w:lang w:val="en-US"/>
        </w:rPr>
        <w:t xml:space="preserve">Nicol and Selvanayagam v UK </w:t>
      </w:r>
      <w:r w:rsidR="006A5DD4">
        <w:rPr>
          <w:bCs/>
          <w:lang w:val="en-US"/>
        </w:rPr>
        <w:t xml:space="preserve">(App. 32212/96) that the two limbs were distinct ones. </w:t>
      </w:r>
    </w:p>
    <w:p w:rsidR="006A5DD4" w:rsidRPr="006A5DD4" w:rsidRDefault="006A5DD4" w:rsidP="006A5DD4">
      <w:pPr>
        <w:pStyle w:val="ListParagraph"/>
        <w:rPr>
          <w:bCs/>
          <w:lang w:val="en-US"/>
        </w:rPr>
      </w:pPr>
    </w:p>
    <w:p w:rsidR="006A5DD4" w:rsidRDefault="006A5DD4" w:rsidP="009928F8">
      <w:pPr>
        <w:pStyle w:val="ListParagraph"/>
        <w:numPr>
          <w:ilvl w:val="1"/>
          <w:numId w:val="1"/>
        </w:numPr>
        <w:jc w:val="both"/>
        <w:rPr>
          <w:bCs/>
          <w:lang w:val="en-US"/>
        </w:rPr>
      </w:pPr>
      <w:r w:rsidRPr="006A5DD4">
        <w:rPr>
          <w:bCs/>
          <w:u w:val="single"/>
          <w:lang w:val="en-US"/>
        </w:rPr>
        <w:t>The current status of decisions to retain DNA, fingerprints and photographs following release from detention without charge</w:t>
      </w:r>
      <w:r>
        <w:rPr>
          <w:bCs/>
          <w:lang w:val="en-US"/>
        </w:rPr>
        <w:t xml:space="preserve">.   The Court noted that in </w:t>
      </w:r>
      <w:r w:rsidRPr="006A5DD4">
        <w:rPr>
          <w:bCs/>
          <w:i/>
          <w:u w:val="single"/>
          <w:lang w:val="en-US"/>
        </w:rPr>
        <w:t xml:space="preserve">R(GC) v Commissioner of </w:t>
      </w:r>
      <w:r w:rsidRPr="006A5DD4">
        <w:rPr>
          <w:bCs/>
          <w:i/>
          <w:u w:val="single"/>
          <w:lang w:val="en-US"/>
        </w:rPr>
        <w:lastRenderedPageBreak/>
        <w:t>Police of the Metropolis</w:t>
      </w:r>
      <w:r>
        <w:rPr>
          <w:bCs/>
          <w:lang w:val="en-US"/>
        </w:rPr>
        <w:t xml:space="preserve"> [2011] UKSC 21, the SC had held that the indefinite retention of </w:t>
      </w:r>
      <w:r w:rsidR="00DE345E">
        <w:rPr>
          <w:bCs/>
          <w:lang w:val="en-US"/>
        </w:rPr>
        <w:t xml:space="preserve">DNA and fingerprints </w:t>
      </w:r>
      <w:r>
        <w:rPr>
          <w:bCs/>
          <w:lang w:val="en-US"/>
        </w:rPr>
        <w:t xml:space="preserve">pursuant to s64 PACE and ACPO guidelines was unlawful, being a breach of Article 8.  The </w:t>
      </w:r>
      <w:r w:rsidR="00DE345E">
        <w:rPr>
          <w:bCs/>
          <w:lang w:val="en-US"/>
        </w:rPr>
        <w:t xml:space="preserve">Supreme </w:t>
      </w:r>
      <w:r>
        <w:rPr>
          <w:bCs/>
          <w:lang w:val="en-US"/>
        </w:rPr>
        <w:t xml:space="preserve">Court had granted a declaration only (rather than quashing the decision to retain) so as to allow Parliament time to rectify the situation.   This had led to the passage of provisions in the Protection of Freedom Act 2012, but </w:t>
      </w:r>
      <w:r w:rsidR="00DE345E">
        <w:rPr>
          <w:bCs/>
          <w:lang w:val="en-US"/>
        </w:rPr>
        <w:t>these</w:t>
      </w:r>
      <w:r>
        <w:rPr>
          <w:bCs/>
          <w:lang w:val="en-US"/>
        </w:rPr>
        <w:t xml:space="preserve"> were not yet in force.  The Claimant M argued that enough time had passed for effective rectification</w:t>
      </w:r>
      <w:r w:rsidR="00DE345E">
        <w:rPr>
          <w:bCs/>
          <w:lang w:val="en-US"/>
        </w:rPr>
        <w:t xml:space="preserve">.  The same considerations applied to photographs:  see </w:t>
      </w:r>
      <w:r w:rsidR="00DE345E" w:rsidRPr="00DE345E">
        <w:rPr>
          <w:bCs/>
          <w:i/>
          <w:u w:val="single"/>
          <w:lang w:val="en-US"/>
        </w:rPr>
        <w:t>R(RMC and FJ) v Commissioner of Police of the Metropolis</w:t>
      </w:r>
      <w:r w:rsidR="00DE345E">
        <w:rPr>
          <w:bCs/>
          <w:lang w:val="en-US"/>
        </w:rPr>
        <w:t xml:space="preserve"> [2012] EWHC 1681, where on 22 June 2012 the Divisional Court applied the logic of </w:t>
      </w:r>
      <w:r w:rsidR="00DE345E" w:rsidRPr="00DE345E">
        <w:rPr>
          <w:bCs/>
          <w:i/>
          <w:u w:val="single"/>
          <w:lang w:val="en-US"/>
        </w:rPr>
        <w:t>GC</w:t>
      </w:r>
      <w:r w:rsidR="00DE345E">
        <w:rPr>
          <w:bCs/>
          <w:lang w:val="en-US"/>
        </w:rPr>
        <w:t xml:space="preserve"> to the retention of photographs.  However, the Court followed RMC in continuing to allow further time to the State to introduce solutions; declarations rather than quashing orders were granted.</w:t>
      </w:r>
    </w:p>
    <w:p w:rsidR="003F38AD" w:rsidRPr="003F38AD" w:rsidRDefault="003F38AD" w:rsidP="003F38AD">
      <w:pPr>
        <w:pStyle w:val="ListParagraph"/>
        <w:rPr>
          <w:bCs/>
          <w:lang w:val="en-US"/>
        </w:rPr>
      </w:pPr>
    </w:p>
    <w:p w:rsidR="003F38AD" w:rsidRDefault="003F38AD" w:rsidP="003F38AD">
      <w:pPr>
        <w:pStyle w:val="ListParagraph"/>
        <w:numPr>
          <w:ilvl w:val="0"/>
          <w:numId w:val="1"/>
        </w:numPr>
        <w:jc w:val="both"/>
        <w:rPr>
          <w:bCs/>
          <w:lang w:val="en-US"/>
        </w:rPr>
      </w:pPr>
      <w:r>
        <w:rPr>
          <w:bCs/>
          <w:lang w:val="en-US"/>
        </w:rPr>
        <w:t xml:space="preserve">The overall outcome of the case was that the many claims were all dismissed. </w:t>
      </w:r>
    </w:p>
    <w:p w:rsidR="00D632E4" w:rsidRPr="00D632E4" w:rsidRDefault="00D632E4" w:rsidP="00D632E4">
      <w:pPr>
        <w:pStyle w:val="ListParagraph"/>
        <w:rPr>
          <w:bCs/>
          <w:lang w:val="en-US"/>
        </w:rPr>
      </w:pPr>
    </w:p>
    <w:p w:rsidR="00CB3C36" w:rsidRDefault="00CB3C36" w:rsidP="005A7060">
      <w:pPr>
        <w:pStyle w:val="ListParagraph"/>
        <w:autoSpaceDE w:val="0"/>
        <w:autoSpaceDN w:val="0"/>
        <w:adjustRightInd w:val="0"/>
        <w:spacing w:after="0" w:line="240" w:lineRule="auto"/>
        <w:ind w:left="360"/>
        <w:jc w:val="both"/>
        <w:rPr>
          <w:bCs/>
          <w:lang w:val="en-US"/>
        </w:rPr>
      </w:pPr>
      <w:r w:rsidRPr="005A7060">
        <w:rPr>
          <w:bCs/>
          <w:u w:val="single"/>
          <w:lang w:val="en-US"/>
        </w:rPr>
        <w:t>Article 6</w:t>
      </w:r>
      <w:r>
        <w:rPr>
          <w:bCs/>
          <w:lang w:val="en-US"/>
        </w:rPr>
        <w:t xml:space="preserve">.  </w:t>
      </w:r>
    </w:p>
    <w:p w:rsidR="00CB3C36" w:rsidRPr="00CB3C36" w:rsidRDefault="00CB3C36" w:rsidP="00CB3C36">
      <w:pPr>
        <w:pStyle w:val="ListParagraph"/>
        <w:rPr>
          <w:bCs/>
          <w:lang w:val="en-US"/>
        </w:rPr>
      </w:pPr>
    </w:p>
    <w:p w:rsidR="00860785" w:rsidRPr="003F38AD" w:rsidRDefault="00CB3C36" w:rsidP="003F38AD">
      <w:pPr>
        <w:pStyle w:val="ListParagraph"/>
        <w:numPr>
          <w:ilvl w:val="0"/>
          <w:numId w:val="1"/>
        </w:numPr>
        <w:jc w:val="both"/>
        <w:rPr>
          <w:bCs/>
          <w:lang w:val="en-US"/>
        </w:rPr>
      </w:pPr>
      <w:r>
        <w:rPr>
          <w:bCs/>
          <w:lang w:val="en-US"/>
        </w:rPr>
        <w:t xml:space="preserve">Article 6 was the subject of the important judgment in </w:t>
      </w:r>
      <w:r w:rsidRPr="00860785">
        <w:rPr>
          <w:bCs/>
          <w:i/>
          <w:u w:val="single"/>
          <w:lang w:val="en-US"/>
        </w:rPr>
        <w:t>R (King and Others) v Secretary of State for Justice</w:t>
      </w:r>
      <w:r>
        <w:rPr>
          <w:bCs/>
          <w:lang w:val="en-US"/>
        </w:rPr>
        <w:t xml:space="preserve"> [2012] EWCA Civ 376, handed down by the CA on 27 March 2012.  The case concerned a challenge to the procedures used to determine whether or not prisoners (both YOIs and adult offenders) were required to spend periods in segregation.  The allegation was that the removal of associatio</w:t>
      </w:r>
      <w:r w:rsidR="00A84B1D">
        <w:rPr>
          <w:bCs/>
          <w:lang w:val="en-US"/>
        </w:rPr>
        <w:t>n amounted to an interference with</w:t>
      </w:r>
      <w:r>
        <w:rPr>
          <w:bCs/>
          <w:lang w:val="en-US"/>
        </w:rPr>
        <w:t xml:space="preserve"> a ‘civil right’ within the meaning of Article 6, ECHR, and so should attract the procedural protection of that Article. </w:t>
      </w:r>
      <w:r w:rsidR="00F23F21">
        <w:rPr>
          <w:bCs/>
          <w:lang w:val="en-US"/>
        </w:rPr>
        <w:t>It was said that t</w:t>
      </w:r>
      <w:r>
        <w:rPr>
          <w:bCs/>
          <w:lang w:val="en-US"/>
        </w:rPr>
        <w:t>he procedures for loss o</w:t>
      </w:r>
      <w:r w:rsidR="00F23F21">
        <w:rPr>
          <w:bCs/>
          <w:lang w:val="en-US"/>
        </w:rPr>
        <w:t>f segregation should be assimil</w:t>
      </w:r>
      <w:r>
        <w:rPr>
          <w:bCs/>
          <w:lang w:val="en-US"/>
        </w:rPr>
        <w:t xml:space="preserve">ated with those governing the award of extra days which (since </w:t>
      </w:r>
      <w:r w:rsidRPr="003F38AD">
        <w:rPr>
          <w:bCs/>
          <w:lang w:val="en-US"/>
        </w:rPr>
        <w:t xml:space="preserve">the ECtHR judgment in </w:t>
      </w:r>
      <w:r w:rsidR="003F38AD" w:rsidRPr="001272D1">
        <w:rPr>
          <w:bCs/>
          <w:i/>
          <w:u w:val="single"/>
          <w:lang w:val="en-US"/>
        </w:rPr>
        <w:t>Ez</w:t>
      </w:r>
      <w:r w:rsidR="001272D1" w:rsidRPr="001272D1">
        <w:rPr>
          <w:bCs/>
          <w:i/>
          <w:u w:val="single"/>
          <w:lang w:val="en-US"/>
        </w:rPr>
        <w:t>e</w:t>
      </w:r>
      <w:r w:rsidR="003F38AD" w:rsidRPr="001272D1">
        <w:rPr>
          <w:bCs/>
          <w:i/>
          <w:u w:val="single"/>
          <w:lang w:val="en-US"/>
        </w:rPr>
        <w:t>h and Connors v United Kingdom</w:t>
      </w:r>
      <w:r w:rsidRPr="003F38AD">
        <w:rPr>
          <w:bCs/>
          <w:lang w:val="en-US"/>
        </w:rPr>
        <w:t>) have involved the use of an independent adjudicator, usually a district judge, to determine the sanction.</w:t>
      </w:r>
    </w:p>
    <w:p w:rsidR="00860785" w:rsidRPr="00860785" w:rsidRDefault="00860785" w:rsidP="00860785">
      <w:pPr>
        <w:pStyle w:val="ListParagraph"/>
        <w:ind w:left="360"/>
        <w:jc w:val="both"/>
        <w:rPr>
          <w:bCs/>
          <w:lang w:val="en-US"/>
        </w:rPr>
      </w:pPr>
    </w:p>
    <w:p w:rsidR="00860785" w:rsidRPr="00F23F21" w:rsidRDefault="00CB3C36" w:rsidP="00F23F21">
      <w:pPr>
        <w:pStyle w:val="ListParagraph"/>
        <w:numPr>
          <w:ilvl w:val="0"/>
          <w:numId w:val="1"/>
        </w:numPr>
        <w:jc w:val="both"/>
        <w:rPr>
          <w:bCs/>
          <w:lang w:val="en-US"/>
        </w:rPr>
      </w:pPr>
      <w:r w:rsidRPr="00860785">
        <w:rPr>
          <w:bCs/>
          <w:lang w:val="en-US"/>
        </w:rPr>
        <w:t>Maurice Kay LJ, with whom</w:t>
      </w:r>
      <w:r w:rsidR="00860785" w:rsidRPr="00860785">
        <w:rPr>
          <w:bCs/>
          <w:lang w:val="en-US"/>
        </w:rPr>
        <w:t xml:space="preserve"> Lloyd LJ</w:t>
      </w:r>
      <w:r w:rsidRPr="00860785">
        <w:rPr>
          <w:bCs/>
          <w:lang w:val="en-US"/>
        </w:rPr>
        <w:t xml:space="preserve"> agreed, held that an entitlement to association with fellow prisoners was not to be recognized as a ‘civil right’ within the meaning of Article 6.  It was acknowledged that the Prison and YOI rules did contemplate that such association would be enjoyed </w:t>
      </w:r>
      <w:r w:rsidR="00860785" w:rsidRPr="00860785">
        <w:rPr>
          <w:bCs/>
          <w:lang w:val="en-US"/>
        </w:rPr>
        <w:t xml:space="preserve">as a ‘normal’ privilege </w:t>
      </w:r>
      <w:r w:rsidRPr="00860785">
        <w:rPr>
          <w:bCs/>
          <w:lang w:val="en-US"/>
        </w:rPr>
        <w:t>(subject to</w:t>
      </w:r>
      <w:r w:rsidR="00860785" w:rsidRPr="00860785">
        <w:rPr>
          <w:bCs/>
          <w:lang w:val="en-US"/>
        </w:rPr>
        <w:t xml:space="preserve"> the decisions of the Governor in accordance with the </w:t>
      </w:r>
      <w:r w:rsidR="00A84B1D">
        <w:rPr>
          <w:bCs/>
          <w:lang w:val="en-US"/>
        </w:rPr>
        <w:t>R</w:t>
      </w:r>
      <w:r w:rsidR="00860785" w:rsidRPr="00860785">
        <w:rPr>
          <w:bCs/>
          <w:lang w:val="en-US"/>
        </w:rPr>
        <w:t>ules</w:t>
      </w:r>
      <w:r w:rsidRPr="00860785">
        <w:rPr>
          <w:bCs/>
          <w:lang w:val="en-US"/>
        </w:rPr>
        <w:t>).  But the ECtHR caselaw did not go so far as to</w:t>
      </w:r>
      <w:r w:rsidR="00860785" w:rsidRPr="00860785">
        <w:rPr>
          <w:bCs/>
          <w:lang w:val="en-US"/>
        </w:rPr>
        <w:t xml:space="preserve"> recognize a </w:t>
      </w:r>
      <w:r w:rsidR="00F23F21">
        <w:rPr>
          <w:bCs/>
          <w:lang w:val="en-US"/>
        </w:rPr>
        <w:t>‘</w:t>
      </w:r>
      <w:r w:rsidR="00860785" w:rsidRPr="00860785">
        <w:rPr>
          <w:bCs/>
          <w:lang w:val="en-US"/>
        </w:rPr>
        <w:t>civil right</w:t>
      </w:r>
      <w:r w:rsidR="00F23F21">
        <w:rPr>
          <w:bCs/>
          <w:lang w:val="en-US"/>
        </w:rPr>
        <w:t>’</w:t>
      </w:r>
      <w:r w:rsidR="00860785" w:rsidRPr="00860785">
        <w:rPr>
          <w:bCs/>
          <w:lang w:val="en-US"/>
        </w:rPr>
        <w:t xml:space="preserve"> of associati</w:t>
      </w:r>
      <w:r w:rsidR="001272D1">
        <w:rPr>
          <w:bCs/>
          <w:lang w:val="en-US"/>
        </w:rPr>
        <w:t xml:space="preserve">on within prison, classifying decisions upon such issues as “administrative”. </w:t>
      </w:r>
      <w:r w:rsidR="00F23F21">
        <w:rPr>
          <w:bCs/>
          <w:lang w:val="en-US"/>
        </w:rPr>
        <w:t>Maurice Kay LJ</w:t>
      </w:r>
      <w:r w:rsidR="00860785" w:rsidRPr="00F23F21">
        <w:rPr>
          <w:bCs/>
          <w:lang w:val="en-US"/>
        </w:rPr>
        <w:t xml:space="preserve"> </w:t>
      </w:r>
      <w:r w:rsidR="001272D1">
        <w:rPr>
          <w:bCs/>
          <w:lang w:val="en-US"/>
        </w:rPr>
        <w:t xml:space="preserve">agreed.  </w:t>
      </w:r>
      <w:r w:rsidR="00A84B1D" w:rsidRPr="00F23F21">
        <w:rPr>
          <w:bCs/>
          <w:lang w:val="en-US"/>
        </w:rPr>
        <w:t>He noted [paragraph 44] the impossibility of adopting a procedure which required access to an outside, independent adjudicator when dealing w</w:t>
      </w:r>
      <w:r w:rsidR="00F23F21">
        <w:rPr>
          <w:bCs/>
          <w:lang w:val="en-US"/>
        </w:rPr>
        <w:t>ith urgent issues of discipline.  When Governors made decisions about segregation or discipline:-</w:t>
      </w:r>
    </w:p>
    <w:p w:rsidR="00A84B1D" w:rsidRPr="00A84B1D" w:rsidRDefault="00A84B1D" w:rsidP="00A84B1D">
      <w:pPr>
        <w:pStyle w:val="ListParagraph"/>
        <w:rPr>
          <w:bCs/>
          <w:lang w:val="en-US"/>
        </w:rPr>
      </w:pPr>
    </w:p>
    <w:p w:rsidR="00A84B1D" w:rsidRPr="00860785" w:rsidRDefault="00A84B1D" w:rsidP="00A84B1D">
      <w:pPr>
        <w:pStyle w:val="ListParagraph"/>
        <w:ind w:right="510"/>
        <w:jc w:val="both"/>
        <w:rPr>
          <w:bCs/>
          <w:lang w:val="en-US"/>
        </w:rPr>
      </w:pPr>
      <w:r>
        <w:rPr>
          <w:bCs/>
          <w:lang w:val="en-US"/>
        </w:rPr>
        <w:t>“</w:t>
      </w:r>
      <w:r w:rsidRPr="00A84B1D">
        <w:rPr>
          <w:bCs/>
          <w:lang w:val="en-US"/>
        </w:rPr>
        <w:t>They do so not just in a binary mode as between themselves and an individual prisoner. They are acting in the interests of the security of the institution as a whole. Sometimes they may have to make a decision which has an immediate restricting effect on the whole or a large part of the institution – for example, the immediate “lockdown” of an entire wing on receipt of apparently credible information about a planned breakout. Such urgent matters are not susceptible to a judicialisation of the decision-making process.</w:t>
      </w:r>
      <w:r>
        <w:rPr>
          <w:bCs/>
          <w:lang w:val="en-US"/>
        </w:rPr>
        <w:t>”</w:t>
      </w:r>
    </w:p>
    <w:p w:rsidR="00860785" w:rsidRPr="00860785" w:rsidRDefault="00860785" w:rsidP="00860785">
      <w:pPr>
        <w:pStyle w:val="ListParagraph"/>
        <w:ind w:left="360"/>
        <w:jc w:val="both"/>
        <w:rPr>
          <w:bCs/>
          <w:lang w:val="en-US"/>
        </w:rPr>
      </w:pPr>
    </w:p>
    <w:p w:rsidR="001272D1" w:rsidRPr="001272D1" w:rsidRDefault="00860785" w:rsidP="001272D1">
      <w:pPr>
        <w:pStyle w:val="ListParagraph"/>
        <w:numPr>
          <w:ilvl w:val="0"/>
          <w:numId w:val="1"/>
        </w:numPr>
        <w:jc w:val="both"/>
        <w:rPr>
          <w:bCs/>
        </w:rPr>
      </w:pPr>
      <w:r>
        <w:rPr>
          <w:bCs/>
          <w:lang w:val="en-US"/>
        </w:rPr>
        <w:t>Maurice Kay LJ</w:t>
      </w:r>
      <w:r w:rsidR="00CB3C36">
        <w:rPr>
          <w:bCs/>
          <w:lang w:val="en-US"/>
        </w:rPr>
        <w:t xml:space="preserve"> also rejected an alternative formulation of the argument, which was that since the removal of association – at least over a protracted period of time, as was the case in 2 of the 3 cases before the Court – engaged Article 8, that alone meant that Article 6 governed the resolution of the dispute. </w:t>
      </w:r>
      <w:r w:rsidR="001272D1">
        <w:rPr>
          <w:bCs/>
          <w:lang w:val="en-US"/>
        </w:rPr>
        <w:t xml:space="preserve">  </w:t>
      </w:r>
      <w:hyperlink r:id="rId8" w:history="1">
        <w:r w:rsidR="001272D1" w:rsidRPr="001272D1">
          <w:rPr>
            <w:rStyle w:val="Hyperlink"/>
            <w:bCs/>
            <w:i/>
            <w:color w:val="auto"/>
          </w:rPr>
          <w:t>RB (Algeria) v Home Secretary [2010] 2 AC 110</w:t>
        </w:r>
      </w:hyperlink>
      <w:r w:rsidR="001272D1">
        <w:rPr>
          <w:bCs/>
          <w:i/>
          <w:lang w:val="en-US"/>
        </w:rPr>
        <w:t xml:space="preserve"> </w:t>
      </w:r>
      <w:r w:rsidR="001272D1">
        <w:rPr>
          <w:bCs/>
          <w:lang w:val="en-US"/>
        </w:rPr>
        <w:t>established that “</w:t>
      </w:r>
      <w:r w:rsidR="001272D1" w:rsidRPr="001272D1">
        <w:rPr>
          <w:bCs/>
        </w:rPr>
        <w:t xml:space="preserve">the criterion for the European courts in deciding whether Article 6 is engaged is the nature of the proceedings and not the articles of the Convention which are alleged </w:t>
      </w:r>
      <w:r w:rsidR="001272D1">
        <w:rPr>
          <w:bCs/>
        </w:rPr>
        <w:t>to be violated”.</w:t>
      </w:r>
    </w:p>
    <w:p w:rsidR="00CB3C36" w:rsidRPr="00CB3C36" w:rsidRDefault="00CB3C36" w:rsidP="00CB3C36">
      <w:pPr>
        <w:pStyle w:val="ListParagraph"/>
        <w:rPr>
          <w:bCs/>
          <w:lang w:val="en-US"/>
        </w:rPr>
      </w:pPr>
    </w:p>
    <w:p w:rsidR="00661572" w:rsidRDefault="00CB3C36" w:rsidP="00661572">
      <w:pPr>
        <w:pStyle w:val="ListParagraph"/>
        <w:numPr>
          <w:ilvl w:val="0"/>
          <w:numId w:val="1"/>
        </w:numPr>
        <w:autoSpaceDE w:val="0"/>
        <w:autoSpaceDN w:val="0"/>
        <w:adjustRightInd w:val="0"/>
        <w:spacing w:after="0" w:line="240" w:lineRule="auto"/>
        <w:jc w:val="both"/>
        <w:rPr>
          <w:bCs/>
          <w:lang w:val="en-US"/>
        </w:rPr>
      </w:pPr>
      <w:r>
        <w:rPr>
          <w:bCs/>
          <w:lang w:val="en-US"/>
        </w:rPr>
        <w:t>Elias LJ dissented on the issue of whether or not Arti</w:t>
      </w:r>
      <w:r w:rsidR="00661572">
        <w:rPr>
          <w:bCs/>
          <w:lang w:val="en-US"/>
        </w:rPr>
        <w:t>cl</w:t>
      </w:r>
      <w:r w:rsidR="001272D1">
        <w:rPr>
          <w:bCs/>
          <w:lang w:val="en-US"/>
        </w:rPr>
        <w:t>e 6 was engaged, holding that it</w:t>
      </w:r>
      <w:r w:rsidR="00661572">
        <w:rPr>
          <w:bCs/>
          <w:lang w:val="en-US"/>
        </w:rPr>
        <w:t xml:space="preserve"> was.</w:t>
      </w:r>
    </w:p>
    <w:p w:rsidR="00661572" w:rsidRPr="00661572" w:rsidRDefault="00661572" w:rsidP="00661572">
      <w:pPr>
        <w:pStyle w:val="ListParagraph"/>
        <w:rPr>
          <w:bCs/>
          <w:lang w:val="en-US"/>
        </w:rPr>
      </w:pPr>
    </w:p>
    <w:p w:rsidR="00661572" w:rsidRPr="005227D0" w:rsidRDefault="00661572" w:rsidP="005227D0">
      <w:pPr>
        <w:pStyle w:val="ListParagraph"/>
        <w:numPr>
          <w:ilvl w:val="0"/>
          <w:numId w:val="1"/>
        </w:numPr>
        <w:jc w:val="both"/>
        <w:rPr>
          <w:bCs/>
          <w:lang w:val="en-US"/>
        </w:rPr>
      </w:pPr>
      <w:r w:rsidRPr="00661572">
        <w:rPr>
          <w:bCs/>
          <w:lang w:val="en-US"/>
        </w:rPr>
        <w:t>However, t</w:t>
      </w:r>
      <w:r w:rsidR="00CB3C36" w:rsidRPr="00661572">
        <w:rPr>
          <w:bCs/>
          <w:lang w:val="en-US"/>
        </w:rPr>
        <w:t>he appeals were dismissed</w:t>
      </w:r>
      <w:r w:rsidRPr="00661572">
        <w:rPr>
          <w:bCs/>
          <w:lang w:val="en-US"/>
        </w:rPr>
        <w:t xml:space="preserve"> by all Lord Justices, </w:t>
      </w:r>
      <w:r w:rsidR="00CB3C36" w:rsidRPr="00661572">
        <w:rPr>
          <w:bCs/>
          <w:lang w:val="en-US"/>
        </w:rPr>
        <w:t xml:space="preserve">on the basis that even if (contrary to the majority conclusion) Article 6 was engaged, its requirements were satisfied by </w:t>
      </w:r>
      <w:r w:rsidRPr="00661572">
        <w:rPr>
          <w:bCs/>
          <w:lang w:val="en-US"/>
        </w:rPr>
        <w:t>“</w:t>
      </w:r>
      <w:r w:rsidRPr="005227D0">
        <w:rPr>
          <w:bCs/>
          <w:lang w:val="en-US"/>
        </w:rPr>
        <w:t xml:space="preserve">the internal procedures surrounding segregation decisions and their review, leading to the availability of judicial review.”  They reviewed the </w:t>
      </w:r>
      <w:r w:rsidR="005227D0" w:rsidRPr="005227D0">
        <w:rPr>
          <w:bCs/>
          <w:lang w:val="en-US"/>
        </w:rPr>
        <w:t>concept of “full jurisdiction”,</w:t>
      </w:r>
      <w:r w:rsidRPr="005227D0">
        <w:rPr>
          <w:bCs/>
          <w:lang w:val="en-US"/>
        </w:rPr>
        <w:t xml:space="preserve"> </w:t>
      </w:r>
      <w:r w:rsidR="005227D0" w:rsidRPr="005227D0">
        <w:rPr>
          <w:bCs/>
          <w:lang w:val="en-US"/>
        </w:rPr>
        <w:t>established in</w:t>
      </w:r>
      <w:r w:rsidRPr="005227D0">
        <w:rPr>
          <w:bCs/>
          <w:lang w:val="en-US"/>
        </w:rPr>
        <w:t xml:space="preserve"> </w:t>
      </w:r>
      <w:r w:rsidR="005227D0" w:rsidRPr="005227D0">
        <w:rPr>
          <w:bCs/>
          <w:i/>
          <w:u w:val="single"/>
          <w:lang w:val="en-US"/>
        </w:rPr>
        <w:t xml:space="preserve">Bryan v United Kingdom </w:t>
      </w:r>
      <w:r w:rsidR="005227D0">
        <w:rPr>
          <w:bCs/>
          <w:lang w:val="en-US"/>
        </w:rPr>
        <w:t xml:space="preserve"> and </w:t>
      </w:r>
      <w:r w:rsidR="005227D0" w:rsidRPr="005227D0">
        <w:rPr>
          <w:bCs/>
          <w:lang w:val="en-US"/>
        </w:rPr>
        <w:t xml:space="preserve">developed in cases such as </w:t>
      </w:r>
      <w:r w:rsidR="005227D0" w:rsidRPr="005227D0">
        <w:rPr>
          <w:bCs/>
          <w:i/>
          <w:u w:val="single"/>
          <w:lang w:val="en-US"/>
        </w:rPr>
        <w:t>Alconbury</w:t>
      </w:r>
      <w:r w:rsidR="005227D0" w:rsidRPr="005227D0">
        <w:rPr>
          <w:bCs/>
          <w:lang w:val="en-US"/>
        </w:rPr>
        <w:t xml:space="preserve">, noting that: </w:t>
      </w:r>
    </w:p>
    <w:p w:rsidR="005227D0" w:rsidRPr="005227D0" w:rsidRDefault="005227D0" w:rsidP="005227D0">
      <w:pPr>
        <w:pStyle w:val="ListParagraph"/>
        <w:ind w:left="360"/>
        <w:jc w:val="both"/>
        <w:rPr>
          <w:bCs/>
          <w:lang w:val="en-US"/>
        </w:rPr>
      </w:pPr>
    </w:p>
    <w:p w:rsidR="005227D0" w:rsidRDefault="005227D0" w:rsidP="005227D0">
      <w:pPr>
        <w:pStyle w:val="ListParagraph"/>
        <w:ind w:right="510"/>
        <w:jc w:val="both"/>
        <w:rPr>
          <w:bCs/>
          <w:lang w:val="en-US"/>
        </w:rPr>
      </w:pPr>
      <w:r>
        <w:rPr>
          <w:bCs/>
          <w:lang w:val="en-US"/>
        </w:rPr>
        <w:t>“</w:t>
      </w:r>
      <w:r w:rsidRPr="005227D0">
        <w:rPr>
          <w:bCs/>
          <w:lang w:val="en-US"/>
        </w:rPr>
        <w:t>Much depends upon the subject matter of the decision and the quality of the</w:t>
      </w:r>
      <w:r>
        <w:rPr>
          <w:bCs/>
          <w:lang w:val="en-US"/>
        </w:rPr>
        <w:t xml:space="preserve"> </w:t>
      </w:r>
      <w:r w:rsidRPr="005227D0">
        <w:rPr>
          <w:bCs/>
          <w:lang w:val="en-US"/>
        </w:rPr>
        <w:t>initial decision-making process. If there is a ‘classic exercise of administrative discretion’,</w:t>
      </w:r>
      <w:r>
        <w:rPr>
          <w:bCs/>
          <w:lang w:val="en-US"/>
        </w:rPr>
        <w:t xml:space="preserve"> </w:t>
      </w:r>
      <w:r w:rsidRPr="005227D0">
        <w:rPr>
          <w:bCs/>
          <w:lang w:val="en-US"/>
        </w:rPr>
        <w:t>even though determinative of civil rights and obligations, and there are a number of safeguards</w:t>
      </w:r>
      <w:r>
        <w:rPr>
          <w:bCs/>
          <w:lang w:val="en-US"/>
        </w:rPr>
        <w:t xml:space="preserve"> </w:t>
      </w:r>
      <w:r w:rsidRPr="005227D0">
        <w:rPr>
          <w:bCs/>
          <w:lang w:val="en-US"/>
        </w:rPr>
        <w:t>to ensure that the procedure is in fact both fair and impartial, the judicial review may be</w:t>
      </w:r>
      <w:r>
        <w:rPr>
          <w:bCs/>
          <w:lang w:val="en-US"/>
        </w:rPr>
        <w:t xml:space="preserve"> </w:t>
      </w:r>
      <w:r w:rsidRPr="005227D0">
        <w:rPr>
          <w:bCs/>
          <w:lang w:val="en-US"/>
        </w:rPr>
        <w:t>adequate to supply the necessary to access to a court, even if there is no jurisdiction to examine</w:t>
      </w:r>
      <w:r>
        <w:rPr>
          <w:bCs/>
          <w:lang w:val="en-US"/>
        </w:rPr>
        <w:t xml:space="preserve"> </w:t>
      </w:r>
      <w:r w:rsidRPr="005227D0">
        <w:rPr>
          <w:bCs/>
          <w:lang w:val="en-US"/>
        </w:rPr>
        <w:t xml:space="preserve">the factual merits of the case.”: </w:t>
      </w:r>
      <w:r w:rsidRPr="001272D1">
        <w:rPr>
          <w:bCs/>
          <w:i/>
          <w:u w:val="single"/>
          <w:lang w:val="en-US"/>
        </w:rPr>
        <w:t>R (Wright v Secretary of State for Health</w:t>
      </w:r>
      <w:r w:rsidRPr="005227D0">
        <w:rPr>
          <w:bCs/>
          <w:lang w:val="en-US"/>
        </w:rPr>
        <w:t xml:space="preserve"> [2009] 2 WLR 267,</w:t>
      </w:r>
      <w:r>
        <w:rPr>
          <w:bCs/>
          <w:lang w:val="en-US"/>
        </w:rPr>
        <w:t xml:space="preserve"> </w:t>
      </w:r>
      <w:r w:rsidRPr="005227D0">
        <w:rPr>
          <w:bCs/>
          <w:lang w:val="en-US"/>
        </w:rPr>
        <w:t>at paragraph 23, per Baroness Hale”</w:t>
      </w:r>
    </w:p>
    <w:p w:rsidR="005227D0" w:rsidRPr="00661572" w:rsidRDefault="005227D0" w:rsidP="005227D0">
      <w:pPr>
        <w:pStyle w:val="ListParagraph"/>
        <w:ind w:right="510"/>
        <w:jc w:val="both"/>
        <w:rPr>
          <w:bCs/>
          <w:lang w:val="en-US"/>
        </w:rPr>
      </w:pPr>
    </w:p>
    <w:p w:rsidR="00661572" w:rsidRDefault="005A7060" w:rsidP="005A7060">
      <w:pPr>
        <w:pStyle w:val="ListParagraph"/>
        <w:numPr>
          <w:ilvl w:val="0"/>
          <w:numId w:val="1"/>
        </w:numPr>
        <w:jc w:val="both"/>
        <w:rPr>
          <w:bCs/>
          <w:lang w:val="en-US"/>
        </w:rPr>
      </w:pPr>
      <w:r>
        <w:rPr>
          <w:bCs/>
          <w:lang w:val="en-US"/>
        </w:rPr>
        <w:t>The same factors relating to t</w:t>
      </w:r>
      <w:r w:rsidR="005227D0" w:rsidRPr="005A7060">
        <w:rPr>
          <w:bCs/>
          <w:lang w:val="en-US"/>
        </w:rPr>
        <w:t xml:space="preserve">he </w:t>
      </w:r>
      <w:r w:rsidR="001272D1">
        <w:rPr>
          <w:bCs/>
          <w:lang w:val="en-US"/>
        </w:rPr>
        <w:t>nature of the</w:t>
      </w:r>
      <w:r w:rsidR="005227D0" w:rsidRPr="005A7060">
        <w:rPr>
          <w:bCs/>
          <w:lang w:val="en-US"/>
        </w:rPr>
        <w:t xml:space="preserve"> initial decision</w:t>
      </w:r>
      <w:r w:rsidR="001272D1">
        <w:rPr>
          <w:bCs/>
          <w:lang w:val="en-US"/>
        </w:rPr>
        <w:t>-making by prison governors</w:t>
      </w:r>
      <w:r w:rsidR="005227D0" w:rsidRPr="005A7060">
        <w:rPr>
          <w:bCs/>
          <w:lang w:val="en-US"/>
        </w:rPr>
        <w:t xml:space="preserve"> were prayed in aid to support </w:t>
      </w:r>
      <w:r w:rsidR="0076195C" w:rsidRPr="005A7060">
        <w:rPr>
          <w:bCs/>
          <w:lang w:val="en-US"/>
        </w:rPr>
        <w:t xml:space="preserve">the </w:t>
      </w:r>
      <w:r w:rsidR="005227D0" w:rsidRPr="005A7060">
        <w:rPr>
          <w:bCs/>
          <w:lang w:val="en-US"/>
        </w:rPr>
        <w:t>conclusion</w:t>
      </w:r>
      <w:r w:rsidR="0076195C" w:rsidRPr="005A7060">
        <w:rPr>
          <w:bCs/>
          <w:lang w:val="en-US"/>
        </w:rPr>
        <w:t xml:space="preserve"> that “</w:t>
      </w:r>
      <w:r w:rsidR="00783975" w:rsidRPr="005A7060">
        <w:rPr>
          <w:bCs/>
          <w:lang w:val="en-US"/>
        </w:rPr>
        <w:t>this is an area calling for “professional knowledge or experience and the exercise of administrative</w:t>
      </w:r>
      <w:r w:rsidR="0076195C" w:rsidRPr="005A7060">
        <w:rPr>
          <w:bCs/>
          <w:lang w:val="en-US"/>
        </w:rPr>
        <w:t xml:space="preserve"> </w:t>
      </w:r>
      <w:r w:rsidR="00783975" w:rsidRPr="005A7060">
        <w:rPr>
          <w:bCs/>
          <w:lang w:val="en-US"/>
        </w:rPr>
        <w:t xml:space="preserve">discretion </w:t>
      </w:r>
      <w:r w:rsidR="001272D1">
        <w:rPr>
          <w:bCs/>
          <w:lang w:val="en-US"/>
        </w:rPr>
        <w:t xml:space="preserve">pursuant to wider policy aims”.  Overall, the process </w:t>
      </w:r>
      <w:r w:rsidR="00767663">
        <w:rPr>
          <w:bCs/>
          <w:lang w:val="en-US"/>
        </w:rPr>
        <w:t>satisfied the requirements of Article 6.   Th</w:t>
      </w:r>
      <w:r>
        <w:rPr>
          <w:bCs/>
          <w:lang w:val="en-US"/>
        </w:rPr>
        <w:t xml:space="preserve">e challenges were dismissed. </w:t>
      </w:r>
    </w:p>
    <w:p w:rsidR="005A7060" w:rsidRPr="005A7060" w:rsidRDefault="005A7060" w:rsidP="005A7060">
      <w:pPr>
        <w:pStyle w:val="ListParagraph"/>
        <w:ind w:left="360"/>
        <w:jc w:val="both"/>
        <w:rPr>
          <w:bCs/>
          <w:lang w:val="en-US"/>
        </w:rPr>
      </w:pPr>
    </w:p>
    <w:p w:rsidR="00587D19" w:rsidRDefault="00F3731F" w:rsidP="00AF6071">
      <w:pPr>
        <w:pStyle w:val="ListParagraph"/>
        <w:ind w:left="360"/>
        <w:jc w:val="both"/>
        <w:rPr>
          <w:bCs/>
          <w:lang w:val="en-US"/>
        </w:rPr>
      </w:pPr>
      <w:r w:rsidRPr="00AF6071">
        <w:rPr>
          <w:b/>
          <w:bCs/>
          <w:u w:val="single"/>
          <w:lang w:val="en-US"/>
        </w:rPr>
        <w:t>Article 8 ECHR</w:t>
      </w:r>
      <w:r w:rsidRPr="00AF6071">
        <w:rPr>
          <w:bCs/>
          <w:lang w:val="en-US"/>
        </w:rPr>
        <w:t xml:space="preserve">.  </w:t>
      </w:r>
    </w:p>
    <w:p w:rsidR="00AF6071" w:rsidRPr="00AF6071" w:rsidRDefault="00AF6071" w:rsidP="00AF6071">
      <w:pPr>
        <w:pStyle w:val="ListParagraph"/>
        <w:rPr>
          <w:bCs/>
          <w:lang w:val="en-US"/>
        </w:rPr>
      </w:pPr>
    </w:p>
    <w:p w:rsidR="00587D19" w:rsidRDefault="00587D19" w:rsidP="00AF6071">
      <w:pPr>
        <w:pStyle w:val="ListParagraph"/>
        <w:numPr>
          <w:ilvl w:val="0"/>
          <w:numId w:val="1"/>
        </w:numPr>
        <w:jc w:val="both"/>
        <w:rPr>
          <w:bCs/>
          <w:lang w:val="en-US"/>
        </w:rPr>
      </w:pPr>
      <w:r w:rsidRPr="00AF6071">
        <w:rPr>
          <w:bCs/>
          <w:i/>
          <w:u w:val="single"/>
          <w:lang w:val="en-US"/>
        </w:rPr>
        <w:t>R(T) v Chief Constable of Greater Manchester Police and Ors</w:t>
      </w:r>
      <w:r w:rsidRPr="00AF6071">
        <w:rPr>
          <w:bCs/>
          <w:lang w:val="en-US"/>
        </w:rPr>
        <w:t xml:space="preserve"> [2012] EWHC 147 was a decision of Kenneth Parker J upon the legality of the CRB scheme for enhanced criminal records certificates</w:t>
      </w:r>
      <w:r w:rsidR="00767663">
        <w:rPr>
          <w:bCs/>
          <w:lang w:val="en-US"/>
        </w:rPr>
        <w:t xml:space="preserve"> (ECRCs)</w:t>
      </w:r>
      <w:r w:rsidRPr="00AF6071">
        <w:rPr>
          <w:bCs/>
          <w:lang w:val="en-US"/>
        </w:rPr>
        <w:t xml:space="preserve">.  T’s ECRC was issued under to the </w:t>
      </w:r>
      <w:hyperlink r:id="rId9" w:history="1">
        <w:r w:rsidRPr="00AF6071">
          <w:rPr>
            <w:bCs/>
            <w:lang w:val="en-US"/>
          </w:rPr>
          <w:t>Police Act 1997</w:t>
        </w:r>
      </w:hyperlink>
      <w:r w:rsidRPr="00AF6071">
        <w:rPr>
          <w:bCs/>
          <w:lang w:val="en-US"/>
        </w:rPr>
        <w:t xml:space="preserve"> and contained details of the warning which T had been given when he was</w:t>
      </w:r>
      <w:r w:rsidR="00767663">
        <w:rPr>
          <w:bCs/>
          <w:lang w:val="en-US"/>
        </w:rPr>
        <w:t xml:space="preserve"> only</w:t>
      </w:r>
      <w:r w:rsidRPr="00AF6071">
        <w:rPr>
          <w:bCs/>
          <w:lang w:val="en-US"/>
        </w:rPr>
        <w:t xml:space="preserve"> 11 years old.</w:t>
      </w:r>
      <w:r w:rsidR="00767663">
        <w:rPr>
          <w:bCs/>
          <w:lang w:val="en-US"/>
        </w:rPr>
        <w:t xml:space="preserve"> </w:t>
      </w:r>
      <w:r w:rsidRPr="00AF6071">
        <w:rPr>
          <w:bCs/>
          <w:lang w:val="en-US"/>
        </w:rPr>
        <w:t xml:space="preserve"> T submitted that the requirement of the Act that warnings be disclosed on ECRCs breached his right to respect for private life under </w:t>
      </w:r>
      <w:r w:rsidR="00767663">
        <w:rPr>
          <w:bCs/>
          <w:lang w:val="en-US"/>
        </w:rPr>
        <w:t>A</w:t>
      </w:r>
      <w:r w:rsidRPr="00AF6071">
        <w:rPr>
          <w:bCs/>
          <w:lang w:val="en-US"/>
        </w:rPr>
        <w:t>rt</w:t>
      </w:r>
      <w:r w:rsidR="00767663">
        <w:rPr>
          <w:bCs/>
          <w:lang w:val="en-US"/>
        </w:rPr>
        <w:t>icle 8</w:t>
      </w:r>
      <w:r w:rsidRPr="00AF6071">
        <w:rPr>
          <w:bCs/>
          <w:lang w:val="en-US"/>
        </w:rPr>
        <w:t xml:space="preserve">, and sought a declaration of incompatibility.  </w:t>
      </w:r>
    </w:p>
    <w:p w:rsidR="00AF6071" w:rsidRPr="00AF6071" w:rsidRDefault="00AF6071" w:rsidP="00AF6071">
      <w:pPr>
        <w:pStyle w:val="ListParagraph"/>
        <w:ind w:left="360"/>
        <w:jc w:val="both"/>
        <w:rPr>
          <w:bCs/>
          <w:lang w:val="en-US"/>
        </w:rPr>
      </w:pPr>
    </w:p>
    <w:p w:rsidR="00587D19" w:rsidRDefault="00587D19" w:rsidP="00AF6071">
      <w:pPr>
        <w:pStyle w:val="ListParagraph"/>
        <w:numPr>
          <w:ilvl w:val="0"/>
          <w:numId w:val="1"/>
        </w:numPr>
        <w:jc w:val="both"/>
        <w:rPr>
          <w:bCs/>
          <w:lang w:val="en-US"/>
        </w:rPr>
      </w:pPr>
      <w:r w:rsidRPr="00AF6071">
        <w:rPr>
          <w:bCs/>
          <w:lang w:val="en-US"/>
        </w:rPr>
        <w:t>It was accepted by th</w:t>
      </w:r>
      <w:r w:rsidR="001272D1">
        <w:rPr>
          <w:bCs/>
          <w:lang w:val="en-US"/>
        </w:rPr>
        <w:t>e Defendants that disclosure might</w:t>
      </w:r>
      <w:r w:rsidRPr="00AF6071">
        <w:rPr>
          <w:bCs/>
          <w:lang w:val="en-US"/>
        </w:rPr>
        <w:t xml:space="preserve"> interfere with the right to a private life under Article 8, following the SC case of </w:t>
      </w:r>
      <w:r w:rsidRPr="00767663">
        <w:rPr>
          <w:bCs/>
          <w:i/>
          <w:u w:val="single"/>
          <w:lang w:val="en-US"/>
        </w:rPr>
        <w:t>R(L) v Commissioner of Police for the Metropolis</w:t>
      </w:r>
      <w:r w:rsidRPr="00AF6071">
        <w:rPr>
          <w:bCs/>
          <w:lang w:val="en-US"/>
        </w:rPr>
        <w:t xml:space="preserve"> [2009] UKSC 3.  Although information about convictions, etc, is </w:t>
      </w:r>
      <w:r w:rsidR="001272D1">
        <w:rPr>
          <w:bCs/>
          <w:lang w:val="en-US"/>
        </w:rPr>
        <w:t xml:space="preserve">in </w:t>
      </w:r>
      <w:r w:rsidRPr="00AF6071">
        <w:rPr>
          <w:bCs/>
          <w:lang w:val="en-US"/>
        </w:rPr>
        <w:t xml:space="preserve">a sense ‘public’, the fact </w:t>
      </w:r>
      <w:r w:rsidR="001272D1">
        <w:rPr>
          <w:bCs/>
          <w:lang w:val="en-US"/>
        </w:rPr>
        <w:t>is that the information i</w:t>
      </w:r>
      <w:r w:rsidRPr="00AF6071">
        <w:rPr>
          <w:bCs/>
          <w:lang w:val="en-US"/>
        </w:rPr>
        <w:t>s stored when it would otherwise l</w:t>
      </w:r>
      <w:r w:rsidR="00767663">
        <w:rPr>
          <w:bCs/>
          <w:lang w:val="en-US"/>
        </w:rPr>
        <w:t xml:space="preserve">ong </w:t>
      </w:r>
      <w:r w:rsidR="001272D1">
        <w:rPr>
          <w:bCs/>
          <w:lang w:val="en-US"/>
        </w:rPr>
        <w:t xml:space="preserve">have </w:t>
      </w:r>
      <w:r w:rsidR="00767663">
        <w:rPr>
          <w:bCs/>
          <w:lang w:val="en-US"/>
        </w:rPr>
        <w:t xml:space="preserve">faded from others’ memories.  </w:t>
      </w:r>
      <w:r w:rsidRPr="00AF6071">
        <w:rPr>
          <w:bCs/>
          <w:lang w:val="en-US"/>
        </w:rPr>
        <w:t xml:space="preserve"> “As it </w:t>
      </w:r>
      <w:r w:rsidRPr="00AF6071">
        <w:rPr>
          <w:bCs/>
          <w:lang w:val="en-US"/>
        </w:rPr>
        <w:lastRenderedPageBreak/>
        <w:t xml:space="preserve">recedes into the past, it becomes a part of the person’s private life which must be respected.”  Furthermore, it was possible for an ECRC to contain information that had never been public (cautions, allegations that </w:t>
      </w:r>
      <w:r w:rsidR="00767663">
        <w:rPr>
          <w:bCs/>
          <w:lang w:val="en-US"/>
        </w:rPr>
        <w:t xml:space="preserve">were never prosecuted).  In the </w:t>
      </w:r>
      <w:r w:rsidR="00767663" w:rsidRPr="00767663">
        <w:rPr>
          <w:bCs/>
          <w:i/>
          <w:u w:val="single"/>
          <w:lang w:val="en-US"/>
        </w:rPr>
        <w:t>R(L)</w:t>
      </w:r>
      <w:r w:rsidRPr="00AF6071">
        <w:rPr>
          <w:bCs/>
          <w:lang w:val="en-US"/>
        </w:rPr>
        <w:t xml:space="preserve"> case, the SC held that disclosure of such ‘information’ should be subject to a two-stage test; it needed to be potentially relevant to the decision for which the certificate had been obtained (e</w:t>
      </w:r>
      <w:r w:rsidR="00767663">
        <w:rPr>
          <w:bCs/>
          <w:lang w:val="en-US"/>
        </w:rPr>
        <w:t>.</w:t>
      </w:r>
      <w:r w:rsidRPr="00AF6071">
        <w:rPr>
          <w:bCs/>
          <w:lang w:val="en-US"/>
        </w:rPr>
        <w:t>g</w:t>
      </w:r>
      <w:r w:rsidR="00767663">
        <w:rPr>
          <w:bCs/>
          <w:lang w:val="en-US"/>
        </w:rPr>
        <w:t>.,</w:t>
      </w:r>
      <w:r w:rsidRPr="00AF6071">
        <w:rPr>
          <w:bCs/>
          <w:lang w:val="en-US"/>
        </w:rPr>
        <w:t xml:space="preserve"> an employment decision) and disclosure must be necessary and proportionate.  However, Kenneth Park</w:t>
      </w:r>
      <w:r w:rsidR="00767663">
        <w:rPr>
          <w:bCs/>
          <w:lang w:val="en-US"/>
        </w:rPr>
        <w:t>er J foun</w:t>
      </w:r>
      <w:r w:rsidRPr="00AF6071">
        <w:rPr>
          <w:bCs/>
          <w:lang w:val="en-US"/>
        </w:rPr>
        <w:t xml:space="preserve">d, the SC had held that this two-stage process applied only to such </w:t>
      </w:r>
      <w:r w:rsidR="00767663">
        <w:rPr>
          <w:bCs/>
          <w:lang w:val="en-US"/>
        </w:rPr>
        <w:t xml:space="preserve">forms of </w:t>
      </w:r>
      <w:r w:rsidRPr="00AF6071">
        <w:rPr>
          <w:bCs/>
          <w:lang w:val="en-US"/>
        </w:rPr>
        <w:t xml:space="preserve">‘information’ and not to the disclosure of criminal convictions and cautions.   As a result, he found that he was constrained by binding authority to reject the challenge.  It was a conclusion that he reached with reluctance; had there not been SC authority, he would have held that the absence of a ‘filtration’ system to remove (for example) the non-violent, non-sexual offence of a child who under some </w:t>
      </w:r>
      <w:r w:rsidR="001272D1">
        <w:rPr>
          <w:bCs/>
          <w:lang w:val="en-US"/>
        </w:rPr>
        <w:t xml:space="preserve">legal </w:t>
      </w:r>
      <w:r w:rsidRPr="00AF6071">
        <w:rPr>
          <w:bCs/>
          <w:lang w:val="en-US"/>
        </w:rPr>
        <w:t>systems would be regarded as below the age of criminal responsibility, and who had subsequently committed no further crimes</w:t>
      </w:r>
      <w:r w:rsidR="00767663">
        <w:rPr>
          <w:bCs/>
          <w:lang w:val="en-US"/>
        </w:rPr>
        <w:t>,</w:t>
      </w:r>
      <w:r w:rsidRPr="00AF6071">
        <w:rPr>
          <w:bCs/>
          <w:lang w:val="en-US"/>
        </w:rPr>
        <w:t xml:space="preserve"> was disproportionate. </w:t>
      </w:r>
    </w:p>
    <w:p w:rsidR="00AF6071" w:rsidRPr="00AF6071" w:rsidRDefault="00AF6071" w:rsidP="00AF6071">
      <w:pPr>
        <w:pStyle w:val="ListParagraph"/>
        <w:ind w:left="360"/>
        <w:jc w:val="both"/>
        <w:rPr>
          <w:bCs/>
          <w:lang w:val="en-US"/>
        </w:rPr>
      </w:pPr>
    </w:p>
    <w:p w:rsidR="00587D19" w:rsidRDefault="00587D19" w:rsidP="00AF6071">
      <w:pPr>
        <w:pStyle w:val="ListParagraph"/>
        <w:numPr>
          <w:ilvl w:val="0"/>
          <w:numId w:val="1"/>
        </w:numPr>
        <w:jc w:val="both"/>
        <w:rPr>
          <w:bCs/>
          <w:lang w:val="en-US"/>
        </w:rPr>
      </w:pPr>
      <w:r w:rsidRPr="00AF6071">
        <w:rPr>
          <w:bCs/>
          <w:lang w:val="en-US"/>
        </w:rPr>
        <w:t>However, in relation to a linked challenge to Orders made under the Rehabilitation of Offenders Act, he reached the conclusion that Article 8 did not import a positive du</w:t>
      </w:r>
      <w:r w:rsidR="00767663">
        <w:rPr>
          <w:bCs/>
          <w:lang w:val="en-US"/>
        </w:rPr>
        <w:t xml:space="preserve">ty on the part of the state to intervene </w:t>
      </w:r>
      <w:r w:rsidRPr="00AF6071">
        <w:rPr>
          <w:bCs/>
          <w:lang w:val="en-US"/>
        </w:rPr>
        <w:t>in the right that (eg) employers would otherwise have, to ask questions and insist on truthful answers: this would b</w:t>
      </w:r>
      <w:r w:rsidR="00767663">
        <w:rPr>
          <w:bCs/>
          <w:lang w:val="en-US"/>
        </w:rPr>
        <w:t>e a ‘novel positive obligation’.</w:t>
      </w:r>
    </w:p>
    <w:p w:rsidR="00AF6071" w:rsidRPr="00AF6071" w:rsidRDefault="00AF6071" w:rsidP="00AF6071">
      <w:pPr>
        <w:pStyle w:val="ListParagraph"/>
        <w:rPr>
          <w:bCs/>
          <w:lang w:val="en-US"/>
        </w:rPr>
      </w:pPr>
    </w:p>
    <w:p w:rsidR="00587D19" w:rsidRDefault="00AF6071" w:rsidP="00587D19">
      <w:pPr>
        <w:pStyle w:val="ListParagraph"/>
        <w:numPr>
          <w:ilvl w:val="0"/>
          <w:numId w:val="1"/>
        </w:numPr>
      </w:pPr>
      <w:r>
        <w:t>Permission was granted to appeal to the CA.</w:t>
      </w:r>
    </w:p>
    <w:p w:rsidR="0081435A" w:rsidRDefault="0081435A" w:rsidP="0081435A">
      <w:pPr>
        <w:pStyle w:val="ListParagraph"/>
      </w:pPr>
    </w:p>
    <w:p w:rsidR="0081435A" w:rsidRDefault="0081435A" w:rsidP="0081435A">
      <w:pPr>
        <w:pStyle w:val="ListParagraph"/>
        <w:numPr>
          <w:ilvl w:val="0"/>
          <w:numId w:val="1"/>
        </w:numPr>
        <w:jc w:val="both"/>
        <w:rPr>
          <w:bCs/>
          <w:lang w:val="en-US"/>
        </w:rPr>
      </w:pPr>
      <w:r w:rsidRPr="001B1C67">
        <w:rPr>
          <w:bCs/>
          <w:i/>
          <w:u w:val="single"/>
          <w:lang w:val="en-US"/>
        </w:rPr>
        <w:t>The General Dental Council v Savery and Others</w:t>
      </w:r>
      <w:r>
        <w:rPr>
          <w:bCs/>
          <w:lang w:val="en-US"/>
        </w:rPr>
        <w:t xml:space="preserve"> [2011] EWHC 3011 was a decision of Sales J concerning the GDC’s rights to obtain and then to circulate, to those concerned with disciplinary proceedings, the dental records of patients who had not consented to such disclosure.  It was held that (a) the GDC had a statutory power to require the disclosure of such records, under s33B of the Dentists Act 1984, from any person other than the dentist under investigation; this did not require a court order; (b) it was lawful, and not in breach of either the DPA or Article 8, ECHR for the records then to be used for disciplinary proceedings.  Such use was “in the interests of public safety”, for the “protection of health and morals” and “for the protection of the rights and freedoms of others”.  Although the GDC should seek to alert patients to the use which it was proposed to make of their records, it was not necessary to make an application to court to obtain judicial approval, even in the absence of patient consent.  In essence, it was to be left to patients t</w:t>
      </w:r>
      <w:r w:rsidR="00767663">
        <w:rPr>
          <w:bCs/>
          <w:lang w:val="en-US"/>
        </w:rPr>
        <w:t xml:space="preserve">o make representations, and to </w:t>
      </w:r>
      <w:r>
        <w:rPr>
          <w:bCs/>
          <w:lang w:val="en-US"/>
        </w:rPr>
        <w:t xml:space="preserve">bring their objections to court if the representations were not effective. </w:t>
      </w:r>
    </w:p>
    <w:p w:rsidR="0081435A" w:rsidRDefault="0081435A" w:rsidP="0081435A">
      <w:pPr>
        <w:pStyle w:val="ListParagraph"/>
        <w:ind w:left="360"/>
      </w:pPr>
    </w:p>
    <w:p w:rsidR="00AF6071" w:rsidRPr="005A7060" w:rsidRDefault="00AF6071" w:rsidP="00AF6071">
      <w:pPr>
        <w:pStyle w:val="ListParagraph"/>
        <w:numPr>
          <w:ilvl w:val="0"/>
          <w:numId w:val="1"/>
        </w:numPr>
        <w:jc w:val="both"/>
        <w:rPr>
          <w:bCs/>
          <w:lang w:val="en-US"/>
        </w:rPr>
      </w:pPr>
      <w:r w:rsidRPr="005A7060">
        <w:rPr>
          <w:bCs/>
          <w:lang w:val="en-US"/>
        </w:rPr>
        <w:t xml:space="preserve">The case of </w:t>
      </w:r>
      <w:r w:rsidR="005A7060" w:rsidRPr="005A7060">
        <w:rPr>
          <w:b/>
          <w:bCs/>
          <w:i/>
          <w:u w:val="single"/>
          <w:lang w:val="en-US"/>
        </w:rPr>
        <w:t xml:space="preserve">Broadway Care Centre Limited v Caerphilly County Borough Council </w:t>
      </w:r>
      <w:r w:rsidR="005A7060" w:rsidRPr="005A7060">
        <w:rPr>
          <w:bCs/>
          <w:lang w:val="en-US"/>
        </w:rPr>
        <w:t xml:space="preserve">[2012] EWHC 37 (Admin) </w:t>
      </w:r>
      <w:r w:rsidRPr="005A7060">
        <w:rPr>
          <w:bCs/>
          <w:lang w:val="en-US"/>
        </w:rPr>
        <w:t xml:space="preserve">raised the issue of whether judicial review can be used to </w:t>
      </w:r>
      <w:r w:rsidR="005A7060" w:rsidRPr="005A7060">
        <w:rPr>
          <w:bCs/>
          <w:lang w:val="en-US"/>
        </w:rPr>
        <w:t>challenge the termination of a contract.  A</w:t>
      </w:r>
      <w:r w:rsidRPr="005A7060">
        <w:rPr>
          <w:bCs/>
          <w:lang w:val="en-US"/>
        </w:rPr>
        <w:t xml:space="preserve"> care home proprietor applied for permission to seek judicial review of the defendant local authority's decision to terminate its contract to provide care for elderly dementia sufferers.  It acted on the basis that neglect of residents entitled it to terminate its contracts immediately.  Most of the home's residents were funded by the local authority. </w:t>
      </w:r>
    </w:p>
    <w:p w:rsidR="00AF6071" w:rsidRDefault="00AF6071" w:rsidP="00AF6071">
      <w:pPr>
        <w:pStyle w:val="ListParagraph"/>
        <w:ind w:left="360"/>
        <w:jc w:val="both"/>
        <w:rPr>
          <w:bCs/>
          <w:lang w:val="en-US"/>
        </w:rPr>
      </w:pPr>
    </w:p>
    <w:p w:rsidR="00AF6071" w:rsidRPr="008F11FF" w:rsidRDefault="00AF6071" w:rsidP="00AF6071">
      <w:pPr>
        <w:pStyle w:val="ListParagraph"/>
        <w:numPr>
          <w:ilvl w:val="0"/>
          <w:numId w:val="1"/>
        </w:numPr>
        <w:jc w:val="both"/>
        <w:rPr>
          <w:bCs/>
          <w:lang w:val="en-US"/>
        </w:rPr>
      </w:pPr>
      <w:r w:rsidRPr="008F11FF">
        <w:rPr>
          <w:rFonts w:cs="Times New Roman"/>
          <w:lang w:val="en-US"/>
        </w:rPr>
        <w:lastRenderedPageBreak/>
        <w:t xml:space="preserve">The local authority </w:t>
      </w:r>
      <w:r>
        <w:rPr>
          <w:rFonts w:cs="Times New Roman"/>
          <w:lang w:val="en-US"/>
        </w:rPr>
        <w:t>replied, first,</w:t>
      </w:r>
      <w:r w:rsidRPr="008F11FF">
        <w:rPr>
          <w:rFonts w:cs="Times New Roman"/>
          <w:lang w:val="en-US"/>
        </w:rPr>
        <w:t xml:space="preserve"> that it was not exercising public la</w:t>
      </w:r>
      <w:r w:rsidR="00404CF2">
        <w:rPr>
          <w:rFonts w:cs="Times New Roman"/>
          <w:lang w:val="en-US"/>
        </w:rPr>
        <w:t>w functions but private ones</w:t>
      </w:r>
      <w:r w:rsidR="00105FC7">
        <w:rPr>
          <w:rFonts w:cs="Times New Roman"/>
          <w:lang w:val="en-US"/>
        </w:rPr>
        <w:t xml:space="preserve">.  </w:t>
      </w:r>
      <w:r>
        <w:rPr>
          <w:bCs/>
          <w:lang w:val="en-US"/>
        </w:rPr>
        <w:t xml:space="preserve">The Claimant </w:t>
      </w:r>
      <w:r w:rsidRPr="008F11FF">
        <w:rPr>
          <w:bCs/>
          <w:lang w:val="en-US"/>
        </w:rPr>
        <w:t xml:space="preserve">argued that </w:t>
      </w:r>
      <w:r>
        <w:rPr>
          <w:bCs/>
          <w:lang w:val="en-US"/>
        </w:rPr>
        <w:t>the</w:t>
      </w:r>
      <w:r w:rsidRPr="008F11FF">
        <w:rPr>
          <w:bCs/>
          <w:lang w:val="en-US"/>
        </w:rPr>
        <w:t xml:space="preserve"> decision to terminate the contract was amenable to judicial review, under s145 Health and Social Care Act 2008:</w:t>
      </w:r>
    </w:p>
    <w:p w:rsidR="00AF6071" w:rsidRPr="005A7060" w:rsidRDefault="00AF6071" w:rsidP="005A7060">
      <w:pPr>
        <w:pStyle w:val="ListParagraph"/>
        <w:ind w:left="360"/>
        <w:jc w:val="both"/>
        <w:rPr>
          <w:bCs/>
          <w:lang w:val="en-US"/>
        </w:rPr>
      </w:pPr>
    </w:p>
    <w:p w:rsidR="00AF6071" w:rsidRPr="005A7060" w:rsidRDefault="00AF6071" w:rsidP="005A7060">
      <w:pPr>
        <w:pStyle w:val="ListParagraph"/>
        <w:ind w:right="567"/>
        <w:jc w:val="both"/>
        <w:rPr>
          <w:bCs/>
          <w:lang w:val="en-US"/>
        </w:rPr>
      </w:pPr>
      <w:r w:rsidRPr="005A7060">
        <w:rPr>
          <w:bCs/>
          <w:lang w:val="en-US"/>
        </w:rPr>
        <w:t>“s145(1) A person (“P”) who provides accommodation, together with nursing or personal care, in a care home for an individual under arrangements made with P under the relevant statutory provisions [as here] is to be taken for the purposes of sub section (3)(b) of Section 6 of the Human Rights Act 1998 to be exercising a function of a public nature in doing so”.</w:t>
      </w:r>
    </w:p>
    <w:p w:rsidR="00AF6071" w:rsidRDefault="00AF6071" w:rsidP="00AF6071">
      <w:pPr>
        <w:autoSpaceDE w:val="0"/>
        <w:autoSpaceDN w:val="0"/>
        <w:adjustRightInd w:val="0"/>
        <w:spacing w:after="0" w:line="240" w:lineRule="auto"/>
        <w:jc w:val="both"/>
        <w:rPr>
          <w:rFonts w:cs="Times New Roman"/>
          <w:lang w:val="en-US"/>
        </w:rPr>
      </w:pPr>
    </w:p>
    <w:p w:rsidR="00AF6071" w:rsidRPr="00105FC7" w:rsidRDefault="00AF6071" w:rsidP="00105FC7">
      <w:pPr>
        <w:pStyle w:val="ListParagraph"/>
        <w:numPr>
          <w:ilvl w:val="0"/>
          <w:numId w:val="1"/>
        </w:numPr>
        <w:jc w:val="both"/>
        <w:rPr>
          <w:bCs/>
          <w:i/>
          <w:u w:val="single"/>
        </w:rPr>
      </w:pPr>
      <w:r w:rsidRPr="00870DFF">
        <w:rPr>
          <w:bCs/>
          <w:lang w:val="en-US"/>
        </w:rPr>
        <w:t xml:space="preserve">But it was held by HHJ Seys-Llewellyn that s145 was aimed at the accountability of the care home to public law claim by a resident.  </w:t>
      </w:r>
      <w:r w:rsidRPr="008F11FF">
        <w:rPr>
          <w:bCs/>
          <w:lang w:val="en-US"/>
        </w:rPr>
        <w:t>It was a provision making it unlawful for a care home to act in a way incompatible with a Convention right, since it was a person certain of whose functions were functions of a public nature.  But</w:t>
      </w:r>
      <w:r w:rsidRPr="00ED551F">
        <w:rPr>
          <w:bCs/>
          <w:lang w:val="en-US"/>
        </w:rPr>
        <w:t xml:space="preserve"> it did not impact on the nature of the care homes’ dealings with the LA.</w:t>
      </w:r>
      <w:r w:rsidR="00105FC7">
        <w:rPr>
          <w:bCs/>
          <w:lang w:val="en-US"/>
        </w:rPr>
        <w:t xml:space="preserve">  This is plainly a difficult area, but it seems there are anomalies: compare </w:t>
      </w:r>
      <w:r w:rsidR="00105FC7" w:rsidRPr="00105FC7">
        <w:rPr>
          <w:bCs/>
          <w:i/>
          <w:u w:val="single"/>
        </w:rPr>
        <w:t>London &amp; Quadrant Housing Trust v Weaver</w:t>
      </w:r>
      <w:r w:rsidR="00105FC7">
        <w:rPr>
          <w:bCs/>
        </w:rPr>
        <w:t xml:space="preserve"> </w:t>
      </w:r>
      <w:r w:rsidR="00105FC7" w:rsidRPr="00105FC7">
        <w:rPr>
          <w:bCs/>
        </w:rPr>
        <w:t>[2009] EWCA Civ 587</w:t>
      </w:r>
      <w:r w:rsidR="00EB017F">
        <w:rPr>
          <w:bCs/>
        </w:rPr>
        <w:t xml:space="preserve">, where </w:t>
      </w:r>
      <w:r w:rsidR="00105FC7">
        <w:rPr>
          <w:bCs/>
        </w:rPr>
        <w:t xml:space="preserve">a registered social landlord seeking possession under a tenancy was said to be exercising function of a public nature, susceptible to judicial review. </w:t>
      </w:r>
    </w:p>
    <w:p w:rsidR="00AF6071" w:rsidRPr="00ED551F" w:rsidRDefault="00AF6071" w:rsidP="00AF6071">
      <w:pPr>
        <w:pStyle w:val="ListParagraph"/>
        <w:ind w:left="360"/>
        <w:jc w:val="both"/>
        <w:rPr>
          <w:bCs/>
          <w:lang w:val="en-US"/>
        </w:rPr>
      </w:pPr>
    </w:p>
    <w:p w:rsidR="00AF6071" w:rsidRDefault="00AF6071" w:rsidP="00AF6071">
      <w:pPr>
        <w:pStyle w:val="ListParagraph"/>
        <w:numPr>
          <w:ilvl w:val="0"/>
          <w:numId w:val="1"/>
        </w:numPr>
        <w:jc w:val="both"/>
        <w:rPr>
          <w:bCs/>
          <w:lang w:val="en-US"/>
        </w:rPr>
      </w:pPr>
      <w:r w:rsidRPr="00ED551F">
        <w:rPr>
          <w:bCs/>
          <w:lang w:val="en-US"/>
        </w:rPr>
        <w:t>Second, it was held that the home did not have standing to protect, or to rely on, residents’ Article 8 rights. Whilst it might exceptionally, in unusual circumstances, have standing for ‘domestic’ public law claims in respect of its</w:t>
      </w:r>
      <w:r w:rsidR="005A7060">
        <w:rPr>
          <w:bCs/>
          <w:lang w:val="en-US"/>
        </w:rPr>
        <w:t xml:space="preserve"> residents’ public law rights, </w:t>
      </w:r>
      <w:r w:rsidRPr="00ED551F">
        <w:rPr>
          <w:bCs/>
          <w:lang w:val="en-US"/>
        </w:rPr>
        <w:t xml:space="preserve">it was not a “victim” in relation to any breaches of the Article 8 rights possessed by the home’s residents. An attempt by the home to rely on Article 1, Protocol 1 directly also failed.  It remained open to B to continue to make use of the home, if it remained commercially viable. Further, unlike in </w:t>
      </w:r>
      <w:hyperlink r:id="rId10" w:history="1">
        <w:r w:rsidRPr="00404CF2">
          <w:rPr>
            <w:bCs/>
            <w:i/>
            <w:u w:val="single"/>
            <w:lang w:val="en-US"/>
          </w:rPr>
          <w:t>Jai</w:t>
        </w:r>
        <w:r w:rsidRPr="00767663">
          <w:rPr>
            <w:bCs/>
            <w:i/>
            <w:u w:val="single"/>
            <w:lang w:val="en-US"/>
          </w:rPr>
          <w:t>n v Trent SHA</w:t>
        </w:r>
        <w:r w:rsidRPr="00870DFF">
          <w:rPr>
            <w:bCs/>
            <w:lang w:val="en-US"/>
          </w:rPr>
          <w:t xml:space="preserve"> [2009] UKHL 4, [2009] 1 A.C. 853</w:t>
        </w:r>
      </w:hyperlink>
      <w:r w:rsidRPr="00ED551F">
        <w:rPr>
          <w:bCs/>
          <w:lang w:val="en-US"/>
        </w:rPr>
        <w:t xml:space="preserve">, the local authority was not the regulatory authority and had not prohibited use as a care home. </w:t>
      </w:r>
      <w:r w:rsidR="00767663">
        <w:rPr>
          <w:bCs/>
          <w:lang w:val="en-US"/>
        </w:rPr>
        <w:t xml:space="preserve"> </w:t>
      </w:r>
      <w:r w:rsidRPr="00ED551F">
        <w:rPr>
          <w:bCs/>
          <w:lang w:val="en-US"/>
        </w:rPr>
        <w:t>It would be novel if the simple termination of a contract was regarded as a ma</w:t>
      </w:r>
      <w:r>
        <w:rPr>
          <w:bCs/>
          <w:lang w:val="en-US"/>
        </w:rPr>
        <w:t>tter engaging Protocol 1 art.1.</w:t>
      </w:r>
      <w:r w:rsidRPr="00ED551F">
        <w:rPr>
          <w:bCs/>
          <w:lang w:val="en-US"/>
        </w:rPr>
        <w:t xml:space="preserve"> </w:t>
      </w:r>
    </w:p>
    <w:p w:rsidR="0081435A" w:rsidRPr="00AC4403" w:rsidRDefault="0081435A" w:rsidP="00AC4403">
      <w:pPr>
        <w:autoSpaceDE w:val="0"/>
        <w:autoSpaceDN w:val="0"/>
        <w:adjustRightInd w:val="0"/>
        <w:spacing w:after="0" w:line="240" w:lineRule="auto"/>
        <w:ind w:firstLine="360"/>
        <w:rPr>
          <w:rFonts w:cs="Times New Roman"/>
          <w:u w:val="single"/>
          <w:lang w:val="en-US"/>
        </w:rPr>
      </w:pPr>
      <w:r w:rsidRPr="00AC4403">
        <w:rPr>
          <w:rFonts w:cs="Times New Roman"/>
          <w:u w:val="single"/>
          <w:lang w:val="en-US"/>
        </w:rPr>
        <w:t>Care Homes</w:t>
      </w:r>
      <w:r w:rsidR="00AC4403" w:rsidRPr="00AC4403">
        <w:rPr>
          <w:rFonts w:cs="Times New Roman"/>
          <w:u w:val="single"/>
          <w:lang w:val="en-US"/>
        </w:rPr>
        <w:t xml:space="preserve"> – a digression</w:t>
      </w:r>
    </w:p>
    <w:p w:rsidR="0081435A" w:rsidRPr="00AC4403" w:rsidRDefault="0081435A" w:rsidP="00AC4403">
      <w:pPr>
        <w:pStyle w:val="ListParagraph"/>
        <w:ind w:left="360"/>
        <w:jc w:val="both"/>
        <w:rPr>
          <w:bCs/>
          <w:lang w:val="en-US"/>
        </w:rPr>
      </w:pPr>
    </w:p>
    <w:p w:rsidR="0081435A" w:rsidRPr="00AC4403" w:rsidRDefault="0081435A" w:rsidP="0081435A">
      <w:pPr>
        <w:pStyle w:val="ListParagraph"/>
        <w:numPr>
          <w:ilvl w:val="0"/>
          <w:numId w:val="1"/>
        </w:numPr>
        <w:jc w:val="both"/>
        <w:rPr>
          <w:bCs/>
          <w:lang w:val="en-US"/>
        </w:rPr>
      </w:pPr>
      <w:r w:rsidRPr="00AC4403">
        <w:rPr>
          <w:bCs/>
          <w:i/>
          <w:u w:val="single"/>
          <w:lang w:val="en-US"/>
        </w:rPr>
        <w:t>DM v Doncaster</w:t>
      </w:r>
      <w:r w:rsidRPr="00AC4403">
        <w:rPr>
          <w:bCs/>
          <w:lang w:val="en-US"/>
        </w:rPr>
        <w:t xml:space="preserve"> [2011] EWHC 3652 (Admin) established that a local authority was entitled to charge for accommodation whilst the service was user was detained there under the Mental Capacity Act 2005.</w:t>
      </w:r>
    </w:p>
    <w:p w:rsidR="0081435A" w:rsidRPr="006E37AD" w:rsidRDefault="0081435A" w:rsidP="0081435A">
      <w:pPr>
        <w:pStyle w:val="ListParagraph"/>
        <w:rPr>
          <w:rFonts w:ascii="Verdana" w:hAnsi="Verdana"/>
          <w:sz w:val="19"/>
          <w:szCs w:val="19"/>
        </w:rPr>
      </w:pPr>
    </w:p>
    <w:p w:rsidR="0081435A" w:rsidRPr="00404CF2" w:rsidRDefault="0081435A" w:rsidP="0081435A">
      <w:pPr>
        <w:pStyle w:val="ListParagraph"/>
        <w:numPr>
          <w:ilvl w:val="0"/>
          <w:numId w:val="1"/>
        </w:numPr>
        <w:jc w:val="both"/>
        <w:rPr>
          <w:bCs/>
          <w:highlight w:val="yellow"/>
          <w:lang w:val="en-US"/>
        </w:rPr>
      </w:pPr>
      <w:r w:rsidRPr="00404CF2">
        <w:rPr>
          <w:bCs/>
          <w:i/>
          <w:u w:val="single"/>
          <w:lang w:val="en-US"/>
        </w:rPr>
        <w:t>R. (on the application of Mavalon Care Ltd) v Pembrokeshire CC</w:t>
      </w:r>
      <w:r w:rsidR="00AC4403" w:rsidRPr="00404CF2">
        <w:rPr>
          <w:bCs/>
          <w:i/>
          <w:lang w:val="en-US"/>
        </w:rPr>
        <w:t xml:space="preserve"> </w:t>
      </w:r>
      <w:r w:rsidRPr="00404CF2">
        <w:rPr>
          <w:bCs/>
          <w:lang w:val="en-US"/>
        </w:rPr>
        <w:t>[2011] EWHC 3371 (Admin) (6 December 2011) continued the line of cases about the setting of care home fees, and the relevance of the Laing &amp; Buisson</w:t>
      </w:r>
      <w:r w:rsidR="00FD1B30" w:rsidRPr="00404CF2">
        <w:rPr>
          <w:bCs/>
          <w:lang w:val="en-US"/>
        </w:rPr>
        <w:t xml:space="preserve"> ‘toolkit’, widely </w:t>
      </w:r>
      <w:r w:rsidRPr="00404CF2">
        <w:rPr>
          <w:bCs/>
          <w:lang w:val="en-US"/>
        </w:rPr>
        <w:t xml:space="preserve">adopted as the model for so doing.  </w:t>
      </w:r>
      <w:r w:rsidR="00767663" w:rsidRPr="00404CF2">
        <w:rPr>
          <w:bCs/>
          <w:lang w:val="en-US"/>
        </w:rPr>
        <w:t>However,</w:t>
      </w:r>
      <w:r w:rsidRPr="00404CF2">
        <w:rPr>
          <w:bCs/>
          <w:lang w:val="en-US"/>
        </w:rPr>
        <w:t xml:space="preserve"> </w:t>
      </w:r>
      <w:r w:rsidR="00767663" w:rsidRPr="00404CF2">
        <w:rPr>
          <w:bCs/>
          <w:lang w:val="en-US"/>
        </w:rPr>
        <w:t xml:space="preserve">more </w:t>
      </w:r>
      <w:r w:rsidRPr="00404CF2">
        <w:rPr>
          <w:bCs/>
          <w:lang w:val="en-US"/>
        </w:rPr>
        <w:t xml:space="preserve">recent cases that I am aware of </w:t>
      </w:r>
      <w:r w:rsidR="00767663" w:rsidRPr="00404CF2">
        <w:rPr>
          <w:bCs/>
          <w:lang w:val="en-US"/>
        </w:rPr>
        <w:t>are, first,</w:t>
      </w:r>
      <w:r w:rsidRPr="00404CF2">
        <w:rPr>
          <w:bCs/>
          <w:lang w:val="en-US"/>
        </w:rPr>
        <w:t xml:space="preserve"> </w:t>
      </w:r>
      <w:r w:rsidRPr="00404CF2">
        <w:rPr>
          <w:bCs/>
          <w:i/>
          <w:u w:val="single"/>
          <w:lang w:val="en-US"/>
        </w:rPr>
        <w:t>R. (on the application of Bevan &amp; Clarke LLP) v Neath Port CBC</w:t>
      </w:r>
      <w:r w:rsidRPr="00404CF2">
        <w:rPr>
          <w:bCs/>
          <w:lang w:val="en-US"/>
        </w:rPr>
        <w:t xml:space="preserve"> [2012] EWHC 236 (17 February 2012), in which the Court considered a challenge to the setting of fees.  It held that, first, such a decision was am</w:t>
      </w:r>
      <w:r w:rsidR="00404CF2" w:rsidRPr="00404CF2">
        <w:rPr>
          <w:bCs/>
          <w:lang w:val="en-US"/>
        </w:rPr>
        <w:t>enable to judicial review</w:t>
      </w:r>
      <w:r w:rsidR="00105FC7">
        <w:rPr>
          <w:bCs/>
          <w:lang w:val="en-US"/>
        </w:rPr>
        <w:t xml:space="preserve"> as it had a ‘public dimension’. </w:t>
      </w:r>
      <w:r w:rsidR="00404CF2" w:rsidRPr="00404CF2">
        <w:rPr>
          <w:bCs/>
        </w:rPr>
        <w:t xml:space="preserve"> </w:t>
      </w:r>
      <w:r w:rsidRPr="00404CF2">
        <w:rPr>
          <w:bCs/>
          <w:lang w:val="en-US"/>
        </w:rPr>
        <w:t xml:space="preserve">The scope of the judicial review extended, in principle, to all the conventional public law grounds subject to two qualifications: (i) the court should be cautious about interfering in a </w:t>
      </w:r>
      <w:r w:rsidRPr="00404CF2">
        <w:rPr>
          <w:bCs/>
          <w:lang w:val="en-US"/>
        </w:rPr>
        <w:lastRenderedPageBreak/>
        <w:t xml:space="preserve">process where the local authority was engaged in a contractual negotiation with providers who might wish to improve their contractual negotiating position by recourse to public </w:t>
      </w:r>
      <w:r w:rsidRPr="00105FC7">
        <w:rPr>
          <w:bCs/>
          <w:lang w:val="en-US"/>
        </w:rPr>
        <w:t>law principles; and (ii) where competitive tendering for contracts with public authorities was concerned, there was a different remedial st</w:t>
      </w:r>
      <w:r w:rsidR="00404CF2" w:rsidRPr="00105FC7">
        <w:rPr>
          <w:bCs/>
          <w:lang w:val="en-US"/>
        </w:rPr>
        <w:t xml:space="preserve">ructure. </w:t>
      </w:r>
    </w:p>
    <w:p w:rsidR="0081435A" w:rsidRPr="00AC4403" w:rsidRDefault="0081435A" w:rsidP="00AC4403">
      <w:pPr>
        <w:pStyle w:val="ListParagraph"/>
        <w:ind w:left="360"/>
        <w:jc w:val="both"/>
        <w:rPr>
          <w:bCs/>
          <w:lang w:val="en-US"/>
        </w:rPr>
      </w:pPr>
    </w:p>
    <w:p w:rsidR="0081435A" w:rsidRPr="00AC4403" w:rsidRDefault="0081435A" w:rsidP="0081435A">
      <w:pPr>
        <w:pStyle w:val="ListParagraph"/>
        <w:numPr>
          <w:ilvl w:val="0"/>
          <w:numId w:val="1"/>
        </w:numPr>
        <w:jc w:val="both"/>
        <w:rPr>
          <w:bCs/>
          <w:lang w:val="en-US"/>
        </w:rPr>
      </w:pPr>
      <w:r w:rsidRPr="00AC4403">
        <w:rPr>
          <w:bCs/>
          <w:lang w:val="en-US"/>
        </w:rPr>
        <w:t>That case was followed by</w:t>
      </w:r>
      <w:r w:rsidR="00284911">
        <w:rPr>
          <w:bCs/>
          <w:lang w:val="en-US"/>
        </w:rPr>
        <w:t xml:space="preserve"> </w:t>
      </w:r>
      <w:r w:rsidR="00284911" w:rsidRPr="00284911">
        <w:rPr>
          <w:bCs/>
          <w:i/>
          <w:u w:val="single"/>
          <w:lang w:val="en-US"/>
        </w:rPr>
        <w:t>R (</w:t>
      </w:r>
      <w:r w:rsidRPr="00284911">
        <w:rPr>
          <w:bCs/>
          <w:i/>
          <w:u w:val="single"/>
          <w:lang w:val="en-US"/>
        </w:rPr>
        <w:t>South West Care Homes Ltd</w:t>
      </w:r>
      <w:r w:rsidR="00284911" w:rsidRPr="00284911">
        <w:rPr>
          <w:bCs/>
          <w:i/>
          <w:u w:val="single"/>
          <w:lang w:val="en-US"/>
        </w:rPr>
        <w:t>)</w:t>
      </w:r>
      <w:r w:rsidRPr="00284911">
        <w:rPr>
          <w:bCs/>
          <w:i/>
          <w:u w:val="single"/>
          <w:lang w:val="en-US"/>
        </w:rPr>
        <w:t xml:space="preserve"> v Devon County Council</w:t>
      </w:r>
      <w:r w:rsidRPr="00AC4403">
        <w:rPr>
          <w:bCs/>
          <w:lang w:val="en-US"/>
        </w:rPr>
        <w:t xml:space="preserve"> [2012] EWHC 1867 (8 May 2012)</w:t>
      </w:r>
      <w:r w:rsidR="00284911">
        <w:rPr>
          <w:bCs/>
          <w:lang w:val="en-US"/>
        </w:rPr>
        <w:t>.</w:t>
      </w:r>
      <w:r w:rsidRPr="00AC4403">
        <w:rPr>
          <w:bCs/>
          <w:lang w:val="en-US"/>
        </w:rPr>
        <w:t xml:space="preserve"> </w:t>
      </w:r>
      <w:r w:rsidR="00284911">
        <w:rPr>
          <w:bCs/>
          <w:lang w:val="en-US"/>
        </w:rPr>
        <w:t>Devon CC</w:t>
      </w:r>
      <w:r w:rsidRPr="00AC4403">
        <w:rPr>
          <w:bCs/>
          <w:lang w:val="en-US"/>
        </w:rPr>
        <w:t xml:space="preserve"> had, for the second year running, decided not to award a fees increase.  The first ground was an allegation that there had been a failure to have due regard to the actual cost of care</w:t>
      </w:r>
      <w:r w:rsidR="00767663">
        <w:rPr>
          <w:bCs/>
          <w:lang w:val="en-US"/>
        </w:rPr>
        <w:t>,</w:t>
      </w:r>
      <w:r w:rsidRPr="00AC4403">
        <w:rPr>
          <w:bCs/>
          <w:lang w:val="en-US"/>
        </w:rPr>
        <w:t xml:space="preserve"> as required by statutory guidance.  It was agreed that this did not require a particular result; it was a duty to take this factor into account. The allegation was rejected on the facts.   It was common ground that there was no obligation to adopt the ‘toolkit’.  The second ground alleged that the Defendants had failed to assess the risk that their decision would lead to a reduction in the quality of care, contrary to the Article 8 rights of the residents; </w:t>
      </w:r>
      <w:r w:rsidR="001A6B67">
        <w:rPr>
          <w:bCs/>
          <w:lang w:val="en-US"/>
        </w:rPr>
        <w:t xml:space="preserve">but </w:t>
      </w:r>
      <w:r w:rsidRPr="00AC4403">
        <w:rPr>
          <w:bCs/>
          <w:lang w:val="en-US"/>
        </w:rPr>
        <w:t xml:space="preserve">this engaged the same problems of standing / status as have been discussed in the context of </w:t>
      </w:r>
      <w:r w:rsidRPr="00767663">
        <w:rPr>
          <w:bCs/>
          <w:i/>
          <w:u w:val="single"/>
          <w:lang w:val="en-US"/>
        </w:rPr>
        <w:t>Broadway</w:t>
      </w:r>
      <w:r w:rsidRPr="00AC4403">
        <w:rPr>
          <w:bCs/>
          <w:lang w:val="en-US"/>
        </w:rPr>
        <w:t xml:space="preserve">.  </w:t>
      </w:r>
      <w:r w:rsidR="00284911">
        <w:rPr>
          <w:bCs/>
          <w:lang w:val="en-US"/>
        </w:rPr>
        <w:t>The</w:t>
      </w:r>
      <w:r w:rsidRPr="00AC4403">
        <w:rPr>
          <w:bCs/>
          <w:lang w:val="en-US"/>
        </w:rPr>
        <w:t xml:space="preserve"> claimants succeeded in their claim that there had been a failure to consult properly.  The duty was established by a past practice of consultation, but there had been no invitation to engage whilst the proposals were at a formative stage. However, the claimants were refused a quashing order because of the passage of time, and the impact of relief on third parties. </w:t>
      </w:r>
    </w:p>
    <w:p w:rsidR="001B1C67" w:rsidRPr="00AC4403" w:rsidRDefault="001B1C67" w:rsidP="001B1C67">
      <w:pPr>
        <w:pStyle w:val="ListParagraph"/>
        <w:ind w:left="360"/>
        <w:jc w:val="both"/>
        <w:rPr>
          <w:bCs/>
          <w:lang w:val="en-US"/>
        </w:rPr>
      </w:pPr>
    </w:p>
    <w:p w:rsidR="005A7060" w:rsidRPr="005A7060" w:rsidRDefault="005A7060" w:rsidP="005A7060">
      <w:pPr>
        <w:pStyle w:val="ListParagraph"/>
        <w:ind w:left="360"/>
        <w:jc w:val="both"/>
        <w:rPr>
          <w:bCs/>
          <w:u w:val="single"/>
          <w:lang w:val="en-US"/>
        </w:rPr>
      </w:pPr>
      <w:r w:rsidRPr="005A7060">
        <w:rPr>
          <w:bCs/>
          <w:u w:val="single"/>
          <w:lang w:val="en-US"/>
        </w:rPr>
        <w:t>Article 10, ECHR</w:t>
      </w:r>
    </w:p>
    <w:p w:rsidR="00ED551F" w:rsidRPr="00ED551F" w:rsidRDefault="00ED551F" w:rsidP="00ED551F">
      <w:pPr>
        <w:pStyle w:val="ListParagraph"/>
        <w:autoSpaceDE w:val="0"/>
        <w:autoSpaceDN w:val="0"/>
        <w:adjustRightInd w:val="0"/>
        <w:spacing w:after="0" w:line="240" w:lineRule="auto"/>
        <w:ind w:left="360"/>
        <w:jc w:val="both"/>
        <w:rPr>
          <w:bCs/>
          <w:lang w:val="en-US"/>
        </w:rPr>
      </w:pPr>
    </w:p>
    <w:p w:rsidR="00933270" w:rsidRPr="005A7060" w:rsidRDefault="005A7060" w:rsidP="00870DFF">
      <w:pPr>
        <w:pStyle w:val="ListParagraph"/>
        <w:numPr>
          <w:ilvl w:val="0"/>
          <w:numId w:val="1"/>
        </w:numPr>
        <w:jc w:val="both"/>
        <w:rPr>
          <w:bCs/>
          <w:lang w:val="en-US"/>
        </w:rPr>
      </w:pPr>
      <w:r w:rsidRPr="005A7060">
        <w:rPr>
          <w:bCs/>
          <w:lang w:val="en-US"/>
        </w:rPr>
        <w:t>The</w:t>
      </w:r>
      <w:r w:rsidR="00933270" w:rsidRPr="005A7060">
        <w:rPr>
          <w:bCs/>
          <w:lang w:val="en-US"/>
        </w:rPr>
        <w:t xml:space="preserve"> </w:t>
      </w:r>
      <w:r w:rsidRPr="005A7060">
        <w:rPr>
          <w:bCs/>
          <w:lang w:val="en-US"/>
        </w:rPr>
        <w:t>d</w:t>
      </w:r>
      <w:r w:rsidR="00933270" w:rsidRPr="005A7060">
        <w:rPr>
          <w:bCs/>
          <w:lang w:val="en-US"/>
        </w:rPr>
        <w:t xml:space="preserve">ecision </w:t>
      </w:r>
      <w:r w:rsidRPr="005A7060">
        <w:rPr>
          <w:bCs/>
          <w:lang w:val="en-US"/>
        </w:rPr>
        <w:t xml:space="preserve">in </w:t>
      </w:r>
      <w:r w:rsidRPr="005A7060">
        <w:rPr>
          <w:bCs/>
          <w:i/>
          <w:u w:val="single"/>
          <w:lang w:val="en-US"/>
        </w:rPr>
        <w:t>Sugar v BBC</w:t>
      </w:r>
      <w:r w:rsidRPr="005A7060">
        <w:rPr>
          <w:bCs/>
          <w:lang w:val="en-US"/>
        </w:rPr>
        <w:t xml:space="preserve"> [2012] UKSC 4 was </w:t>
      </w:r>
      <w:r w:rsidR="0054501D" w:rsidRPr="005A7060">
        <w:rPr>
          <w:bCs/>
          <w:lang w:val="en-US"/>
        </w:rPr>
        <w:t xml:space="preserve">predominantly concerned with the issue of when </w:t>
      </w:r>
      <w:r w:rsidR="00933270" w:rsidRPr="005A7060">
        <w:rPr>
          <w:bCs/>
          <w:lang w:val="en-US"/>
        </w:rPr>
        <w:t xml:space="preserve">the BBC is a ‘public authority’ for the purposes of FOIA.   </w:t>
      </w:r>
      <w:r>
        <w:rPr>
          <w:bCs/>
          <w:lang w:val="en-US"/>
        </w:rPr>
        <w:t xml:space="preserve">But </w:t>
      </w:r>
      <w:r w:rsidR="00933270" w:rsidRPr="005A7060">
        <w:rPr>
          <w:bCs/>
          <w:lang w:val="en-US"/>
        </w:rPr>
        <w:t>the Supreme Court also considered the extent to which Article 10 created a right of access to information, as opposed to merely prohibiting the State from restricting a person from receiving information which others are willing to impart to him</w:t>
      </w:r>
      <w:r w:rsidR="0054501D" w:rsidRPr="005A7060">
        <w:rPr>
          <w:bCs/>
          <w:lang w:val="en-US"/>
        </w:rPr>
        <w:t xml:space="preserve"> (see </w:t>
      </w:r>
      <w:r w:rsidR="0054501D" w:rsidRPr="004B69CE">
        <w:rPr>
          <w:bCs/>
          <w:i/>
          <w:u w:val="single"/>
          <w:lang w:val="en-US"/>
        </w:rPr>
        <w:t>Leander v Sweden, Roche v UK</w:t>
      </w:r>
      <w:r w:rsidR="0054501D" w:rsidRPr="005A7060">
        <w:rPr>
          <w:bCs/>
          <w:lang w:val="en-US"/>
        </w:rPr>
        <w:t>)</w:t>
      </w:r>
      <w:r w:rsidR="00933270" w:rsidRPr="005A7060">
        <w:rPr>
          <w:bCs/>
          <w:lang w:val="en-US"/>
        </w:rPr>
        <w:t xml:space="preserve">.  </w:t>
      </w:r>
      <w:r w:rsidR="0054501D" w:rsidRPr="005A7060">
        <w:rPr>
          <w:bCs/>
          <w:lang w:val="en-US"/>
        </w:rPr>
        <w:t xml:space="preserve">The appellant relied on a trilogy of ECtHR cases which had </w:t>
      </w:r>
      <w:r w:rsidR="00ED551F" w:rsidRPr="005A7060">
        <w:rPr>
          <w:bCs/>
          <w:lang w:val="en-US"/>
        </w:rPr>
        <w:t xml:space="preserve">apparently </w:t>
      </w:r>
      <w:r w:rsidR="0054501D" w:rsidRPr="005A7060">
        <w:rPr>
          <w:bCs/>
          <w:lang w:val="en-US"/>
        </w:rPr>
        <w:t>move</w:t>
      </w:r>
      <w:r w:rsidR="00EB017F">
        <w:rPr>
          <w:bCs/>
          <w:lang w:val="en-US"/>
        </w:rPr>
        <w:t>d towards recognition of such a</w:t>
      </w:r>
      <w:r w:rsidR="0054501D" w:rsidRPr="005A7060">
        <w:rPr>
          <w:bCs/>
          <w:lang w:val="en-US"/>
        </w:rPr>
        <w:t xml:space="preserve"> </w:t>
      </w:r>
      <w:r w:rsidR="001A6B67">
        <w:rPr>
          <w:bCs/>
          <w:lang w:val="en-US"/>
        </w:rPr>
        <w:t>principle</w:t>
      </w:r>
      <w:r w:rsidR="0054501D" w:rsidRPr="005A7060">
        <w:rPr>
          <w:bCs/>
          <w:lang w:val="en-US"/>
        </w:rPr>
        <w:t xml:space="preserve">.  </w:t>
      </w:r>
      <w:r w:rsidR="00ED551F" w:rsidRPr="005A7060">
        <w:rPr>
          <w:bCs/>
          <w:lang w:val="en-US"/>
        </w:rPr>
        <w:t xml:space="preserve"> However, Lord Brown disagreed:-</w:t>
      </w:r>
    </w:p>
    <w:p w:rsidR="0054501D" w:rsidRDefault="0054501D" w:rsidP="0054501D">
      <w:pPr>
        <w:autoSpaceDE w:val="0"/>
        <w:autoSpaceDN w:val="0"/>
        <w:adjustRightInd w:val="0"/>
        <w:spacing w:after="0" w:line="240" w:lineRule="auto"/>
        <w:rPr>
          <w:rFonts w:ascii="Times New Roman" w:hAnsi="Times New Roman" w:cs="Times New Roman"/>
          <w:sz w:val="26"/>
          <w:szCs w:val="26"/>
        </w:rPr>
      </w:pPr>
    </w:p>
    <w:p w:rsidR="0054501D" w:rsidRPr="002238EB" w:rsidRDefault="0054501D" w:rsidP="002238EB">
      <w:pPr>
        <w:pStyle w:val="ListParagraph"/>
        <w:ind w:right="567"/>
        <w:jc w:val="both"/>
        <w:rPr>
          <w:bCs/>
          <w:lang w:val="en-US"/>
        </w:rPr>
      </w:pPr>
      <w:r w:rsidRPr="002238EB">
        <w:rPr>
          <w:bCs/>
          <w:lang w:val="en-US"/>
        </w:rPr>
        <w:t xml:space="preserve">“Of course, every public authority has in one sense “the censorial power of an </w:t>
      </w:r>
      <w:r w:rsidR="00191D40" w:rsidRPr="002238EB">
        <w:rPr>
          <w:bCs/>
          <w:lang w:val="en-US"/>
        </w:rPr>
        <w:t xml:space="preserve"> i</w:t>
      </w:r>
      <w:r w:rsidRPr="002238EB">
        <w:rPr>
          <w:bCs/>
          <w:lang w:val="en-US"/>
        </w:rPr>
        <w:t>nformation monopoly” in respect of its own internal documents. But that consideration alone cannot give rise to a prima facie interference with article 10 rights whenever the disclosure of such documents is refused. Such a view would conflict squarely with the Roche approach.”</w:t>
      </w:r>
    </w:p>
    <w:p w:rsidR="0054501D" w:rsidRDefault="0054501D" w:rsidP="0054501D">
      <w:pPr>
        <w:autoSpaceDE w:val="0"/>
        <w:autoSpaceDN w:val="0"/>
        <w:adjustRightInd w:val="0"/>
        <w:spacing w:after="0" w:line="240" w:lineRule="auto"/>
        <w:rPr>
          <w:rFonts w:cs="Times New Roman"/>
          <w:lang w:val="en-US"/>
        </w:rPr>
      </w:pPr>
    </w:p>
    <w:p w:rsidR="0054501D" w:rsidRPr="00870DFF" w:rsidRDefault="0054501D" w:rsidP="00870DFF">
      <w:pPr>
        <w:pStyle w:val="ListParagraph"/>
        <w:numPr>
          <w:ilvl w:val="0"/>
          <w:numId w:val="1"/>
        </w:numPr>
        <w:jc w:val="both"/>
        <w:rPr>
          <w:bCs/>
          <w:lang w:val="en-US"/>
        </w:rPr>
      </w:pPr>
      <w:r w:rsidRPr="00870DFF">
        <w:rPr>
          <w:bCs/>
          <w:lang w:val="en-US"/>
        </w:rPr>
        <w:t>For those with</w:t>
      </w:r>
      <w:r w:rsidR="001A6B67">
        <w:rPr>
          <w:bCs/>
          <w:lang w:val="en-US"/>
        </w:rPr>
        <w:t xml:space="preserve"> an interest in information law:</w:t>
      </w:r>
      <w:r w:rsidRPr="00870DFF">
        <w:rPr>
          <w:bCs/>
          <w:lang w:val="en-US"/>
        </w:rPr>
        <w:t xml:space="preserve">  the issue is likely to be revisited.  Lord Brown’s approach </w:t>
      </w:r>
      <w:r w:rsidR="004B69CE">
        <w:rPr>
          <w:bCs/>
          <w:lang w:val="en-US"/>
        </w:rPr>
        <w:t xml:space="preserve">has since </w:t>
      </w:r>
      <w:r w:rsidRPr="00870DFF">
        <w:rPr>
          <w:bCs/>
          <w:lang w:val="en-US"/>
        </w:rPr>
        <w:t xml:space="preserve">led the Court of Appeal to reverse the Information Rights Tribunal’s decision in </w:t>
      </w:r>
      <w:r w:rsidRPr="004B69CE">
        <w:rPr>
          <w:bCs/>
          <w:i/>
          <w:u w:val="single"/>
          <w:lang w:val="en-US"/>
        </w:rPr>
        <w:t>Kennedy v ICO,</w:t>
      </w:r>
      <w:r w:rsidRPr="00870DFF">
        <w:rPr>
          <w:bCs/>
          <w:lang w:val="en-US"/>
        </w:rPr>
        <w:t xml:space="preserve"> which concerned whether the exemption in s32 of FOIA should be ‘read down’ to be consistent </w:t>
      </w:r>
      <w:r w:rsidR="004B69CE">
        <w:rPr>
          <w:bCs/>
          <w:lang w:val="en-US"/>
        </w:rPr>
        <w:t>with Article 10.  The CA said Article 10 could not have that effect;</w:t>
      </w:r>
      <w:r w:rsidRPr="00870DFF">
        <w:rPr>
          <w:bCs/>
          <w:lang w:val="en-US"/>
        </w:rPr>
        <w:t xml:space="preserve"> but it granted permission to appeal to the Supreme Court, which is therefore likely to revisit the ground covered by Lord Brown, in greater detail.</w:t>
      </w:r>
    </w:p>
    <w:p w:rsidR="0054501D" w:rsidRPr="00870DFF" w:rsidRDefault="0054501D" w:rsidP="00870DFF">
      <w:pPr>
        <w:pStyle w:val="ListParagraph"/>
        <w:ind w:left="360"/>
        <w:jc w:val="both"/>
        <w:rPr>
          <w:bCs/>
          <w:lang w:val="en-US"/>
        </w:rPr>
      </w:pPr>
    </w:p>
    <w:p w:rsidR="00B5705E" w:rsidRPr="00B5705E" w:rsidRDefault="00B5705E" w:rsidP="005A7060">
      <w:pPr>
        <w:autoSpaceDE w:val="0"/>
        <w:autoSpaceDN w:val="0"/>
        <w:adjustRightInd w:val="0"/>
        <w:spacing w:after="0" w:line="240" w:lineRule="auto"/>
        <w:ind w:firstLine="360"/>
        <w:rPr>
          <w:rFonts w:cs="Times New Roman"/>
          <w:lang w:val="en-US"/>
        </w:rPr>
      </w:pPr>
      <w:r w:rsidRPr="005A7060">
        <w:rPr>
          <w:rFonts w:cs="Times New Roman"/>
          <w:u w:val="single"/>
          <w:lang w:val="en-US"/>
        </w:rPr>
        <w:lastRenderedPageBreak/>
        <w:t>Article 1, Protocol 1</w:t>
      </w:r>
      <w:r w:rsidRPr="00B5705E">
        <w:rPr>
          <w:rFonts w:cs="Times New Roman"/>
          <w:lang w:val="en-US"/>
        </w:rPr>
        <w:t xml:space="preserve">. </w:t>
      </w:r>
    </w:p>
    <w:p w:rsidR="00B5705E" w:rsidRPr="00B5705E" w:rsidRDefault="00B5705E" w:rsidP="00D039B2">
      <w:pPr>
        <w:autoSpaceDE w:val="0"/>
        <w:autoSpaceDN w:val="0"/>
        <w:adjustRightInd w:val="0"/>
        <w:spacing w:after="0" w:line="240" w:lineRule="auto"/>
        <w:rPr>
          <w:rFonts w:cs="Times New Roman"/>
          <w:lang w:val="en-US"/>
        </w:rPr>
      </w:pPr>
    </w:p>
    <w:p w:rsidR="00B5705E" w:rsidRPr="005A7060" w:rsidRDefault="001A6B67" w:rsidP="005A7060">
      <w:pPr>
        <w:pStyle w:val="ListParagraph"/>
        <w:numPr>
          <w:ilvl w:val="0"/>
          <w:numId w:val="1"/>
        </w:numPr>
        <w:jc w:val="both"/>
        <w:rPr>
          <w:bCs/>
          <w:lang w:val="en-US"/>
        </w:rPr>
      </w:pPr>
      <w:r>
        <w:rPr>
          <w:bCs/>
          <w:lang w:val="en-US"/>
        </w:rPr>
        <w:t>A major case in</w:t>
      </w:r>
      <w:r w:rsidR="00ED551F" w:rsidRPr="005A7060">
        <w:rPr>
          <w:bCs/>
          <w:lang w:val="en-US"/>
        </w:rPr>
        <w:t xml:space="preserve"> this difficult area </w:t>
      </w:r>
      <w:r w:rsidR="00B5705E" w:rsidRPr="005A7060">
        <w:rPr>
          <w:bCs/>
          <w:lang w:val="en-US"/>
        </w:rPr>
        <w:t xml:space="preserve">is </w:t>
      </w:r>
      <w:r w:rsidR="00B5705E" w:rsidRPr="003C6E54">
        <w:rPr>
          <w:bCs/>
          <w:i/>
          <w:u w:val="single"/>
          <w:lang w:val="en-US"/>
        </w:rPr>
        <w:t>R (New London College Ltd) v Secretary of State for the Home Department</w:t>
      </w:r>
      <w:r w:rsidR="00B5705E" w:rsidRPr="005A7060">
        <w:rPr>
          <w:bCs/>
          <w:lang w:val="en-US"/>
        </w:rPr>
        <w:t xml:space="preserve"> [2012] EWCA Civ 51 (CA).  This was a case concerning the revocation of a sponsor licence awarded to a FE college, which enabled the college to enroll students from overseas. </w:t>
      </w:r>
      <w:r w:rsidR="006075C0" w:rsidRPr="005A7060">
        <w:rPr>
          <w:bCs/>
          <w:lang w:val="en-US"/>
        </w:rPr>
        <w:t xml:space="preserve"> The leading judgment was delivered by Lord Justice Richards.</w:t>
      </w:r>
    </w:p>
    <w:p w:rsidR="006075C0" w:rsidRPr="005A7060" w:rsidRDefault="006075C0" w:rsidP="005A7060">
      <w:pPr>
        <w:pStyle w:val="ListParagraph"/>
        <w:ind w:left="360"/>
        <w:jc w:val="both"/>
        <w:rPr>
          <w:bCs/>
          <w:lang w:val="en-US"/>
        </w:rPr>
      </w:pPr>
    </w:p>
    <w:p w:rsidR="005A7060" w:rsidRDefault="00B5705E" w:rsidP="005A7060">
      <w:pPr>
        <w:pStyle w:val="ListParagraph"/>
        <w:numPr>
          <w:ilvl w:val="0"/>
          <w:numId w:val="1"/>
        </w:numPr>
        <w:jc w:val="both"/>
        <w:rPr>
          <w:bCs/>
          <w:lang w:val="en-US"/>
        </w:rPr>
      </w:pPr>
      <w:r w:rsidRPr="005A7060">
        <w:rPr>
          <w:bCs/>
          <w:lang w:val="en-US"/>
        </w:rPr>
        <w:t>The first issue was whether</w:t>
      </w:r>
      <w:r w:rsidR="005A7060">
        <w:rPr>
          <w:bCs/>
          <w:lang w:val="en-US"/>
        </w:rPr>
        <w:t xml:space="preserve"> the system of sponsor licensing, under </w:t>
      </w:r>
      <w:r w:rsidRPr="005A7060">
        <w:rPr>
          <w:bCs/>
          <w:lang w:val="en-US"/>
        </w:rPr>
        <w:t>which the suspension and withdrawa</w:t>
      </w:r>
      <w:r w:rsidR="005A7060">
        <w:rPr>
          <w:bCs/>
          <w:lang w:val="en-US"/>
        </w:rPr>
        <w:t>l decisions were taken, wa</w:t>
      </w:r>
      <w:r w:rsidRPr="005A7060">
        <w:rPr>
          <w:bCs/>
          <w:lang w:val="en-US"/>
        </w:rPr>
        <w:t>s unlawful,</w:t>
      </w:r>
      <w:r w:rsidR="005A7060">
        <w:rPr>
          <w:bCs/>
          <w:lang w:val="en-US"/>
        </w:rPr>
        <w:t xml:space="preserve"> in that</w:t>
      </w:r>
      <w:r w:rsidR="004B69CE">
        <w:rPr>
          <w:bCs/>
          <w:lang w:val="en-US"/>
        </w:rPr>
        <w:t xml:space="preserve"> it was argued that</w:t>
      </w:r>
      <w:r w:rsidR="005A7060">
        <w:rPr>
          <w:bCs/>
          <w:lang w:val="en-US"/>
        </w:rPr>
        <w:t xml:space="preserve"> </w:t>
      </w:r>
      <w:r w:rsidRPr="005A7060">
        <w:rPr>
          <w:bCs/>
          <w:lang w:val="en-US"/>
        </w:rPr>
        <w:t xml:space="preserve">the relevant requirements </w:t>
      </w:r>
      <w:r w:rsidR="004B69CE">
        <w:rPr>
          <w:bCs/>
          <w:lang w:val="en-US"/>
        </w:rPr>
        <w:t xml:space="preserve">should have been </w:t>
      </w:r>
      <w:r w:rsidRPr="005A7060">
        <w:rPr>
          <w:bCs/>
          <w:lang w:val="en-US"/>
        </w:rPr>
        <w:t xml:space="preserve">included in rules laid before Parliament pursuant to </w:t>
      </w:r>
      <w:hyperlink r:id="rId11" w:history="1">
        <w:r w:rsidRPr="005A7060">
          <w:rPr>
            <w:bCs/>
            <w:lang w:val="en-US"/>
          </w:rPr>
          <w:t>section 3(2)</w:t>
        </w:r>
      </w:hyperlink>
      <w:r w:rsidRPr="005A7060">
        <w:rPr>
          <w:bCs/>
          <w:lang w:val="en-US"/>
        </w:rPr>
        <w:t xml:space="preserve"> of the 1971 Act </w:t>
      </w:r>
      <w:r w:rsidR="004B69CE">
        <w:rPr>
          <w:bCs/>
          <w:lang w:val="en-US"/>
        </w:rPr>
        <w:t>and could not</w:t>
      </w:r>
      <w:r w:rsidRPr="005A7060">
        <w:rPr>
          <w:bCs/>
          <w:lang w:val="en-US"/>
        </w:rPr>
        <w:t xml:space="preserve"> lawfully be contained in poli</w:t>
      </w:r>
      <w:r w:rsidR="005A7060">
        <w:rPr>
          <w:bCs/>
          <w:lang w:val="en-US"/>
        </w:rPr>
        <w:t xml:space="preserve">cy guidance outside the rules.  The Court held that since the withdrawal of a licence had only an indirect effect on the grant of leave to enter or remain, s3(2) was not engaged.  </w:t>
      </w:r>
      <w:r w:rsidRPr="005A7060">
        <w:rPr>
          <w:bCs/>
          <w:lang w:val="en-US"/>
        </w:rPr>
        <w:t xml:space="preserve"> This </w:t>
      </w:r>
      <w:r w:rsidR="00870DFF" w:rsidRPr="005A7060">
        <w:rPr>
          <w:bCs/>
          <w:lang w:val="en-US"/>
        </w:rPr>
        <w:t xml:space="preserve">was the </w:t>
      </w:r>
      <w:r w:rsidR="00870DFF" w:rsidRPr="001A6B67">
        <w:rPr>
          <w:bCs/>
          <w:i/>
          <w:u w:val="single"/>
          <w:lang w:val="en-US"/>
        </w:rPr>
        <w:t>Pankina</w:t>
      </w:r>
      <w:r w:rsidR="00870DFF" w:rsidRPr="005A7060">
        <w:rPr>
          <w:bCs/>
          <w:lang w:val="en-US"/>
        </w:rPr>
        <w:t xml:space="preserve"> issue, now </w:t>
      </w:r>
      <w:r w:rsidR="005A7060">
        <w:rPr>
          <w:bCs/>
          <w:lang w:val="en-US"/>
        </w:rPr>
        <w:t xml:space="preserve">potentially </w:t>
      </w:r>
      <w:r w:rsidR="00870DFF" w:rsidRPr="005A7060">
        <w:rPr>
          <w:bCs/>
          <w:lang w:val="en-US"/>
        </w:rPr>
        <w:t xml:space="preserve">to be (re)considered in the light of the </w:t>
      </w:r>
      <w:r w:rsidR="00870DFF" w:rsidRPr="005A7060">
        <w:rPr>
          <w:bCs/>
          <w:i/>
          <w:u w:val="single"/>
          <w:lang w:val="en-US"/>
        </w:rPr>
        <w:t>Alvi</w:t>
      </w:r>
      <w:r w:rsidR="00870DFF" w:rsidRPr="005A7060">
        <w:rPr>
          <w:bCs/>
          <w:lang w:val="en-US"/>
        </w:rPr>
        <w:t xml:space="preserve"> judgment.</w:t>
      </w:r>
      <w:r w:rsidR="005A7060">
        <w:rPr>
          <w:bCs/>
          <w:lang w:val="en-US"/>
        </w:rPr>
        <w:t xml:space="preserve">  </w:t>
      </w:r>
    </w:p>
    <w:p w:rsidR="005A7060" w:rsidRPr="005A7060" w:rsidRDefault="005A7060" w:rsidP="005A7060">
      <w:pPr>
        <w:pStyle w:val="ListParagraph"/>
        <w:rPr>
          <w:rFonts w:ascii="Verdana" w:eastAsia="Times New Roman" w:hAnsi="Verdana" w:cs="Times New Roman"/>
          <w:sz w:val="19"/>
          <w:szCs w:val="19"/>
          <w:lang w:val="en-US"/>
        </w:rPr>
      </w:pPr>
    </w:p>
    <w:p w:rsidR="00E206C2" w:rsidRDefault="005A7060" w:rsidP="00E206C2">
      <w:pPr>
        <w:pStyle w:val="ListParagraph"/>
        <w:numPr>
          <w:ilvl w:val="0"/>
          <w:numId w:val="1"/>
        </w:numPr>
        <w:jc w:val="both"/>
        <w:rPr>
          <w:bCs/>
          <w:lang w:val="en-US"/>
        </w:rPr>
      </w:pPr>
      <w:r w:rsidRPr="00E206C2">
        <w:rPr>
          <w:bCs/>
          <w:lang w:val="en-US"/>
        </w:rPr>
        <w:t>A suggestion that Article 6</w:t>
      </w:r>
      <w:r w:rsidR="00E206C2" w:rsidRPr="00E206C2">
        <w:rPr>
          <w:bCs/>
          <w:lang w:val="en-US"/>
        </w:rPr>
        <w:t xml:space="preserve"> required that decisions be taken by a court-like body was rejected</w:t>
      </w:r>
      <w:r w:rsidR="004B69CE">
        <w:rPr>
          <w:bCs/>
          <w:lang w:val="en-US"/>
        </w:rPr>
        <w:t xml:space="preserve"> by Richards LJ</w:t>
      </w:r>
      <w:r w:rsidR="00E206C2" w:rsidRPr="00E206C2">
        <w:rPr>
          <w:bCs/>
          <w:lang w:val="en-US"/>
        </w:rPr>
        <w:t>:</w:t>
      </w:r>
      <w:r w:rsidR="009D1B6A" w:rsidRPr="00E206C2">
        <w:rPr>
          <w:bCs/>
          <w:lang w:val="en-US"/>
        </w:rPr>
        <w:t xml:space="preserve">  “I am not persuaded by those submissions. It must be recalled that sponsor licences do no more than confer a right to issue a CAS which will be recognised by UKBA for immigration purposes. In this context the administrative decision-making process provided for in the guidance, coupled with the availability of judicial review on conventional grounds, is in my view adequate to ensure a fair determination w</w:t>
      </w:r>
      <w:r w:rsidR="004B69CE">
        <w:rPr>
          <w:bCs/>
          <w:lang w:val="en-US"/>
        </w:rPr>
        <w:t>ithin the meaning of article 6.”</w:t>
      </w:r>
    </w:p>
    <w:p w:rsidR="00E206C2" w:rsidRPr="00E206C2" w:rsidRDefault="00E206C2" w:rsidP="00E206C2">
      <w:pPr>
        <w:pStyle w:val="ListParagraph"/>
        <w:rPr>
          <w:rFonts w:ascii="Verdana" w:hAnsi="Verdana"/>
          <w:sz w:val="19"/>
          <w:szCs w:val="19"/>
        </w:rPr>
      </w:pPr>
    </w:p>
    <w:p w:rsidR="0011433B" w:rsidRPr="00E206C2" w:rsidRDefault="00AB2A75" w:rsidP="00E206C2">
      <w:pPr>
        <w:pStyle w:val="ListParagraph"/>
        <w:numPr>
          <w:ilvl w:val="0"/>
          <w:numId w:val="1"/>
        </w:numPr>
        <w:jc w:val="both"/>
        <w:rPr>
          <w:bCs/>
          <w:lang w:val="en-US"/>
        </w:rPr>
      </w:pPr>
      <w:r w:rsidRPr="00E206C2">
        <w:rPr>
          <w:bCs/>
          <w:lang w:val="en-US"/>
        </w:rPr>
        <w:t xml:space="preserve">On the issue of Article 1, Protocol 1, the </w:t>
      </w:r>
      <w:r w:rsidR="004B69CE">
        <w:rPr>
          <w:bCs/>
          <w:lang w:val="en-US"/>
        </w:rPr>
        <w:t xml:space="preserve">judge noted </w:t>
      </w:r>
      <w:r w:rsidRPr="00E206C2">
        <w:rPr>
          <w:bCs/>
          <w:lang w:val="en-US"/>
        </w:rPr>
        <w:t>that “</w:t>
      </w:r>
      <w:r w:rsidR="009D1B6A" w:rsidRPr="00E206C2">
        <w:rPr>
          <w:bCs/>
          <w:lang w:val="en-US"/>
        </w:rPr>
        <w:t>It is well established that the concept of “possessions” in A1P1 has an autonomous Convention meaning, independent of classifications in domestic law. Unfortunately it is quite difficult to determine how that concept applies in a licensing context such as that with which we are concerned in this case.</w:t>
      </w:r>
      <w:r w:rsidRPr="00E206C2">
        <w:rPr>
          <w:bCs/>
          <w:lang w:val="en-US"/>
        </w:rPr>
        <w:t xml:space="preserve">” (paragraph 82).   </w:t>
      </w:r>
      <w:r w:rsidR="004B69CE">
        <w:rPr>
          <w:bCs/>
          <w:lang w:val="en-US"/>
        </w:rPr>
        <w:t xml:space="preserve">He </w:t>
      </w:r>
      <w:r w:rsidRPr="00E206C2">
        <w:rPr>
          <w:bCs/>
          <w:lang w:val="en-US"/>
        </w:rPr>
        <w:t xml:space="preserve">continued by discussing the difference between </w:t>
      </w:r>
      <w:r w:rsidR="00F8384D" w:rsidRPr="00E206C2">
        <w:rPr>
          <w:bCs/>
          <w:i/>
          <w:iCs/>
          <w:lang w:val="en-US"/>
        </w:rPr>
        <w:t xml:space="preserve">loss of goodwill </w:t>
      </w:r>
      <w:r w:rsidR="00F8384D" w:rsidRPr="00E206C2">
        <w:rPr>
          <w:bCs/>
          <w:lang w:val="en-US"/>
        </w:rPr>
        <w:t xml:space="preserve">and a mere </w:t>
      </w:r>
      <w:r w:rsidR="00F8384D" w:rsidRPr="00E206C2">
        <w:rPr>
          <w:bCs/>
          <w:i/>
          <w:iCs/>
          <w:lang w:val="en-US"/>
        </w:rPr>
        <w:t>loss of future income</w:t>
      </w:r>
      <w:r w:rsidR="00F8384D" w:rsidRPr="00E206C2">
        <w:rPr>
          <w:bCs/>
          <w:lang w:val="en-US"/>
        </w:rPr>
        <w:t xml:space="preserve">. </w:t>
      </w:r>
      <w:r w:rsidR="004B69CE">
        <w:rPr>
          <w:bCs/>
          <w:lang w:val="en-US"/>
        </w:rPr>
        <w:t xml:space="preserve">  He</w:t>
      </w:r>
      <w:r w:rsidRPr="00E206C2">
        <w:rPr>
          <w:bCs/>
          <w:lang w:val="en-US"/>
        </w:rPr>
        <w:t xml:space="preserve"> noted that i</w:t>
      </w:r>
      <w:r w:rsidR="00F8384D" w:rsidRPr="00E206C2">
        <w:rPr>
          <w:bCs/>
          <w:lang w:val="en-US"/>
        </w:rPr>
        <w:t xml:space="preserve">n </w:t>
      </w:r>
      <w:hyperlink r:id="rId12" w:history="1">
        <w:r w:rsidR="00F8384D" w:rsidRPr="004B69CE">
          <w:rPr>
            <w:bCs/>
            <w:i/>
            <w:u w:val="single"/>
            <w:lang w:val="en-US"/>
          </w:rPr>
          <w:t>Denimark Limited v United Kingdom</w:t>
        </w:r>
        <w:r w:rsidR="00F8384D" w:rsidRPr="00E206C2">
          <w:rPr>
            <w:bCs/>
            <w:lang w:val="en-US"/>
          </w:rPr>
          <w:t xml:space="preserve"> (2000) 30 EHRR CD 144</w:t>
        </w:r>
      </w:hyperlink>
      <w:r w:rsidR="00F8384D" w:rsidRPr="00E206C2">
        <w:rPr>
          <w:bCs/>
          <w:lang w:val="en-US"/>
        </w:rPr>
        <w:t xml:space="preserve"> “The Court recalls its case-law that goodwill may be an element in the valuation of a professional practice, but that future income itself is only a ‘possession’ once it has been earned, or an enforceable claim to it exists ….”</w:t>
      </w:r>
    </w:p>
    <w:p w:rsidR="0011433B" w:rsidRPr="00E206C2" w:rsidRDefault="0011433B" w:rsidP="00E206C2">
      <w:pPr>
        <w:pStyle w:val="ListParagraph"/>
        <w:ind w:left="360"/>
        <w:jc w:val="both"/>
        <w:rPr>
          <w:bCs/>
          <w:lang w:val="en-US"/>
        </w:rPr>
      </w:pPr>
    </w:p>
    <w:p w:rsidR="004B69CE" w:rsidRDefault="004B69CE" w:rsidP="004B69CE">
      <w:pPr>
        <w:pStyle w:val="ListParagraph"/>
        <w:numPr>
          <w:ilvl w:val="0"/>
          <w:numId w:val="1"/>
        </w:numPr>
        <w:jc w:val="both"/>
        <w:rPr>
          <w:bCs/>
          <w:lang w:val="en-US"/>
        </w:rPr>
      </w:pPr>
      <w:r>
        <w:rPr>
          <w:bCs/>
          <w:lang w:val="en-US"/>
        </w:rPr>
        <w:t xml:space="preserve">The Court </w:t>
      </w:r>
      <w:r w:rsidR="00AB2A75" w:rsidRPr="00E206C2">
        <w:rPr>
          <w:bCs/>
          <w:lang w:val="en-US"/>
        </w:rPr>
        <w:t>went on to find</w:t>
      </w:r>
      <w:r w:rsidR="00D725A6" w:rsidRPr="00E206C2">
        <w:rPr>
          <w:bCs/>
          <w:lang w:val="en-US"/>
        </w:rPr>
        <w:t>, first,</w:t>
      </w:r>
      <w:r w:rsidR="00AB2A75" w:rsidRPr="00E206C2">
        <w:rPr>
          <w:bCs/>
          <w:lang w:val="en-US"/>
        </w:rPr>
        <w:t xml:space="preserve"> that </w:t>
      </w:r>
      <w:r w:rsidR="00F8384D" w:rsidRPr="00E206C2">
        <w:rPr>
          <w:bCs/>
          <w:lang w:val="en-US"/>
        </w:rPr>
        <w:t xml:space="preserve">a sponsor licence is </w:t>
      </w:r>
      <w:r w:rsidR="00AB2A75" w:rsidRPr="00E206C2">
        <w:rPr>
          <w:bCs/>
          <w:lang w:val="en-US"/>
        </w:rPr>
        <w:t xml:space="preserve">plainly </w:t>
      </w:r>
      <w:r w:rsidR="00F8384D" w:rsidRPr="00E206C2">
        <w:rPr>
          <w:bCs/>
          <w:lang w:val="en-US"/>
        </w:rPr>
        <w:t>not itself a possession within A1P</w:t>
      </w:r>
      <w:r>
        <w:rPr>
          <w:bCs/>
          <w:lang w:val="en-US"/>
        </w:rPr>
        <w:t>1. “</w:t>
      </w:r>
      <w:r w:rsidR="00F8384D" w:rsidRPr="00E206C2">
        <w:rPr>
          <w:bCs/>
          <w:lang w:val="en-US"/>
        </w:rPr>
        <w:t xml:space="preserve">A sponsor licence is not marketable or even transferable, nor is it obtained at a market price. </w:t>
      </w:r>
      <w:r w:rsidR="00D725A6" w:rsidRPr="00E206C2">
        <w:rPr>
          <w:bCs/>
          <w:lang w:val="en-US"/>
        </w:rPr>
        <w:t>The</w:t>
      </w:r>
      <w:r w:rsidR="00F8384D" w:rsidRPr="00E206C2">
        <w:rPr>
          <w:bCs/>
          <w:lang w:val="en-US"/>
        </w:rPr>
        <w:t xml:space="preserve"> sale of a business having the benefit of a licence would </w:t>
      </w:r>
      <w:r w:rsidR="00D725A6" w:rsidRPr="00E206C2">
        <w:rPr>
          <w:bCs/>
          <w:lang w:val="en-US"/>
        </w:rPr>
        <w:t xml:space="preserve">not </w:t>
      </w:r>
      <w:r w:rsidR="00F8384D" w:rsidRPr="00E206C2">
        <w:rPr>
          <w:bCs/>
          <w:lang w:val="en-US"/>
        </w:rPr>
        <w:t>in substance be a transfer of the licence. The new owner would have to satisfy UKBA that the conditions for grant of a licence were met under the new ownership.</w:t>
      </w:r>
      <w:r>
        <w:rPr>
          <w:bCs/>
          <w:lang w:val="en-US"/>
        </w:rPr>
        <w:t xml:space="preserve">“.  The judgment </w:t>
      </w:r>
      <w:r w:rsidR="00D725A6" w:rsidRPr="00E206C2">
        <w:rPr>
          <w:bCs/>
          <w:lang w:val="en-US"/>
        </w:rPr>
        <w:t>continued:-</w:t>
      </w:r>
    </w:p>
    <w:p w:rsidR="004B69CE" w:rsidRDefault="004B69CE" w:rsidP="004B69CE">
      <w:pPr>
        <w:pStyle w:val="ListParagraph"/>
        <w:rPr>
          <w:rFonts w:ascii="Verdana" w:hAnsi="Verdana"/>
          <w:b/>
          <w:sz w:val="19"/>
          <w:szCs w:val="19"/>
          <w:u w:val="single"/>
        </w:rPr>
      </w:pPr>
    </w:p>
    <w:p w:rsidR="004B69CE" w:rsidRPr="0011433B" w:rsidRDefault="004B69CE" w:rsidP="004B69CE">
      <w:pPr>
        <w:pStyle w:val="ListParagraph"/>
        <w:spacing w:after="0"/>
        <w:ind w:right="510"/>
        <w:jc w:val="both"/>
        <w:rPr>
          <w:rFonts w:ascii="Verdana" w:eastAsia="Times New Roman" w:hAnsi="Verdana" w:cs="Times New Roman"/>
          <w:sz w:val="19"/>
          <w:szCs w:val="19"/>
          <w:lang w:val="en-US"/>
        </w:rPr>
      </w:pPr>
      <w:r>
        <w:rPr>
          <w:rFonts w:ascii="Verdana" w:hAnsi="Verdana"/>
          <w:sz w:val="19"/>
          <w:szCs w:val="19"/>
        </w:rPr>
        <w:t>“</w:t>
      </w:r>
      <w:r w:rsidRPr="0011433B">
        <w:rPr>
          <w:rFonts w:ascii="Verdana" w:hAnsi="Verdana"/>
          <w:sz w:val="19"/>
          <w:szCs w:val="19"/>
        </w:rPr>
        <w:t xml:space="preserve">95 The principal factor leading Wyn Williams J to find that the suspension and withdrawal of a sponsor licence nevertheless engaged A1PI was the apparent parallel with the withdrawal of the liquor licence in </w:t>
      </w:r>
      <w:r w:rsidRPr="003C6E54">
        <w:rPr>
          <w:rFonts w:ascii="Verdana" w:hAnsi="Verdana"/>
          <w:b/>
          <w:sz w:val="19"/>
          <w:szCs w:val="19"/>
        </w:rPr>
        <w:t>Tre Traktörer</w:t>
      </w:r>
      <w:r w:rsidRPr="0011433B">
        <w:rPr>
          <w:rFonts w:ascii="Verdana" w:hAnsi="Verdana"/>
          <w:sz w:val="19"/>
          <w:szCs w:val="19"/>
        </w:rPr>
        <w:t xml:space="preserve"> . There is obvious attraction in that line of reasoning, given the undoubted effect on the business in each case. The judge did not grapple, however, with the question whether the adverse effect in the present case amounts to an effect on goodwill, in the sense </w:t>
      </w:r>
      <w:r w:rsidRPr="0011433B">
        <w:rPr>
          <w:rFonts w:ascii="Verdana" w:hAnsi="Verdana"/>
          <w:sz w:val="19"/>
          <w:szCs w:val="19"/>
        </w:rPr>
        <w:lastRenderedPageBreak/>
        <w:t xml:space="preserve">used in the authorities, or only to a loss of future income (albeit a loss with serious economic consequences for the business). I agree with Mr Palmer that he needed to do so. The distinction is far from clear but one has to decide which side of the line the case falls, since the relevant possession is the goodwill of the business, and the suspension or withdrawal of a licence will not amount to an interference with the right to peaceful enjoyment of possessions within A1P1 unless it has an adverse effect on that goodwill. </w:t>
      </w:r>
    </w:p>
    <w:p w:rsidR="004B69CE" w:rsidRPr="0011433B" w:rsidRDefault="004B69CE" w:rsidP="004B69CE">
      <w:pPr>
        <w:pStyle w:val="ListParagraph"/>
        <w:ind w:left="1080" w:right="510"/>
        <w:jc w:val="both"/>
        <w:rPr>
          <w:rFonts w:ascii="Verdana" w:hAnsi="Verdana"/>
          <w:sz w:val="19"/>
          <w:szCs w:val="19"/>
        </w:rPr>
      </w:pPr>
    </w:p>
    <w:p w:rsidR="004B69CE" w:rsidRDefault="004B69CE" w:rsidP="004B69CE">
      <w:pPr>
        <w:pStyle w:val="ListParagraph"/>
        <w:spacing w:after="0"/>
        <w:ind w:right="510"/>
        <w:jc w:val="both"/>
        <w:rPr>
          <w:rFonts w:ascii="Verdana" w:hAnsi="Verdana"/>
          <w:sz w:val="19"/>
          <w:szCs w:val="19"/>
        </w:rPr>
      </w:pPr>
      <w:r w:rsidRPr="0011433B">
        <w:rPr>
          <w:rFonts w:ascii="Verdana" w:hAnsi="Verdana"/>
          <w:sz w:val="19"/>
          <w:szCs w:val="19"/>
        </w:rPr>
        <w:t xml:space="preserve">96 Kenneth Parker J in </w:t>
      </w:r>
      <w:r w:rsidRPr="003C6E54">
        <w:rPr>
          <w:rFonts w:ascii="Verdana" w:hAnsi="Verdana"/>
          <w:b/>
          <w:sz w:val="19"/>
          <w:szCs w:val="19"/>
        </w:rPr>
        <w:t>Nicholds</w:t>
      </w:r>
      <w:r w:rsidRPr="0011433B">
        <w:rPr>
          <w:rFonts w:ascii="Verdana" w:hAnsi="Verdana"/>
          <w:sz w:val="19"/>
          <w:szCs w:val="19"/>
        </w:rPr>
        <w:t xml:space="preserve"> was of the view that “goodwill” in this context means the capitalised value of the business as a going concern. Mr Gill did not seek to challenge the correctness of that view. Whilst there is evidence in this case of the economic disruption caused by the suspension of the college's licence, and liable to be caused by the withdrawal of the licence, the evidence does not deal with the goodwill of the business in t</w:t>
      </w:r>
      <w:r>
        <w:rPr>
          <w:rFonts w:ascii="Verdana" w:hAnsi="Verdana"/>
          <w:sz w:val="19"/>
          <w:szCs w:val="19"/>
        </w:rPr>
        <w:t>he sense identified in Nicholds</w:t>
      </w:r>
      <w:r w:rsidRPr="0011433B">
        <w:rPr>
          <w:rFonts w:ascii="Verdana" w:hAnsi="Verdana"/>
          <w:sz w:val="19"/>
          <w:szCs w:val="19"/>
        </w:rPr>
        <w:t>. Thus there is no concrete evidential basis on which to found a conclusion that the goodwill of the business has been or would be adversely affected by suspension or withdrawal of the licence. Nor, as it seems to me, can such an effect be inferred from t</w:t>
      </w:r>
      <w:r>
        <w:rPr>
          <w:rFonts w:ascii="Verdana" w:hAnsi="Verdana"/>
          <w:sz w:val="19"/>
          <w:szCs w:val="19"/>
        </w:rPr>
        <w:t>he information available to us.”</w:t>
      </w:r>
    </w:p>
    <w:p w:rsidR="004B69CE" w:rsidRPr="004B69CE" w:rsidRDefault="004B69CE" w:rsidP="004B69CE">
      <w:pPr>
        <w:pStyle w:val="ListParagraph"/>
        <w:rPr>
          <w:rFonts w:ascii="Verdana" w:hAnsi="Verdana"/>
          <w:b/>
          <w:sz w:val="19"/>
          <w:szCs w:val="19"/>
          <w:u w:val="single"/>
        </w:rPr>
      </w:pPr>
    </w:p>
    <w:p w:rsidR="004B69CE" w:rsidRPr="004B69CE" w:rsidRDefault="00E206C2" w:rsidP="004B69CE">
      <w:pPr>
        <w:pStyle w:val="ListParagraph"/>
        <w:ind w:left="360"/>
        <w:jc w:val="both"/>
        <w:rPr>
          <w:bCs/>
          <w:lang w:val="en-US"/>
        </w:rPr>
      </w:pPr>
      <w:r w:rsidRPr="004B69CE">
        <w:rPr>
          <w:rFonts w:ascii="Verdana" w:hAnsi="Verdana"/>
          <w:b/>
          <w:sz w:val="19"/>
          <w:szCs w:val="19"/>
          <w:u w:val="single"/>
        </w:rPr>
        <w:t>Article 2, Protocol 1</w:t>
      </w:r>
    </w:p>
    <w:p w:rsidR="004B69CE" w:rsidRPr="004B69CE" w:rsidRDefault="004B69CE" w:rsidP="004B69CE">
      <w:pPr>
        <w:pStyle w:val="ListParagraph"/>
        <w:rPr>
          <w:rFonts w:eastAsia="Times New Roman" w:cs="Times New Roman"/>
          <w:i/>
          <w:u w:val="single"/>
          <w:lang w:val="en-US"/>
        </w:rPr>
      </w:pPr>
    </w:p>
    <w:p w:rsidR="004B69CE" w:rsidRPr="004B69CE" w:rsidRDefault="008336B7" w:rsidP="004B69CE">
      <w:pPr>
        <w:pStyle w:val="ListParagraph"/>
        <w:numPr>
          <w:ilvl w:val="0"/>
          <w:numId w:val="1"/>
        </w:numPr>
        <w:jc w:val="both"/>
        <w:rPr>
          <w:bCs/>
          <w:lang w:val="en-US"/>
        </w:rPr>
      </w:pPr>
      <w:r w:rsidRPr="004B69CE">
        <w:rPr>
          <w:rFonts w:eastAsia="Times New Roman" w:cs="Times New Roman"/>
          <w:i/>
          <w:u w:val="single"/>
          <w:lang w:val="en-US"/>
        </w:rPr>
        <w:t xml:space="preserve">R(Hurley and Moore) v Secretary of State for Business, </w:t>
      </w:r>
      <w:r w:rsidR="00AB0843" w:rsidRPr="004B69CE">
        <w:rPr>
          <w:rFonts w:eastAsia="Times New Roman" w:cs="Times New Roman"/>
          <w:i/>
          <w:u w:val="single"/>
          <w:lang w:val="en-US"/>
        </w:rPr>
        <w:t>Innovation</w:t>
      </w:r>
      <w:r w:rsidRPr="004B69CE">
        <w:rPr>
          <w:rFonts w:eastAsia="Times New Roman" w:cs="Times New Roman"/>
          <w:i/>
          <w:u w:val="single"/>
          <w:lang w:val="en-US"/>
        </w:rPr>
        <w:t xml:space="preserve"> and Skills</w:t>
      </w:r>
      <w:r w:rsidRPr="004B69CE">
        <w:rPr>
          <w:rFonts w:eastAsia="Times New Roman" w:cs="Times New Roman"/>
          <w:lang w:val="en-US"/>
        </w:rPr>
        <w:t xml:space="preserve"> </w:t>
      </w:r>
      <w:r w:rsidR="00AB0843" w:rsidRPr="004B69CE">
        <w:rPr>
          <w:rFonts w:eastAsia="Times New Roman" w:cs="Times New Roman"/>
          <w:lang w:val="en-US"/>
        </w:rPr>
        <w:t xml:space="preserve">[2012] EWHC 201 (Admin) was a decision of Elias LJ and King J (17 February 2012) and concerned a challenge to the government’s decision to raise tuition fees for universities to £9,000 per annum.  The decision was said to be contrary to Article 2 of Protocol 1 of the ECHR, either by itself or when read with Article 14, ECHR.  The second limb of challenge was that it was contrary to the public sector equality duties imposed by the Sex Discrimination Act, the Race Relations Act and the Disability Discrimination Act. </w:t>
      </w:r>
    </w:p>
    <w:p w:rsidR="004B69CE" w:rsidRPr="004B69CE" w:rsidRDefault="004B69CE" w:rsidP="004B69CE">
      <w:pPr>
        <w:pStyle w:val="ListParagraph"/>
        <w:ind w:left="360"/>
        <w:jc w:val="both"/>
        <w:rPr>
          <w:bCs/>
          <w:lang w:val="en-US"/>
        </w:rPr>
      </w:pPr>
    </w:p>
    <w:p w:rsidR="004B69CE" w:rsidRPr="004B69CE" w:rsidRDefault="00AB0843" w:rsidP="004B69CE">
      <w:pPr>
        <w:pStyle w:val="ListParagraph"/>
        <w:numPr>
          <w:ilvl w:val="0"/>
          <w:numId w:val="1"/>
        </w:numPr>
        <w:jc w:val="both"/>
        <w:rPr>
          <w:bCs/>
          <w:lang w:val="en-US"/>
        </w:rPr>
      </w:pPr>
      <w:r w:rsidRPr="004B69CE">
        <w:rPr>
          <w:rFonts w:eastAsia="Times New Roman" w:cs="Times New Roman"/>
          <w:lang w:val="en-US"/>
        </w:rPr>
        <w:t>A2P1 secures “the right to an education”; it is well established that</w:t>
      </w:r>
      <w:r w:rsidR="001A6B67">
        <w:rPr>
          <w:rFonts w:eastAsia="Times New Roman" w:cs="Times New Roman"/>
          <w:lang w:val="en-US"/>
        </w:rPr>
        <w:t>,</w:t>
      </w:r>
      <w:r w:rsidRPr="004B69CE">
        <w:rPr>
          <w:rFonts w:eastAsia="Times New Roman" w:cs="Times New Roman"/>
          <w:lang w:val="en-US"/>
        </w:rPr>
        <w:t xml:space="preserve"> whilst this does not oblige a State to provide higher education institutes (still less not to charge for them), there must be “an effective right of access”</w:t>
      </w:r>
      <w:r w:rsidR="001A6B67">
        <w:rPr>
          <w:rFonts w:eastAsia="Times New Roman" w:cs="Times New Roman"/>
          <w:lang w:val="en-US"/>
        </w:rPr>
        <w:t xml:space="preserve"> to institutions which do exist</w:t>
      </w:r>
      <w:r w:rsidR="00F823FB" w:rsidRPr="004B69CE">
        <w:rPr>
          <w:rFonts w:eastAsia="Times New Roman" w:cs="Times New Roman"/>
          <w:lang w:val="en-US"/>
        </w:rPr>
        <w:t xml:space="preserve">.  Elias LJ accepted (paragraph 40) that ECtHR jurisprudence suggested that </w:t>
      </w:r>
      <w:r w:rsidR="004B56E0">
        <w:rPr>
          <w:rFonts w:eastAsia="Times New Roman" w:cs="Times New Roman"/>
          <w:lang w:val="en-US"/>
        </w:rPr>
        <w:t xml:space="preserve">the levying of </w:t>
      </w:r>
      <w:r w:rsidR="00F823FB" w:rsidRPr="004B69CE">
        <w:rPr>
          <w:rFonts w:eastAsia="Times New Roman" w:cs="Times New Roman"/>
          <w:lang w:val="en-US"/>
        </w:rPr>
        <w:t xml:space="preserve">fees should be treated as a “restriction” on the right to education.  But the argument by the Claimants that this restriction was not a proportionate means of achieving a legitimate end was rejected; given that it was permissible to charge fees for higher education, it could not be said that such charges (absent discrimination) deprived the right of its effectiveness, at least when loans were made available. </w:t>
      </w:r>
    </w:p>
    <w:p w:rsidR="004B69CE" w:rsidRPr="004B69CE" w:rsidRDefault="004B69CE" w:rsidP="004B69CE">
      <w:pPr>
        <w:pStyle w:val="ListParagraph"/>
        <w:rPr>
          <w:rFonts w:eastAsia="Times New Roman" w:cs="Times New Roman"/>
          <w:lang w:val="en-US"/>
        </w:rPr>
      </w:pPr>
    </w:p>
    <w:p w:rsidR="004B69CE" w:rsidRPr="004B69CE" w:rsidRDefault="00F823FB" w:rsidP="004B69CE">
      <w:pPr>
        <w:pStyle w:val="ListParagraph"/>
        <w:numPr>
          <w:ilvl w:val="0"/>
          <w:numId w:val="1"/>
        </w:numPr>
        <w:jc w:val="both"/>
        <w:rPr>
          <w:bCs/>
          <w:lang w:val="en-US"/>
        </w:rPr>
      </w:pPr>
      <w:r w:rsidRPr="004B69CE">
        <w:rPr>
          <w:rFonts w:eastAsia="Times New Roman" w:cs="Times New Roman"/>
          <w:lang w:val="en-US"/>
        </w:rPr>
        <w:t>The argument under Article 14, that the new funding arrangements would indirect</w:t>
      </w:r>
      <w:r w:rsidR="004B56E0">
        <w:rPr>
          <w:rFonts w:eastAsia="Times New Roman" w:cs="Times New Roman"/>
          <w:lang w:val="en-US"/>
        </w:rPr>
        <w:t>ly discriminate against those f</w:t>
      </w:r>
      <w:r w:rsidRPr="004B69CE">
        <w:rPr>
          <w:rFonts w:eastAsia="Times New Roman" w:cs="Times New Roman"/>
          <w:lang w:val="en-US"/>
        </w:rPr>
        <w:t>r</w:t>
      </w:r>
      <w:r w:rsidR="004B56E0">
        <w:rPr>
          <w:rFonts w:eastAsia="Times New Roman" w:cs="Times New Roman"/>
          <w:lang w:val="en-US"/>
        </w:rPr>
        <w:t>o</w:t>
      </w:r>
      <w:r w:rsidRPr="004B69CE">
        <w:rPr>
          <w:rFonts w:eastAsia="Times New Roman" w:cs="Times New Roman"/>
          <w:lang w:val="en-US"/>
        </w:rPr>
        <w:t>m lower socio-economic groups</w:t>
      </w:r>
      <w:r w:rsidR="001A6B67">
        <w:rPr>
          <w:rFonts w:eastAsia="Times New Roman" w:cs="Times New Roman"/>
          <w:lang w:val="en-US"/>
        </w:rPr>
        <w:t>,</w:t>
      </w:r>
      <w:r w:rsidRPr="004B69CE">
        <w:rPr>
          <w:rFonts w:eastAsia="Times New Roman" w:cs="Times New Roman"/>
          <w:lang w:val="en-US"/>
        </w:rPr>
        <w:t xml:space="preserve"> took the Court into an assessment of the potential effects of a key government policy.  The argument depended on the Claimant</w:t>
      </w:r>
      <w:r w:rsidR="001A6B67">
        <w:rPr>
          <w:rFonts w:eastAsia="Times New Roman" w:cs="Times New Roman"/>
          <w:lang w:val="en-US"/>
        </w:rPr>
        <w:t>s</w:t>
      </w:r>
      <w:r w:rsidRPr="004B69CE">
        <w:rPr>
          <w:rFonts w:eastAsia="Times New Roman" w:cs="Times New Roman"/>
          <w:lang w:val="en-US"/>
        </w:rPr>
        <w:t xml:space="preserve"> demonstrating that the new funding arrangements would indirectly discriminate against those from lower socio-economic groups.  That was an inference that the Court was not prepared to draw from the evidence.  The evidence was not all one way; “at this stage it is all too uncertain … In time the facts may prove</w:t>
      </w:r>
      <w:r w:rsidRPr="004B69CE">
        <w:rPr>
          <w:rFonts w:ascii="Verdana" w:eastAsia="Times New Roman" w:hAnsi="Verdana" w:cs="Times New Roman"/>
          <w:sz w:val="19"/>
          <w:szCs w:val="19"/>
          <w:lang w:val="en-US"/>
        </w:rPr>
        <w:t xml:space="preserve"> [the Claimants] right, but I am not sure about that.”  In any event, the policies </w:t>
      </w:r>
      <w:r w:rsidR="008F59C6" w:rsidRPr="004B69CE">
        <w:rPr>
          <w:rFonts w:ascii="Verdana" w:eastAsia="Times New Roman" w:hAnsi="Verdana" w:cs="Times New Roman"/>
          <w:sz w:val="19"/>
          <w:szCs w:val="19"/>
          <w:lang w:val="en-US"/>
        </w:rPr>
        <w:lastRenderedPageBreak/>
        <w:t xml:space="preserve">pursued a legitimate end and </w:t>
      </w:r>
      <w:r w:rsidRPr="004B69CE">
        <w:rPr>
          <w:rFonts w:ascii="Verdana" w:eastAsia="Times New Roman" w:hAnsi="Verdana" w:cs="Times New Roman"/>
          <w:sz w:val="19"/>
          <w:szCs w:val="19"/>
          <w:lang w:val="en-US"/>
        </w:rPr>
        <w:t xml:space="preserve">had been subject to detailed review, consultation and Parliamentary scrutiny; </w:t>
      </w:r>
      <w:r w:rsidR="008F59C6" w:rsidRPr="004B69CE">
        <w:rPr>
          <w:rFonts w:ascii="Verdana" w:eastAsia="Times New Roman" w:hAnsi="Verdana" w:cs="Times New Roman"/>
          <w:sz w:val="19"/>
          <w:szCs w:val="19"/>
          <w:lang w:val="en-US"/>
        </w:rPr>
        <w:t>the Court could not find the decisions were “unjustified”.</w:t>
      </w:r>
    </w:p>
    <w:p w:rsidR="004B69CE" w:rsidRPr="004B69CE" w:rsidRDefault="004B69CE" w:rsidP="004B69CE">
      <w:pPr>
        <w:pStyle w:val="ListParagraph"/>
        <w:rPr>
          <w:bCs/>
          <w:lang w:val="en-US"/>
        </w:rPr>
      </w:pPr>
    </w:p>
    <w:p w:rsidR="004B69CE" w:rsidRDefault="004B69CE" w:rsidP="004B69CE">
      <w:pPr>
        <w:pStyle w:val="ListParagraph"/>
        <w:numPr>
          <w:ilvl w:val="0"/>
          <w:numId w:val="1"/>
        </w:numPr>
        <w:jc w:val="both"/>
        <w:rPr>
          <w:bCs/>
          <w:lang w:val="en-US"/>
        </w:rPr>
      </w:pPr>
      <w:r w:rsidRPr="00AF6071">
        <w:rPr>
          <w:rFonts w:ascii="Verdana" w:eastAsia="Times New Roman" w:hAnsi="Verdana" w:cs="Times New Roman"/>
          <w:sz w:val="19"/>
          <w:szCs w:val="19"/>
          <w:lang w:val="en-US"/>
        </w:rPr>
        <w:t>T</w:t>
      </w:r>
      <w:r w:rsidRPr="00AF6071">
        <w:rPr>
          <w:bCs/>
          <w:lang w:val="en-US"/>
        </w:rPr>
        <w:t>he Claimants had some success on the issue of whether the SoS’s public section equality duties had been properly carried out (and the decision contains a useful summary of the law on the nature of the duties: paragraphs 66 – 78).  However, although compliance had not been complete, it would not be appropriate to award relief, given that the failures were only indirectly relevant to the decision under challenge.</w:t>
      </w:r>
    </w:p>
    <w:p w:rsidR="004B69CE" w:rsidRPr="004B69CE" w:rsidRDefault="004B69CE" w:rsidP="004B69CE">
      <w:pPr>
        <w:pStyle w:val="ListParagraph"/>
        <w:rPr>
          <w:bCs/>
          <w:lang w:val="en-US"/>
        </w:rPr>
      </w:pPr>
    </w:p>
    <w:p w:rsidR="00767663" w:rsidRPr="004B69CE" w:rsidRDefault="004B56E0" w:rsidP="004B69CE">
      <w:pPr>
        <w:pStyle w:val="ListParagraph"/>
        <w:numPr>
          <w:ilvl w:val="0"/>
          <w:numId w:val="1"/>
        </w:numPr>
        <w:jc w:val="both"/>
        <w:rPr>
          <w:bCs/>
          <w:lang w:val="en-US"/>
        </w:rPr>
      </w:pPr>
      <w:r>
        <w:rPr>
          <w:bCs/>
          <w:lang w:val="en-US"/>
        </w:rPr>
        <w:t>Such e</w:t>
      </w:r>
      <w:r w:rsidR="00767663" w:rsidRPr="004B69CE">
        <w:rPr>
          <w:bCs/>
          <w:lang w:val="en-US"/>
        </w:rPr>
        <w:t xml:space="preserve">quality impact assessments continue to be a fertile source of litigation: see </w:t>
      </w:r>
      <w:r w:rsidR="00767663" w:rsidRPr="004B69CE">
        <w:rPr>
          <w:bCs/>
          <w:i/>
          <w:u w:val="single"/>
          <w:lang w:val="en-US"/>
        </w:rPr>
        <w:t>R(Essex CC) v Secretary of State for Education</w:t>
      </w:r>
      <w:r w:rsidR="00767663" w:rsidRPr="004B69CE">
        <w:rPr>
          <w:bCs/>
          <w:lang w:val="en-US"/>
        </w:rPr>
        <w:t xml:space="preserve"> [2012] EWHC 1460 (Admin) (17 May 2012).  The case related to the decision of the Education Minister not to allow uncommitted funding for childcare, quality and access projects, in the form of the building of schools and nurseries, to be ‘carried forward’ into the next financial year.  A consultation claim failed (there had been no past practice of consultation) and so too did an irrationality challenge.  But Mitting J held that the secretary of state had not fulfilled his race and disability equality duties under the </w:t>
      </w:r>
      <w:hyperlink r:id="rId13" w:history="1">
        <w:r w:rsidR="00767663" w:rsidRPr="004B69CE">
          <w:rPr>
            <w:bCs/>
            <w:lang w:val="en-US"/>
          </w:rPr>
          <w:t>Race Relations Act 1976 s.71(1)</w:t>
        </w:r>
      </w:hyperlink>
      <w:r w:rsidR="00767663" w:rsidRPr="004B69CE">
        <w:rPr>
          <w:bCs/>
          <w:lang w:val="en-US"/>
        </w:rPr>
        <w:t xml:space="preserve"> and the </w:t>
      </w:r>
      <w:hyperlink r:id="rId14" w:history="1">
        <w:r w:rsidR="00767663" w:rsidRPr="004B69CE">
          <w:rPr>
            <w:bCs/>
            <w:lang w:val="en-US"/>
          </w:rPr>
          <w:t>Disability Discrimination Act 1995 s.49A(1)</w:t>
        </w:r>
      </w:hyperlink>
      <w:r w:rsidR="00767663" w:rsidRPr="004B69CE">
        <w:rPr>
          <w:bCs/>
          <w:lang w:val="en-US"/>
        </w:rPr>
        <w:t xml:space="preserve"> (the Equality Act 2010 had not come into force) where he had failed to consider the potential impact of his decisions.  This was despite the ‘distance’ between the SoS and the actual spending of the money.   The SoS was ordered to reconsider the decision to give effect to the Equality Act 2010. </w:t>
      </w:r>
    </w:p>
    <w:p w:rsidR="00767663" w:rsidRDefault="00767663" w:rsidP="00767663">
      <w:pPr>
        <w:pStyle w:val="ListParagraph"/>
        <w:ind w:left="360"/>
        <w:jc w:val="both"/>
        <w:rPr>
          <w:bCs/>
          <w:lang w:val="en-US"/>
        </w:rPr>
      </w:pPr>
    </w:p>
    <w:p w:rsidR="00526FC3" w:rsidRDefault="00526FC3" w:rsidP="00526FC3">
      <w:pPr>
        <w:pStyle w:val="ListParagraph"/>
        <w:ind w:left="360"/>
        <w:jc w:val="both"/>
        <w:rPr>
          <w:bCs/>
          <w:lang w:val="en-US"/>
        </w:rPr>
      </w:pPr>
      <w:r w:rsidRPr="00CC4F12">
        <w:rPr>
          <w:b/>
          <w:bCs/>
          <w:u w:val="single"/>
          <w:lang w:val="en-US"/>
        </w:rPr>
        <w:t>Consultation</w:t>
      </w:r>
    </w:p>
    <w:p w:rsidR="00526FC3" w:rsidRDefault="00526FC3" w:rsidP="00526FC3">
      <w:pPr>
        <w:pStyle w:val="ListParagraph"/>
        <w:numPr>
          <w:ilvl w:val="0"/>
          <w:numId w:val="1"/>
        </w:numPr>
        <w:jc w:val="both"/>
        <w:rPr>
          <w:bCs/>
          <w:lang w:val="en-US"/>
        </w:rPr>
      </w:pPr>
      <w:r>
        <w:rPr>
          <w:bCs/>
          <w:lang w:val="en-US"/>
        </w:rPr>
        <w:t xml:space="preserve">The case of </w:t>
      </w:r>
      <w:r w:rsidRPr="00526FC3">
        <w:rPr>
          <w:bCs/>
          <w:i/>
          <w:u w:val="single"/>
          <w:lang w:val="en-US"/>
        </w:rPr>
        <w:t>R(Brompton and Harefield NHS Foundation Trust) v Joint Committee Of Primary Care Trusts &amp; Anr</w:t>
      </w:r>
      <w:r w:rsidRPr="00526FC3">
        <w:rPr>
          <w:bCs/>
          <w:lang w:val="en-US"/>
        </w:rPr>
        <w:t xml:space="preserve"> [2012] EWCA Civ 472 went to the Court of Appeal this year, with a judgment handed down in April.  It was a case where there was a statutory duty to consult.   Paragraphs 8 – 14 of the judgment of the Court (delivered by Lady Justice Arden) contain a useful summary of the law relating to the requirements of a “fair” consultation.</w:t>
      </w:r>
      <w:r>
        <w:rPr>
          <w:bCs/>
          <w:lang w:val="en-US"/>
        </w:rPr>
        <w:t xml:space="preserve">   The greater part of the Court’s judgment is concerned with a detailed account and analysis of the facts, to which those legal principles were applied, to overturn the judgment below.   But note paragraphs 97 – 93, which set out the Court’s concerns about </w:t>
      </w:r>
      <w:r w:rsidR="00E03D2E">
        <w:rPr>
          <w:bCs/>
          <w:lang w:val="en-US"/>
        </w:rPr>
        <w:t xml:space="preserve">legal </w:t>
      </w:r>
      <w:r>
        <w:rPr>
          <w:bCs/>
          <w:lang w:val="en-US"/>
        </w:rPr>
        <w:t xml:space="preserve">challenges to consultation processes.  All </w:t>
      </w:r>
      <w:r w:rsidR="00E03D2E">
        <w:rPr>
          <w:bCs/>
          <w:lang w:val="en-US"/>
        </w:rPr>
        <w:t>the arguments of the Claimant:</w:t>
      </w:r>
    </w:p>
    <w:p w:rsidR="00E03D2E" w:rsidRPr="00526FC3" w:rsidRDefault="00E03D2E" w:rsidP="00E03D2E">
      <w:pPr>
        <w:pStyle w:val="ListParagraph"/>
        <w:ind w:left="360"/>
        <w:jc w:val="both"/>
        <w:rPr>
          <w:bCs/>
          <w:lang w:val="en-US"/>
        </w:rPr>
      </w:pPr>
    </w:p>
    <w:p w:rsidR="00526FC3" w:rsidRPr="00E03D2E" w:rsidRDefault="00E03D2E" w:rsidP="00E03D2E">
      <w:pPr>
        <w:pStyle w:val="ListParagraph"/>
        <w:ind w:right="567"/>
        <w:jc w:val="both"/>
        <w:rPr>
          <w:bCs/>
          <w:lang w:val="en-US"/>
        </w:rPr>
      </w:pPr>
      <w:r w:rsidRPr="00E03D2E">
        <w:rPr>
          <w:bCs/>
          <w:lang w:val="en-US"/>
        </w:rPr>
        <w:t>“…….. are all subject to the same threshold objection: the act challenged was a consultation process, not the final decision of a public body. One of the functions of a consultation process is to winnow out errors in the decisionmaker’s provisional thinking. The JCPCT owes a public law duty to reconsider matters in the light of responses. True consultation is not a matter of simply “counting heads”: it is not a matter of how many people object to proposals but how soundly based their objections are.</w:t>
      </w:r>
    </w:p>
    <w:p w:rsidR="00E03D2E" w:rsidRPr="00E03D2E" w:rsidRDefault="00E03D2E" w:rsidP="00E03D2E">
      <w:pPr>
        <w:pStyle w:val="ListParagraph"/>
        <w:ind w:right="567"/>
        <w:jc w:val="both"/>
        <w:rPr>
          <w:bCs/>
          <w:lang w:val="en-US"/>
        </w:rPr>
      </w:pPr>
      <w:r w:rsidRPr="00E03D2E">
        <w:rPr>
          <w:bCs/>
          <w:lang w:val="en-US"/>
        </w:rPr>
        <w:t>…</w:t>
      </w:r>
      <w:r w:rsidR="002238EB">
        <w:rPr>
          <w:bCs/>
          <w:lang w:val="en-US"/>
        </w:rPr>
        <w:t xml:space="preserve"> </w:t>
      </w:r>
    </w:p>
    <w:p w:rsidR="00E03D2E" w:rsidRDefault="00E03D2E" w:rsidP="00E03D2E">
      <w:pPr>
        <w:pStyle w:val="ListParagraph"/>
        <w:ind w:right="567"/>
        <w:jc w:val="both"/>
        <w:rPr>
          <w:bCs/>
          <w:lang w:val="en-US"/>
        </w:rPr>
      </w:pPr>
      <w:r w:rsidRPr="00E03D2E">
        <w:rPr>
          <w:bCs/>
          <w:lang w:val="en-US"/>
        </w:rPr>
        <w:t xml:space="preserve">In short, it is inherent in the consultation process that it is capable of being selfcorrecting.  This has to be borne clearly in mind. For the various reasons already indicated, the courts should therefore avoid the danger of stepping in too quickly and impeding the natural evolution of the consultation process through the grant of public law remedies and </w:t>
      </w:r>
      <w:r w:rsidRPr="00E03D2E">
        <w:rPr>
          <w:bCs/>
          <w:lang w:val="en-US"/>
        </w:rPr>
        <w:lastRenderedPageBreak/>
        <w:t>perhaps being led into areas for the professional judgment of the decision-maker. It should, in general, do so only if there is some irretrievable</w:t>
      </w:r>
      <w:r>
        <w:rPr>
          <w:bCs/>
          <w:lang w:val="en-US"/>
        </w:rPr>
        <w:t xml:space="preserve"> </w:t>
      </w:r>
      <w:r w:rsidRPr="00E03D2E">
        <w:rPr>
          <w:bCs/>
          <w:lang w:val="en-US"/>
        </w:rPr>
        <w:t>flaw in the consultation process.”</w:t>
      </w:r>
    </w:p>
    <w:p w:rsidR="001A6B67" w:rsidRPr="00E03D2E" w:rsidRDefault="001A6B67" w:rsidP="00E03D2E">
      <w:pPr>
        <w:pStyle w:val="ListParagraph"/>
        <w:ind w:right="567"/>
        <w:jc w:val="both"/>
        <w:rPr>
          <w:bCs/>
          <w:lang w:val="en-US"/>
        </w:rPr>
      </w:pPr>
    </w:p>
    <w:p w:rsidR="00E03D2E" w:rsidRDefault="00526FC3" w:rsidP="00526FC3">
      <w:pPr>
        <w:pStyle w:val="ListParagraph"/>
        <w:numPr>
          <w:ilvl w:val="0"/>
          <w:numId w:val="1"/>
        </w:numPr>
        <w:jc w:val="both"/>
        <w:rPr>
          <w:bCs/>
          <w:lang w:val="en-US"/>
        </w:rPr>
      </w:pPr>
      <w:r>
        <w:rPr>
          <w:bCs/>
          <w:lang w:val="en-US"/>
        </w:rPr>
        <w:t xml:space="preserve"> </w:t>
      </w:r>
      <w:r w:rsidR="00E03D2E">
        <w:rPr>
          <w:bCs/>
          <w:lang w:val="en-US"/>
        </w:rPr>
        <w:t>The Court of Appeal reverse</w:t>
      </w:r>
      <w:r w:rsidR="004B69CE">
        <w:rPr>
          <w:bCs/>
          <w:lang w:val="en-US"/>
        </w:rPr>
        <w:t>d</w:t>
      </w:r>
      <w:r w:rsidR="00E03D2E">
        <w:rPr>
          <w:bCs/>
          <w:lang w:val="en-US"/>
        </w:rPr>
        <w:t xml:space="preserve"> the finding of the judge below, on the issue of a legitimate expectation about </w:t>
      </w:r>
      <w:r w:rsidR="00202655">
        <w:rPr>
          <w:bCs/>
          <w:lang w:val="en-US"/>
        </w:rPr>
        <w:t xml:space="preserve">how </w:t>
      </w:r>
      <w:r w:rsidR="00E03D2E">
        <w:rPr>
          <w:bCs/>
          <w:lang w:val="en-US"/>
        </w:rPr>
        <w:t>research evidence would be used in the exercise; the representation relied</w:t>
      </w:r>
      <w:r w:rsidR="00202655">
        <w:rPr>
          <w:bCs/>
          <w:lang w:val="en-US"/>
        </w:rPr>
        <w:t xml:space="preserve"> upon, as to its use,</w:t>
      </w:r>
      <w:r w:rsidR="00E03D2E">
        <w:rPr>
          <w:bCs/>
          <w:lang w:val="en-US"/>
        </w:rPr>
        <w:t xml:space="preserve"> was not sufficiently clear and </w:t>
      </w:r>
      <w:r w:rsidR="00202655">
        <w:rPr>
          <w:bCs/>
          <w:lang w:val="en-US"/>
        </w:rPr>
        <w:t xml:space="preserve">unequivocal (see paragraph 104); and, even if that was wrong, the position was </w:t>
      </w:r>
      <w:r w:rsidR="004B69CE">
        <w:rPr>
          <w:bCs/>
          <w:lang w:val="en-US"/>
        </w:rPr>
        <w:t>not “irretrievable”.  F</w:t>
      </w:r>
      <w:r w:rsidR="00202655">
        <w:rPr>
          <w:bCs/>
          <w:lang w:val="en-US"/>
        </w:rPr>
        <w:t xml:space="preserve">urther information could have been </w:t>
      </w:r>
      <w:r w:rsidR="004B69CE">
        <w:rPr>
          <w:bCs/>
          <w:lang w:val="en-US"/>
        </w:rPr>
        <w:t>submitted (paragraph 108).  The Court</w:t>
      </w:r>
      <w:r w:rsidR="00202655">
        <w:rPr>
          <w:bCs/>
          <w:lang w:val="en-US"/>
        </w:rPr>
        <w:t xml:space="preserve"> also rejected the allegation that an appearance of</w:t>
      </w:r>
      <w:r w:rsidR="004B69CE">
        <w:rPr>
          <w:bCs/>
          <w:lang w:val="en-US"/>
        </w:rPr>
        <w:t xml:space="preserve"> bias arose from the fact that two</w:t>
      </w:r>
      <w:r w:rsidR="00202655">
        <w:rPr>
          <w:bCs/>
          <w:lang w:val="en-US"/>
        </w:rPr>
        <w:t xml:space="preserve"> members of the Steering Group (whose role it was to advise the decision-making Panel, the Defendant</w:t>
      </w:r>
      <w:r w:rsidR="001A6B67">
        <w:rPr>
          <w:bCs/>
          <w:lang w:val="en-US"/>
        </w:rPr>
        <w:t>s) were consultants at the two</w:t>
      </w:r>
      <w:r w:rsidR="00202655">
        <w:rPr>
          <w:bCs/>
          <w:lang w:val="en-US"/>
        </w:rPr>
        <w:t xml:space="preserve"> hospitals which, ultimately, were put forward as the preferred </w:t>
      </w:r>
      <w:r w:rsidR="00F901E7">
        <w:rPr>
          <w:bCs/>
          <w:lang w:val="en-US"/>
        </w:rPr>
        <w:t xml:space="preserve">centres for paediatric cardiac surgery in London. </w:t>
      </w:r>
    </w:p>
    <w:p w:rsidR="00E03D2E" w:rsidRDefault="00E03D2E" w:rsidP="00E03D2E">
      <w:pPr>
        <w:pStyle w:val="ListParagraph"/>
        <w:ind w:left="360"/>
        <w:jc w:val="both"/>
        <w:rPr>
          <w:bCs/>
          <w:lang w:val="en-US"/>
        </w:rPr>
      </w:pPr>
    </w:p>
    <w:p w:rsidR="004B69CE" w:rsidRPr="004B69CE" w:rsidRDefault="004B69CE" w:rsidP="00E03D2E">
      <w:pPr>
        <w:pStyle w:val="ListParagraph"/>
        <w:ind w:left="360"/>
        <w:jc w:val="both"/>
        <w:rPr>
          <w:b/>
          <w:bCs/>
          <w:u w:val="single"/>
          <w:lang w:val="en-US"/>
        </w:rPr>
      </w:pPr>
      <w:r w:rsidRPr="004B69CE">
        <w:rPr>
          <w:b/>
          <w:bCs/>
          <w:u w:val="single"/>
          <w:lang w:val="en-US"/>
        </w:rPr>
        <w:t>And a topical note ….</w:t>
      </w:r>
    </w:p>
    <w:p w:rsidR="00526FC3" w:rsidRPr="00191D40" w:rsidRDefault="00526FC3" w:rsidP="00526FC3">
      <w:pPr>
        <w:pStyle w:val="ListParagraph"/>
        <w:numPr>
          <w:ilvl w:val="0"/>
          <w:numId w:val="1"/>
        </w:numPr>
        <w:jc w:val="both"/>
        <w:rPr>
          <w:bCs/>
          <w:lang w:val="en-US"/>
        </w:rPr>
      </w:pPr>
      <w:r w:rsidRPr="00191D40">
        <w:rPr>
          <w:bCs/>
          <w:lang w:val="en-US"/>
        </w:rPr>
        <w:t xml:space="preserve">Haddon-Cave J recently (10 July 2012) robustly dismissed a challenge to the decision to deploy missiles (a  Ground Based Air Defence system) and military personnel on the roof of a residential tower block in Leytonstone for the duration of the Olympics:  </w:t>
      </w:r>
      <w:r w:rsidRPr="00191D40">
        <w:rPr>
          <w:bCs/>
          <w:i/>
          <w:u w:val="single"/>
          <w:lang w:val="en-US"/>
        </w:rPr>
        <w:t>Harlow Community Support Limited v Secretary of State for Defence</w:t>
      </w:r>
      <w:r w:rsidRPr="00191D40">
        <w:rPr>
          <w:bCs/>
          <w:lang w:val="en-US"/>
        </w:rPr>
        <w:t xml:space="preserve"> [2012] EWHC 1921 (Admin).    He summarized the duty to consult thus:-</w:t>
      </w:r>
    </w:p>
    <w:p w:rsidR="00526FC3" w:rsidRDefault="001A6B67" w:rsidP="00526FC3">
      <w:pPr>
        <w:ind w:left="720"/>
        <w:jc w:val="both"/>
        <w:rPr>
          <w:bCs/>
          <w:lang w:val="en-US"/>
        </w:rPr>
      </w:pPr>
      <w:r>
        <w:rPr>
          <w:bCs/>
          <w:lang w:val="en-US"/>
        </w:rPr>
        <w:t xml:space="preserve">“A duty to consult does </w:t>
      </w:r>
      <w:r w:rsidR="00526FC3">
        <w:rPr>
          <w:bCs/>
          <w:lang w:val="en-US"/>
        </w:rPr>
        <w:t>not arise in all circumstances.  there are four main circumstances where consultation will be, or may be required.  First, where there is a statutory duty to consult.  Second,  where there has been a promise to consult.  Third, where there has been an established practice of consultation.  Fourth, where, in exceptional cases, a failure to consult would lead to conspicuous unfairness.   Absent these factors there will be no obligation to consult. .. The general law will be slow to require a public body to engage in consultation if there is no obligation or promise to consult.”</w:t>
      </w:r>
    </w:p>
    <w:p w:rsidR="00526FC3" w:rsidRDefault="00526FC3" w:rsidP="00526FC3">
      <w:pPr>
        <w:pStyle w:val="ListParagraph"/>
        <w:numPr>
          <w:ilvl w:val="0"/>
          <w:numId w:val="1"/>
        </w:numPr>
        <w:rPr>
          <w:bCs/>
          <w:lang w:val="en-US"/>
        </w:rPr>
      </w:pPr>
      <w:r w:rsidRPr="00191D40">
        <w:rPr>
          <w:bCs/>
          <w:lang w:val="en-US"/>
        </w:rPr>
        <w:t xml:space="preserve">On the facts of the case, there was no obligation to consult.  </w:t>
      </w:r>
    </w:p>
    <w:p w:rsidR="00526FC3" w:rsidRPr="00191D40" w:rsidRDefault="00526FC3" w:rsidP="00526FC3">
      <w:pPr>
        <w:pStyle w:val="ListParagraph"/>
        <w:ind w:left="360"/>
        <w:rPr>
          <w:bCs/>
          <w:lang w:val="en-US"/>
        </w:rPr>
      </w:pPr>
    </w:p>
    <w:p w:rsidR="00526FC3" w:rsidRPr="00191D40" w:rsidRDefault="00526FC3" w:rsidP="00526FC3">
      <w:pPr>
        <w:pStyle w:val="ListParagraph"/>
        <w:numPr>
          <w:ilvl w:val="0"/>
          <w:numId w:val="1"/>
        </w:numPr>
        <w:jc w:val="both"/>
        <w:rPr>
          <w:bCs/>
          <w:lang w:val="en-US"/>
        </w:rPr>
      </w:pPr>
      <w:r w:rsidRPr="00191D40">
        <w:rPr>
          <w:bCs/>
          <w:lang w:val="en-US"/>
        </w:rPr>
        <w:t>The case unde</w:t>
      </w:r>
      <w:r>
        <w:rPr>
          <w:bCs/>
          <w:lang w:val="en-US"/>
        </w:rPr>
        <w:t xml:space="preserve">r Article 8 was also dismissed, following an analysis of what disruption or inconvenience would in truth be suffered by the residents, should the system be sited on the roof.   Essentially, the judge accepted the MOD’s case that the residents would not become a potential target for terrorist attack; they would be likely to be safer as a result of military presence in the area. </w:t>
      </w:r>
      <w:r w:rsidR="004B69CE">
        <w:rPr>
          <w:bCs/>
          <w:lang w:val="en-US"/>
        </w:rPr>
        <w:t xml:space="preserve">  </w:t>
      </w:r>
    </w:p>
    <w:p w:rsidR="00526FC3" w:rsidRPr="0087722E" w:rsidRDefault="00526FC3" w:rsidP="005857B9">
      <w:pPr>
        <w:jc w:val="right"/>
        <w:rPr>
          <w:bCs/>
          <w:lang w:val="en-US"/>
        </w:rPr>
      </w:pPr>
    </w:p>
    <w:p w:rsidR="00F8384D" w:rsidRDefault="00F8384D" w:rsidP="001A6B67">
      <w:pPr>
        <w:autoSpaceDE w:val="0"/>
        <w:autoSpaceDN w:val="0"/>
        <w:adjustRightInd w:val="0"/>
        <w:spacing w:after="0" w:line="240" w:lineRule="auto"/>
        <w:jc w:val="center"/>
        <w:rPr>
          <w:rFonts w:cs="Times New Roman"/>
          <w:lang w:val="en-US"/>
        </w:rPr>
      </w:pPr>
    </w:p>
    <w:p w:rsidR="005857B9" w:rsidRDefault="005857B9" w:rsidP="001A6B67">
      <w:pPr>
        <w:autoSpaceDE w:val="0"/>
        <w:autoSpaceDN w:val="0"/>
        <w:adjustRightInd w:val="0"/>
        <w:spacing w:after="0" w:line="240" w:lineRule="auto"/>
        <w:ind w:left="7200" w:firstLine="720"/>
        <w:jc w:val="right"/>
        <w:rPr>
          <w:rFonts w:cs="Times New Roman"/>
          <w:lang w:val="en-US"/>
        </w:rPr>
      </w:pPr>
      <w:r>
        <w:rPr>
          <w:rFonts w:cs="Times New Roman"/>
          <w:lang w:val="en-US"/>
        </w:rPr>
        <w:t>ELEANOR GREY</w:t>
      </w:r>
    </w:p>
    <w:p w:rsidR="005857B9" w:rsidRDefault="005857B9" w:rsidP="005857B9">
      <w:pPr>
        <w:autoSpaceDE w:val="0"/>
        <w:autoSpaceDN w:val="0"/>
        <w:adjustRightInd w:val="0"/>
        <w:spacing w:after="0" w:line="240" w:lineRule="auto"/>
        <w:jc w:val="right"/>
        <w:rPr>
          <w:rFonts w:cs="Times New Roman"/>
          <w:lang w:val="en-US"/>
        </w:rPr>
      </w:pPr>
      <w:r>
        <w:rPr>
          <w:rFonts w:cs="Times New Roman"/>
          <w:lang w:val="en-US"/>
        </w:rPr>
        <w:t xml:space="preserve">39 ESSEX STREET </w:t>
      </w:r>
    </w:p>
    <w:p w:rsidR="005857B9" w:rsidRPr="00B5705E" w:rsidRDefault="005857B9" w:rsidP="005857B9">
      <w:pPr>
        <w:autoSpaceDE w:val="0"/>
        <w:autoSpaceDN w:val="0"/>
        <w:adjustRightInd w:val="0"/>
        <w:spacing w:after="0" w:line="240" w:lineRule="auto"/>
        <w:jc w:val="right"/>
        <w:rPr>
          <w:rFonts w:cs="Times New Roman"/>
          <w:lang w:val="en-US"/>
        </w:rPr>
      </w:pPr>
      <w:r>
        <w:rPr>
          <w:rFonts w:cs="Times New Roman"/>
          <w:lang w:val="en-US"/>
        </w:rPr>
        <w:t>19 JULY 2012</w:t>
      </w:r>
    </w:p>
    <w:sectPr w:rsidR="005857B9" w:rsidRPr="00B5705E" w:rsidSect="007F5CF1">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B4" w:rsidRDefault="00E203B4" w:rsidP="00AB0B7A">
      <w:pPr>
        <w:spacing w:after="0" w:line="240" w:lineRule="auto"/>
      </w:pPr>
      <w:r>
        <w:separator/>
      </w:r>
    </w:p>
  </w:endnote>
  <w:endnote w:type="continuationSeparator" w:id="0">
    <w:p w:rsidR="00E203B4" w:rsidRDefault="00E203B4" w:rsidP="00AB0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9282"/>
      <w:docPartObj>
        <w:docPartGallery w:val="Page Numbers (Bottom of Page)"/>
        <w:docPartUnique/>
      </w:docPartObj>
    </w:sdtPr>
    <w:sdtContent>
      <w:p w:rsidR="00105FC7" w:rsidRDefault="005038EB">
        <w:pPr>
          <w:pStyle w:val="Footer"/>
          <w:jc w:val="right"/>
        </w:pPr>
        <w:fldSimple w:instr=" PAGE   \* MERGEFORMAT ">
          <w:r w:rsidR="007471D4">
            <w:rPr>
              <w:noProof/>
            </w:rPr>
            <w:t>16</w:t>
          </w:r>
        </w:fldSimple>
      </w:p>
    </w:sdtContent>
  </w:sdt>
  <w:p w:rsidR="00105FC7" w:rsidRDefault="00105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B4" w:rsidRDefault="00E203B4" w:rsidP="00AB0B7A">
      <w:pPr>
        <w:spacing w:after="0" w:line="240" w:lineRule="auto"/>
      </w:pPr>
      <w:r>
        <w:separator/>
      </w:r>
    </w:p>
  </w:footnote>
  <w:footnote w:type="continuationSeparator" w:id="0">
    <w:p w:rsidR="00E203B4" w:rsidRDefault="00E203B4" w:rsidP="00AB0B7A">
      <w:pPr>
        <w:spacing w:after="0" w:line="240" w:lineRule="auto"/>
      </w:pPr>
      <w:r>
        <w:continuationSeparator/>
      </w:r>
    </w:p>
  </w:footnote>
  <w:footnote w:id="1">
    <w:p w:rsidR="00105FC7" w:rsidRDefault="00105FC7">
      <w:pPr>
        <w:pStyle w:val="FootnoteText"/>
      </w:pPr>
      <w:r>
        <w:rPr>
          <w:rStyle w:val="FootnoteReference"/>
        </w:rPr>
        <w:footnoteRef/>
      </w:r>
      <w:r>
        <w:t xml:space="preserve"> </w:t>
      </w:r>
      <w:r>
        <w:rPr>
          <w:bCs/>
          <w:lang w:val="en-US"/>
        </w:rPr>
        <w:t>Lord Clarke and Lord Wilson, albeit “without enthusiasm”, endorsed the views of Lord Dyson; Lord Walker preferred not to express an opinion.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E0C"/>
    <w:multiLevelType w:val="hybridMultilevel"/>
    <w:tmpl w:val="BDA85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8493C"/>
    <w:multiLevelType w:val="hybridMultilevel"/>
    <w:tmpl w:val="A13E35AE"/>
    <w:lvl w:ilvl="0" w:tplc="EF18F14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12D8E"/>
    <w:multiLevelType w:val="hybridMultilevel"/>
    <w:tmpl w:val="A6F22A16"/>
    <w:lvl w:ilvl="0" w:tplc="71DCA754">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E1B7A"/>
    <w:multiLevelType w:val="hybridMultilevel"/>
    <w:tmpl w:val="E098B296"/>
    <w:lvl w:ilvl="0" w:tplc="71DCA754">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8439F5"/>
    <w:multiLevelType w:val="hybridMultilevel"/>
    <w:tmpl w:val="7B422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E01A23"/>
    <w:multiLevelType w:val="hybridMultilevel"/>
    <w:tmpl w:val="F126C3B8"/>
    <w:lvl w:ilvl="0" w:tplc="EF18F14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3A1007"/>
    <w:multiLevelType w:val="hybridMultilevel"/>
    <w:tmpl w:val="FDE83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7C1AB6"/>
    <w:multiLevelType w:val="hybridMultilevel"/>
    <w:tmpl w:val="F74E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C4F0B"/>
    <w:multiLevelType w:val="hybridMultilevel"/>
    <w:tmpl w:val="2A846D5A"/>
    <w:lvl w:ilvl="0" w:tplc="EF18F14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7A16F4"/>
    <w:multiLevelType w:val="hybridMultilevel"/>
    <w:tmpl w:val="614E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8"/>
  </w:num>
  <w:num w:numId="6">
    <w:abstractNumId w:val="7"/>
  </w:num>
  <w:num w:numId="7">
    <w:abstractNumId w:val="9"/>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B0B7A"/>
    <w:rsid w:val="000320B4"/>
    <w:rsid w:val="00050555"/>
    <w:rsid w:val="0007738E"/>
    <w:rsid w:val="000B5023"/>
    <w:rsid w:val="000B66C9"/>
    <w:rsid w:val="000E4F07"/>
    <w:rsid w:val="000E7BE2"/>
    <w:rsid w:val="000F21D7"/>
    <w:rsid w:val="00105FC7"/>
    <w:rsid w:val="00112969"/>
    <w:rsid w:val="0011433B"/>
    <w:rsid w:val="001272D1"/>
    <w:rsid w:val="00191D40"/>
    <w:rsid w:val="001A6B67"/>
    <w:rsid w:val="001B1C67"/>
    <w:rsid w:val="001C1EA5"/>
    <w:rsid w:val="001D1AFC"/>
    <w:rsid w:val="001E28DA"/>
    <w:rsid w:val="00202655"/>
    <w:rsid w:val="00206DBC"/>
    <w:rsid w:val="002238EB"/>
    <w:rsid w:val="00230FB7"/>
    <w:rsid w:val="00270143"/>
    <w:rsid w:val="00276026"/>
    <w:rsid w:val="00284911"/>
    <w:rsid w:val="002949D7"/>
    <w:rsid w:val="002E623A"/>
    <w:rsid w:val="00316371"/>
    <w:rsid w:val="003C6E54"/>
    <w:rsid w:val="003F38AD"/>
    <w:rsid w:val="00404CF2"/>
    <w:rsid w:val="004119FE"/>
    <w:rsid w:val="00453C7C"/>
    <w:rsid w:val="00471FD9"/>
    <w:rsid w:val="00492E66"/>
    <w:rsid w:val="00497537"/>
    <w:rsid w:val="004B56E0"/>
    <w:rsid w:val="004B69CE"/>
    <w:rsid w:val="004E7734"/>
    <w:rsid w:val="004F7F35"/>
    <w:rsid w:val="00502857"/>
    <w:rsid w:val="005038EB"/>
    <w:rsid w:val="005100E4"/>
    <w:rsid w:val="00513C8F"/>
    <w:rsid w:val="005227D0"/>
    <w:rsid w:val="00526FC3"/>
    <w:rsid w:val="0054501D"/>
    <w:rsid w:val="005857B9"/>
    <w:rsid w:val="00587D19"/>
    <w:rsid w:val="0059748A"/>
    <w:rsid w:val="005A55EE"/>
    <w:rsid w:val="005A7060"/>
    <w:rsid w:val="005C1450"/>
    <w:rsid w:val="006075C0"/>
    <w:rsid w:val="00613122"/>
    <w:rsid w:val="0065319B"/>
    <w:rsid w:val="00661572"/>
    <w:rsid w:val="0067378A"/>
    <w:rsid w:val="006762D9"/>
    <w:rsid w:val="006A32E4"/>
    <w:rsid w:val="006A5DD4"/>
    <w:rsid w:val="006E37AD"/>
    <w:rsid w:val="0070217D"/>
    <w:rsid w:val="00722FF4"/>
    <w:rsid w:val="007471D4"/>
    <w:rsid w:val="0074787F"/>
    <w:rsid w:val="0076195C"/>
    <w:rsid w:val="00767663"/>
    <w:rsid w:val="00783975"/>
    <w:rsid w:val="007B0C3B"/>
    <w:rsid w:val="007F5CF1"/>
    <w:rsid w:val="00806113"/>
    <w:rsid w:val="0081435A"/>
    <w:rsid w:val="008336B7"/>
    <w:rsid w:val="00845294"/>
    <w:rsid w:val="00850CB2"/>
    <w:rsid w:val="00860785"/>
    <w:rsid w:val="00870DFF"/>
    <w:rsid w:val="0087722E"/>
    <w:rsid w:val="008D1A5A"/>
    <w:rsid w:val="008D217B"/>
    <w:rsid w:val="008D2D23"/>
    <w:rsid w:val="008F11FF"/>
    <w:rsid w:val="008F59C6"/>
    <w:rsid w:val="00933270"/>
    <w:rsid w:val="00934304"/>
    <w:rsid w:val="0094599B"/>
    <w:rsid w:val="009928F8"/>
    <w:rsid w:val="009A4B6A"/>
    <w:rsid w:val="009D1B6A"/>
    <w:rsid w:val="009E7E12"/>
    <w:rsid w:val="00A50104"/>
    <w:rsid w:val="00A84B1D"/>
    <w:rsid w:val="00AB0843"/>
    <w:rsid w:val="00AB0B7A"/>
    <w:rsid w:val="00AB2A75"/>
    <w:rsid w:val="00AC010B"/>
    <w:rsid w:val="00AC4403"/>
    <w:rsid w:val="00AD4FBA"/>
    <w:rsid w:val="00AF6071"/>
    <w:rsid w:val="00B35784"/>
    <w:rsid w:val="00B55265"/>
    <w:rsid w:val="00B5705E"/>
    <w:rsid w:val="00C10733"/>
    <w:rsid w:val="00C63BD2"/>
    <w:rsid w:val="00C904E9"/>
    <w:rsid w:val="00CA2D05"/>
    <w:rsid w:val="00CB3C36"/>
    <w:rsid w:val="00CC4F12"/>
    <w:rsid w:val="00D039B2"/>
    <w:rsid w:val="00D632E4"/>
    <w:rsid w:val="00D725A6"/>
    <w:rsid w:val="00D9007F"/>
    <w:rsid w:val="00D93345"/>
    <w:rsid w:val="00D93C1C"/>
    <w:rsid w:val="00D95060"/>
    <w:rsid w:val="00DE345E"/>
    <w:rsid w:val="00E03D2E"/>
    <w:rsid w:val="00E17563"/>
    <w:rsid w:val="00E203B4"/>
    <w:rsid w:val="00E206C2"/>
    <w:rsid w:val="00E57950"/>
    <w:rsid w:val="00E77494"/>
    <w:rsid w:val="00E821D0"/>
    <w:rsid w:val="00EA18FC"/>
    <w:rsid w:val="00EB017F"/>
    <w:rsid w:val="00EB741F"/>
    <w:rsid w:val="00EC76DD"/>
    <w:rsid w:val="00ED49E8"/>
    <w:rsid w:val="00ED551F"/>
    <w:rsid w:val="00EF21A2"/>
    <w:rsid w:val="00F200B8"/>
    <w:rsid w:val="00F23F21"/>
    <w:rsid w:val="00F24AAD"/>
    <w:rsid w:val="00F3731F"/>
    <w:rsid w:val="00F40EEE"/>
    <w:rsid w:val="00F53C25"/>
    <w:rsid w:val="00F63F77"/>
    <w:rsid w:val="00F64D1A"/>
    <w:rsid w:val="00F823FB"/>
    <w:rsid w:val="00F8384D"/>
    <w:rsid w:val="00F901E7"/>
    <w:rsid w:val="00FD1B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B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B7A"/>
    <w:rPr>
      <w:lang w:val="en-GB"/>
    </w:rPr>
  </w:style>
  <w:style w:type="paragraph" w:styleId="Footer">
    <w:name w:val="footer"/>
    <w:basedOn w:val="Normal"/>
    <w:link w:val="FooterChar"/>
    <w:uiPriority w:val="99"/>
    <w:unhideWhenUsed/>
    <w:rsid w:val="00AB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7A"/>
    <w:rPr>
      <w:lang w:val="en-GB"/>
    </w:rPr>
  </w:style>
  <w:style w:type="character" w:styleId="Hyperlink">
    <w:name w:val="Hyperlink"/>
    <w:basedOn w:val="DefaultParagraphFont"/>
    <w:uiPriority w:val="99"/>
    <w:unhideWhenUsed/>
    <w:rsid w:val="00CC4F12"/>
    <w:rPr>
      <w:color w:val="0000FF" w:themeColor="hyperlink"/>
      <w:u w:val="single"/>
    </w:rPr>
  </w:style>
  <w:style w:type="paragraph" w:customStyle="1" w:styleId="indent11">
    <w:name w:val="indent11"/>
    <w:basedOn w:val="Normal"/>
    <w:rsid w:val="009D1B6A"/>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8384D"/>
    <w:rPr>
      <w:i/>
      <w:iCs/>
    </w:rPr>
  </w:style>
  <w:style w:type="paragraph" w:styleId="ListParagraph">
    <w:name w:val="List Paragraph"/>
    <w:basedOn w:val="Normal"/>
    <w:uiPriority w:val="34"/>
    <w:qFormat/>
    <w:rsid w:val="00191D40"/>
    <w:pPr>
      <w:ind w:left="720"/>
      <w:contextualSpacing/>
    </w:pPr>
  </w:style>
  <w:style w:type="paragraph" w:styleId="FootnoteText">
    <w:name w:val="footnote text"/>
    <w:basedOn w:val="Normal"/>
    <w:link w:val="FootnoteTextChar"/>
    <w:uiPriority w:val="99"/>
    <w:semiHidden/>
    <w:unhideWhenUsed/>
    <w:rsid w:val="00276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026"/>
    <w:rPr>
      <w:sz w:val="20"/>
      <w:szCs w:val="20"/>
      <w:lang w:val="en-GB"/>
    </w:rPr>
  </w:style>
  <w:style w:type="character" w:styleId="FootnoteReference">
    <w:name w:val="footnote reference"/>
    <w:basedOn w:val="DefaultParagraphFont"/>
    <w:uiPriority w:val="99"/>
    <w:semiHidden/>
    <w:unhideWhenUsed/>
    <w:rsid w:val="00276026"/>
    <w:rPr>
      <w:vertAlign w:val="superscript"/>
    </w:rPr>
  </w:style>
</w:styles>
</file>

<file path=word/webSettings.xml><?xml version="1.0" encoding="utf-8"?>
<w:webSettings xmlns:r="http://schemas.openxmlformats.org/officeDocument/2006/relationships" xmlns:w="http://schemas.openxmlformats.org/wordprocessingml/2006/main">
  <w:divs>
    <w:div w:id="69083363">
      <w:bodyDiv w:val="1"/>
      <w:marLeft w:val="419"/>
      <w:marRight w:val="419"/>
      <w:marTop w:val="84"/>
      <w:marBottom w:val="84"/>
      <w:divBdr>
        <w:top w:val="none" w:sz="0" w:space="0" w:color="auto"/>
        <w:left w:val="none" w:sz="0" w:space="0" w:color="auto"/>
        <w:bottom w:val="none" w:sz="0" w:space="0" w:color="auto"/>
        <w:right w:val="none" w:sz="0" w:space="0" w:color="auto"/>
      </w:divBdr>
      <w:divsChild>
        <w:div w:id="441724394">
          <w:marLeft w:val="0"/>
          <w:marRight w:val="0"/>
          <w:marTop w:val="0"/>
          <w:marBottom w:val="0"/>
          <w:divBdr>
            <w:top w:val="none" w:sz="0" w:space="0" w:color="auto"/>
            <w:left w:val="none" w:sz="0" w:space="0" w:color="auto"/>
            <w:bottom w:val="none" w:sz="0" w:space="0" w:color="auto"/>
            <w:right w:val="none" w:sz="0" w:space="0" w:color="auto"/>
          </w:divBdr>
          <w:divsChild>
            <w:div w:id="1681347027">
              <w:marLeft w:val="0"/>
              <w:marRight w:val="0"/>
              <w:marTop w:val="0"/>
              <w:marBottom w:val="0"/>
              <w:divBdr>
                <w:top w:val="none" w:sz="0" w:space="0" w:color="auto"/>
                <w:left w:val="none" w:sz="0" w:space="0" w:color="auto"/>
                <w:bottom w:val="none" w:sz="0" w:space="0" w:color="auto"/>
                <w:right w:val="none" w:sz="0" w:space="0" w:color="auto"/>
              </w:divBdr>
              <w:divsChild>
                <w:div w:id="10940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643">
      <w:bodyDiv w:val="1"/>
      <w:marLeft w:val="419"/>
      <w:marRight w:val="419"/>
      <w:marTop w:val="84"/>
      <w:marBottom w:val="84"/>
      <w:divBdr>
        <w:top w:val="none" w:sz="0" w:space="0" w:color="auto"/>
        <w:left w:val="none" w:sz="0" w:space="0" w:color="auto"/>
        <w:bottom w:val="none" w:sz="0" w:space="0" w:color="auto"/>
        <w:right w:val="none" w:sz="0" w:space="0" w:color="auto"/>
      </w:divBdr>
      <w:divsChild>
        <w:div w:id="494104617">
          <w:marLeft w:val="0"/>
          <w:marRight w:val="0"/>
          <w:marTop w:val="0"/>
          <w:marBottom w:val="0"/>
          <w:divBdr>
            <w:top w:val="none" w:sz="0" w:space="0" w:color="auto"/>
            <w:left w:val="none" w:sz="0" w:space="0" w:color="auto"/>
            <w:bottom w:val="none" w:sz="0" w:space="0" w:color="auto"/>
            <w:right w:val="none" w:sz="0" w:space="0" w:color="auto"/>
          </w:divBdr>
          <w:divsChild>
            <w:div w:id="1397243472">
              <w:marLeft w:val="0"/>
              <w:marRight w:val="0"/>
              <w:marTop w:val="0"/>
              <w:marBottom w:val="0"/>
              <w:divBdr>
                <w:top w:val="none" w:sz="0" w:space="0" w:color="auto"/>
                <w:left w:val="none" w:sz="0" w:space="0" w:color="auto"/>
                <w:bottom w:val="none" w:sz="0" w:space="0" w:color="auto"/>
                <w:right w:val="none" w:sz="0" w:space="0" w:color="auto"/>
              </w:divBdr>
              <w:divsChild>
                <w:div w:id="17976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0078">
      <w:bodyDiv w:val="1"/>
      <w:marLeft w:val="419"/>
      <w:marRight w:val="419"/>
      <w:marTop w:val="84"/>
      <w:marBottom w:val="84"/>
      <w:divBdr>
        <w:top w:val="none" w:sz="0" w:space="0" w:color="auto"/>
        <w:left w:val="none" w:sz="0" w:space="0" w:color="auto"/>
        <w:bottom w:val="none" w:sz="0" w:space="0" w:color="auto"/>
        <w:right w:val="none" w:sz="0" w:space="0" w:color="auto"/>
      </w:divBdr>
      <w:divsChild>
        <w:div w:id="936517464">
          <w:marLeft w:val="0"/>
          <w:marRight w:val="0"/>
          <w:marTop w:val="0"/>
          <w:marBottom w:val="0"/>
          <w:divBdr>
            <w:top w:val="none" w:sz="0" w:space="0" w:color="auto"/>
            <w:left w:val="none" w:sz="0" w:space="0" w:color="auto"/>
            <w:bottom w:val="none" w:sz="0" w:space="0" w:color="auto"/>
            <w:right w:val="none" w:sz="0" w:space="0" w:color="auto"/>
          </w:divBdr>
          <w:divsChild>
            <w:div w:id="1572348014">
              <w:marLeft w:val="0"/>
              <w:marRight w:val="0"/>
              <w:marTop w:val="0"/>
              <w:marBottom w:val="0"/>
              <w:divBdr>
                <w:top w:val="none" w:sz="0" w:space="0" w:color="auto"/>
                <w:left w:val="none" w:sz="0" w:space="0" w:color="auto"/>
                <w:bottom w:val="none" w:sz="0" w:space="0" w:color="auto"/>
                <w:right w:val="none" w:sz="0" w:space="0" w:color="auto"/>
              </w:divBdr>
              <w:divsChild>
                <w:div w:id="1854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0061">
      <w:bodyDiv w:val="1"/>
      <w:marLeft w:val="419"/>
      <w:marRight w:val="419"/>
      <w:marTop w:val="84"/>
      <w:marBottom w:val="84"/>
      <w:divBdr>
        <w:top w:val="none" w:sz="0" w:space="0" w:color="auto"/>
        <w:left w:val="none" w:sz="0" w:space="0" w:color="auto"/>
        <w:bottom w:val="none" w:sz="0" w:space="0" w:color="auto"/>
        <w:right w:val="none" w:sz="0" w:space="0" w:color="auto"/>
      </w:divBdr>
      <w:divsChild>
        <w:div w:id="187958793">
          <w:marLeft w:val="0"/>
          <w:marRight w:val="0"/>
          <w:marTop w:val="0"/>
          <w:marBottom w:val="0"/>
          <w:divBdr>
            <w:top w:val="none" w:sz="0" w:space="0" w:color="auto"/>
            <w:left w:val="none" w:sz="0" w:space="0" w:color="auto"/>
            <w:bottom w:val="none" w:sz="0" w:space="0" w:color="auto"/>
            <w:right w:val="none" w:sz="0" w:space="0" w:color="auto"/>
          </w:divBdr>
          <w:divsChild>
            <w:div w:id="1567766842">
              <w:marLeft w:val="0"/>
              <w:marRight w:val="0"/>
              <w:marTop w:val="0"/>
              <w:marBottom w:val="0"/>
              <w:divBdr>
                <w:top w:val="none" w:sz="0" w:space="0" w:color="auto"/>
                <w:left w:val="none" w:sz="0" w:space="0" w:color="auto"/>
                <w:bottom w:val="none" w:sz="0" w:space="0" w:color="auto"/>
                <w:right w:val="none" w:sz="0" w:space="0" w:color="auto"/>
              </w:divBdr>
              <w:divsChild>
                <w:div w:id="1660159526">
                  <w:marLeft w:val="0"/>
                  <w:marRight w:val="0"/>
                  <w:marTop w:val="0"/>
                  <w:marBottom w:val="0"/>
                  <w:divBdr>
                    <w:top w:val="none" w:sz="0" w:space="0" w:color="auto"/>
                    <w:left w:val="none" w:sz="0" w:space="0" w:color="auto"/>
                    <w:bottom w:val="none" w:sz="0" w:space="0" w:color="auto"/>
                    <w:right w:val="none" w:sz="0" w:space="0" w:color="auto"/>
                  </w:divBdr>
                  <w:divsChild>
                    <w:div w:id="526603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0617966">
      <w:bodyDiv w:val="1"/>
      <w:marLeft w:val="419"/>
      <w:marRight w:val="419"/>
      <w:marTop w:val="84"/>
      <w:marBottom w:val="84"/>
      <w:divBdr>
        <w:top w:val="none" w:sz="0" w:space="0" w:color="auto"/>
        <w:left w:val="none" w:sz="0" w:space="0" w:color="auto"/>
        <w:bottom w:val="none" w:sz="0" w:space="0" w:color="auto"/>
        <w:right w:val="none" w:sz="0" w:space="0" w:color="auto"/>
      </w:divBdr>
      <w:divsChild>
        <w:div w:id="227880974">
          <w:marLeft w:val="0"/>
          <w:marRight w:val="0"/>
          <w:marTop w:val="0"/>
          <w:marBottom w:val="0"/>
          <w:divBdr>
            <w:top w:val="none" w:sz="0" w:space="0" w:color="auto"/>
            <w:left w:val="none" w:sz="0" w:space="0" w:color="auto"/>
            <w:bottom w:val="none" w:sz="0" w:space="0" w:color="auto"/>
            <w:right w:val="none" w:sz="0" w:space="0" w:color="auto"/>
          </w:divBdr>
          <w:divsChild>
            <w:div w:id="1848127775">
              <w:marLeft w:val="0"/>
              <w:marRight w:val="0"/>
              <w:marTop w:val="0"/>
              <w:marBottom w:val="0"/>
              <w:divBdr>
                <w:top w:val="none" w:sz="0" w:space="0" w:color="auto"/>
                <w:left w:val="none" w:sz="0" w:space="0" w:color="auto"/>
                <w:bottom w:val="none" w:sz="0" w:space="0" w:color="auto"/>
                <w:right w:val="none" w:sz="0" w:space="0" w:color="auto"/>
              </w:divBdr>
              <w:divsChild>
                <w:div w:id="448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5904">
      <w:bodyDiv w:val="1"/>
      <w:marLeft w:val="419"/>
      <w:marRight w:val="419"/>
      <w:marTop w:val="84"/>
      <w:marBottom w:val="84"/>
      <w:divBdr>
        <w:top w:val="none" w:sz="0" w:space="0" w:color="auto"/>
        <w:left w:val="none" w:sz="0" w:space="0" w:color="auto"/>
        <w:bottom w:val="none" w:sz="0" w:space="0" w:color="auto"/>
        <w:right w:val="none" w:sz="0" w:space="0" w:color="auto"/>
      </w:divBdr>
      <w:divsChild>
        <w:div w:id="1388644203">
          <w:marLeft w:val="0"/>
          <w:marRight w:val="0"/>
          <w:marTop w:val="0"/>
          <w:marBottom w:val="0"/>
          <w:divBdr>
            <w:top w:val="none" w:sz="0" w:space="0" w:color="auto"/>
            <w:left w:val="none" w:sz="0" w:space="0" w:color="auto"/>
            <w:bottom w:val="none" w:sz="0" w:space="0" w:color="auto"/>
            <w:right w:val="none" w:sz="0" w:space="0" w:color="auto"/>
          </w:divBdr>
          <w:divsChild>
            <w:div w:id="264730788">
              <w:marLeft w:val="0"/>
              <w:marRight w:val="0"/>
              <w:marTop w:val="0"/>
              <w:marBottom w:val="0"/>
              <w:divBdr>
                <w:top w:val="none" w:sz="0" w:space="0" w:color="auto"/>
                <w:left w:val="none" w:sz="0" w:space="0" w:color="auto"/>
                <w:bottom w:val="none" w:sz="0" w:space="0" w:color="auto"/>
                <w:right w:val="none" w:sz="0" w:space="0" w:color="auto"/>
              </w:divBdr>
              <w:divsChild>
                <w:div w:id="158107">
                  <w:marLeft w:val="0"/>
                  <w:marRight w:val="0"/>
                  <w:marTop w:val="0"/>
                  <w:marBottom w:val="0"/>
                  <w:divBdr>
                    <w:top w:val="none" w:sz="0" w:space="0" w:color="auto"/>
                    <w:left w:val="none" w:sz="0" w:space="0" w:color="auto"/>
                    <w:bottom w:val="none" w:sz="0" w:space="0" w:color="auto"/>
                    <w:right w:val="none" w:sz="0" w:space="0" w:color="auto"/>
                  </w:divBdr>
                  <w:divsChild>
                    <w:div w:id="83515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1143637">
      <w:bodyDiv w:val="1"/>
      <w:marLeft w:val="419"/>
      <w:marRight w:val="419"/>
      <w:marTop w:val="84"/>
      <w:marBottom w:val="84"/>
      <w:divBdr>
        <w:top w:val="none" w:sz="0" w:space="0" w:color="auto"/>
        <w:left w:val="none" w:sz="0" w:space="0" w:color="auto"/>
        <w:bottom w:val="none" w:sz="0" w:space="0" w:color="auto"/>
        <w:right w:val="none" w:sz="0" w:space="0" w:color="auto"/>
      </w:divBdr>
      <w:divsChild>
        <w:div w:id="843975221">
          <w:marLeft w:val="0"/>
          <w:marRight w:val="0"/>
          <w:marTop w:val="0"/>
          <w:marBottom w:val="0"/>
          <w:divBdr>
            <w:top w:val="none" w:sz="0" w:space="0" w:color="auto"/>
            <w:left w:val="none" w:sz="0" w:space="0" w:color="auto"/>
            <w:bottom w:val="none" w:sz="0" w:space="0" w:color="auto"/>
            <w:right w:val="none" w:sz="0" w:space="0" w:color="auto"/>
          </w:divBdr>
          <w:divsChild>
            <w:div w:id="3096872">
              <w:marLeft w:val="0"/>
              <w:marRight w:val="0"/>
              <w:marTop w:val="0"/>
              <w:marBottom w:val="0"/>
              <w:divBdr>
                <w:top w:val="none" w:sz="0" w:space="0" w:color="auto"/>
                <w:left w:val="none" w:sz="0" w:space="0" w:color="auto"/>
                <w:bottom w:val="none" w:sz="0" w:space="0" w:color="auto"/>
                <w:right w:val="none" w:sz="0" w:space="0" w:color="auto"/>
              </w:divBdr>
              <w:divsChild>
                <w:div w:id="927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3855">
      <w:bodyDiv w:val="1"/>
      <w:marLeft w:val="419"/>
      <w:marRight w:val="419"/>
      <w:marTop w:val="84"/>
      <w:marBottom w:val="84"/>
      <w:divBdr>
        <w:top w:val="none" w:sz="0" w:space="0" w:color="auto"/>
        <w:left w:val="none" w:sz="0" w:space="0" w:color="auto"/>
        <w:bottom w:val="none" w:sz="0" w:space="0" w:color="auto"/>
        <w:right w:val="none" w:sz="0" w:space="0" w:color="auto"/>
      </w:divBdr>
      <w:divsChild>
        <w:div w:id="1053039999">
          <w:marLeft w:val="0"/>
          <w:marRight w:val="0"/>
          <w:marTop w:val="0"/>
          <w:marBottom w:val="0"/>
          <w:divBdr>
            <w:top w:val="none" w:sz="0" w:space="0" w:color="auto"/>
            <w:left w:val="none" w:sz="0" w:space="0" w:color="auto"/>
            <w:bottom w:val="none" w:sz="0" w:space="0" w:color="auto"/>
            <w:right w:val="none" w:sz="0" w:space="0" w:color="auto"/>
          </w:divBdr>
          <w:divsChild>
            <w:div w:id="176848770">
              <w:marLeft w:val="0"/>
              <w:marRight w:val="0"/>
              <w:marTop w:val="0"/>
              <w:marBottom w:val="0"/>
              <w:divBdr>
                <w:top w:val="none" w:sz="0" w:space="0" w:color="auto"/>
                <w:left w:val="none" w:sz="0" w:space="0" w:color="auto"/>
                <w:bottom w:val="none" w:sz="0" w:space="0" w:color="auto"/>
                <w:right w:val="none" w:sz="0" w:space="0" w:color="auto"/>
              </w:divBdr>
              <w:divsChild>
                <w:div w:id="1117409840">
                  <w:marLeft w:val="0"/>
                  <w:marRight w:val="0"/>
                  <w:marTop w:val="0"/>
                  <w:marBottom w:val="0"/>
                  <w:divBdr>
                    <w:top w:val="none" w:sz="0" w:space="0" w:color="auto"/>
                    <w:left w:val="none" w:sz="0" w:space="0" w:color="auto"/>
                    <w:bottom w:val="none" w:sz="0" w:space="0" w:color="auto"/>
                    <w:right w:val="none" w:sz="0" w:space="0" w:color="auto"/>
                  </w:divBdr>
                  <w:divsChild>
                    <w:div w:id="668944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9322455">
      <w:bodyDiv w:val="1"/>
      <w:marLeft w:val="419"/>
      <w:marRight w:val="419"/>
      <w:marTop w:val="84"/>
      <w:marBottom w:val="84"/>
      <w:divBdr>
        <w:top w:val="none" w:sz="0" w:space="0" w:color="auto"/>
        <w:left w:val="none" w:sz="0" w:space="0" w:color="auto"/>
        <w:bottom w:val="none" w:sz="0" w:space="0" w:color="auto"/>
        <w:right w:val="none" w:sz="0" w:space="0" w:color="auto"/>
      </w:divBdr>
      <w:divsChild>
        <w:div w:id="617101767">
          <w:marLeft w:val="0"/>
          <w:marRight w:val="0"/>
          <w:marTop w:val="0"/>
          <w:marBottom w:val="0"/>
          <w:divBdr>
            <w:top w:val="none" w:sz="0" w:space="0" w:color="auto"/>
            <w:left w:val="none" w:sz="0" w:space="0" w:color="auto"/>
            <w:bottom w:val="none" w:sz="0" w:space="0" w:color="auto"/>
            <w:right w:val="none" w:sz="0" w:space="0" w:color="auto"/>
          </w:divBdr>
          <w:divsChild>
            <w:div w:id="1063675982">
              <w:marLeft w:val="0"/>
              <w:marRight w:val="0"/>
              <w:marTop w:val="0"/>
              <w:marBottom w:val="0"/>
              <w:divBdr>
                <w:top w:val="none" w:sz="0" w:space="0" w:color="auto"/>
                <w:left w:val="none" w:sz="0" w:space="0" w:color="auto"/>
                <w:bottom w:val="none" w:sz="0" w:space="0" w:color="auto"/>
                <w:right w:val="none" w:sz="0" w:space="0" w:color="auto"/>
              </w:divBdr>
              <w:divsChild>
                <w:div w:id="12522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9926">
      <w:bodyDiv w:val="1"/>
      <w:marLeft w:val="419"/>
      <w:marRight w:val="419"/>
      <w:marTop w:val="84"/>
      <w:marBottom w:val="84"/>
      <w:divBdr>
        <w:top w:val="none" w:sz="0" w:space="0" w:color="auto"/>
        <w:left w:val="none" w:sz="0" w:space="0" w:color="auto"/>
        <w:bottom w:val="none" w:sz="0" w:space="0" w:color="auto"/>
        <w:right w:val="none" w:sz="0" w:space="0" w:color="auto"/>
      </w:divBdr>
      <w:divsChild>
        <w:div w:id="1070614937">
          <w:marLeft w:val="0"/>
          <w:marRight w:val="0"/>
          <w:marTop w:val="0"/>
          <w:marBottom w:val="0"/>
          <w:divBdr>
            <w:top w:val="none" w:sz="0" w:space="0" w:color="auto"/>
            <w:left w:val="none" w:sz="0" w:space="0" w:color="auto"/>
            <w:bottom w:val="none" w:sz="0" w:space="0" w:color="auto"/>
            <w:right w:val="none" w:sz="0" w:space="0" w:color="auto"/>
          </w:divBdr>
          <w:divsChild>
            <w:div w:id="643394939">
              <w:marLeft w:val="0"/>
              <w:marRight w:val="0"/>
              <w:marTop w:val="0"/>
              <w:marBottom w:val="0"/>
              <w:divBdr>
                <w:top w:val="none" w:sz="0" w:space="0" w:color="auto"/>
                <w:left w:val="none" w:sz="0" w:space="0" w:color="auto"/>
                <w:bottom w:val="none" w:sz="0" w:space="0" w:color="auto"/>
                <w:right w:val="none" w:sz="0" w:space="0" w:color="auto"/>
              </w:divBdr>
              <w:divsChild>
                <w:div w:id="13381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9364">
      <w:bodyDiv w:val="1"/>
      <w:marLeft w:val="419"/>
      <w:marRight w:val="419"/>
      <w:marTop w:val="84"/>
      <w:marBottom w:val="84"/>
      <w:divBdr>
        <w:top w:val="none" w:sz="0" w:space="0" w:color="auto"/>
        <w:left w:val="none" w:sz="0" w:space="0" w:color="auto"/>
        <w:bottom w:val="none" w:sz="0" w:space="0" w:color="auto"/>
        <w:right w:val="none" w:sz="0" w:space="0" w:color="auto"/>
      </w:divBdr>
      <w:divsChild>
        <w:div w:id="850409824">
          <w:marLeft w:val="0"/>
          <w:marRight w:val="0"/>
          <w:marTop w:val="0"/>
          <w:marBottom w:val="0"/>
          <w:divBdr>
            <w:top w:val="none" w:sz="0" w:space="0" w:color="auto"/>
            <w:left w:val="none" w:sz="0" w:space="0" w:color="auto"/>
            <w:bottom w:val="none" w:sz="0" w:space="0" w:color="auto"/>
            <w:right w:val="none" w:sz="0" w:space="0" w:color="auto"/>
          </w:divBdr>
          <w:divsChild>
            <w:div w:id="1123231675">
              <w:marLeft w:val="0"/>
              <w:marRight w:val="0"/>
              <w:marTop w:val="0"/>
              <w:marBottom w:val="0"/>
              <w:divBdr>
                <w:top w:val="none" w:sz="0" w:space="0" w:color="auto"/>
                <w:left w:val="none" w:sz="0" w:space="0" w:color="auto"/>
                <w:bottom w:val="none" w:sz="0" w:space="0" w:color="auto"/>
                <w:right w:val="none" w:sz="0" w:space="0" w:color="auto"/>
              </w:divBdr>
              <w:divsChild>
                <w:div w:id="1589385269">
                  <w:marLeft w:val="0"/>
                  <w:marRight w:val="0"/>
                  <w:marTop w:val="0"/>
                  <w:marBottom w:val="0"/>
                  <w:divBdr>
                    <w:top w:val="none" w:sz="0" w:space="0" w:color="auto"/>
                    <w:left w:val="none" w:sz="0" w:space="0" w:color="auto"/>
                    <w:bottom w:val="none" w:sz="0" w:space="0" w:color="auto"/>
                    <w:right w:val="none" w:sz="0" w:space="0" w:color="auto"/>
                  </w:divBdr>
                  <w:divsChild>
                    <w:div w:id="460535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52105049">
      <w:bodyDiv w:val="1"/>
      <w:marLeft w:val="419"/>
      <w:marRight w:val="419"/>
      <w:marTop w:val="84"/>
      <w:marBottom w:val="84"/>
      <w:divBdr>
        <w:top w:val="none" w:sz="0" w:space="0" w:color="auto"/>
        <w:left w:val="none" w:sz="0" w:space="0" w:color="auto"/>
        <w:bottom w:val="none" w:sz="0" w:space="0" w:color="auto"/>
        <w:right w:val="none" w:sz="0" w:space="0" w:color="auto"/>
      </w:divBdr>
      <w:divsChild>
        <w:div w:id="1884369741">
          <w:marLeft w:val="0"/>
          <w:marRight w:val="0"/>
          <w:marTop w:val="0"/>
          <w:marBottom w:val="0"/>
          <w:divBdr>
            <w:top w:val="none" w:sz="0" w:space="0" w:color="auto"/>
            <w:left w:val="none" w:sz="0" w:space="0" w:color="auto"/>
            <w:bottom w:val="none" w:sz="0" w:space="0" w:color="auto"/>
            <w:right w:val="none" w:sz="0" w:space="0" w:color="auto"/>
          </w:divBdr>
          <w:divsChild>
            <w:div w:id="1171607020">
              <w:marLeft w:val="0"/>
              <w:marRight w:val="0"/>
              <w:marTop w:val="0"/>
              <w:marBottom w:val="0"/>
              <w:divBdr>
                <w:top w:val="none" w:sz="0" w:space="0" w:color="auto"/>
                <w:left w:val="none" w:sz="0" w:space="0" w:color="auto"/>
                <w:bottom w:val="none" w:sz="0" w:space="0" w:color="auto"/>
                <w:right w:val="none" w:sz="0" w:space="0" w:color="auto"/>
              </w:divBdr>
              <w:divsChild>
                <w:div w:id="1530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9252">
      <w:bodyDiv w:val="1"/>
      <w:marLeft w:val="419"/>
      <w:marRight w:val="419"/>
      <w:marTop w:val="84"/>
      <w:marBottom w:val="84"/>
      <w:divBdr>
        <w:top w:val="none" w:sz="0" w:space="0" w:color="auto"/>
        <w:left w:val="none" w:sz="0" w:space="0" w:color="auto"/>
        <w:bottom w:val="none" w:sz="0" w:space="0" w:color="auto"/>
        <w:right w:val="none" w:sz="0" w:space="0" w:color="auto"/>
      </w:divBdr>
      <w:divsChild>
        <w:div w:id="610280522">
          <w:marLeft w:val="0"/>
          <w:marRight w:val="0"/>
          <w:marTop w:val="0"/>
          <w:marBottom w:val="0"/>
          <w:divBdr>
            <w:top w:val="none" w:sz="0" w:space="0" w:color="auto"/>
            <w:left w:val="none" w:sz="0" w:space="0" w:color="auto"/>
            <w:bottom w:val="none" w:sz="0" w:space="0" w:color="auto"/>
            <w:right w:val="none" w:sz="0" w:space="0" w:color="auto"/>
          </w:divBdr>
          <w:divsChild>
            <w:div w:id="970480424">
              <w:marLeft w:val="0"/>
              <w:marRight w:val="0"/>
              <w:marTop w:val="0"/>
              <w:marBottom w:val="0"/>
              <w:divBdr>
                <w:top w:val="none" w:sz="0" w:space="0" w:color="auto"/>
                <w:left w:val="none" w:sz="0" w:space="0" w:color="auto"/>
                <w:bottom w:val="none" w:sz="0" w:space="0" w:color="auto"/>
                <w:right w:val="none" w:sz="0" w:space="0" w:color="auto"/>
              </w:divBdr>
              <w:divsChild>
                <w:div w:id="18806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4018">
      <w:bodyDiv w:val="1"/>
      <w:marLeft w:val="419"/>
      <w:marRight w:val="419"/>
      <w:marTop w:val="84"/>
      <w:marBottom w:val="84"/>
      <w:divBdr>
        <w:top w:val="none" w:sz="0" w:space="0" w:color="auto"/>
        <w:left w:val="none" w:sz="0" w:space="0" w:color="auto"/>
        <w:bottom w:val="none" w:sz="0" w:space="0" w:color="auto"/>
        <w:right w:val="none" w:sz="0" w:space="0" w:color="auto"/>
      </w:divBdr>
      <w:divsChild>
        <w:div w:id="1826193235">
          <w:marLeft w:val="0"/>
          <w:marRight w:val="0"/>
          <w:marTop w:val="0"/>
          <w:marBottom w:val="0"/>
          <w:divBdr>
            <w:top w:val="none" w:sz="0" w:space="0" w:color="auto"/>
            <w:left w:val="none" w:sz="0" w:space="0" w:color="auto"/>
            <w:bottom w:val="none" w:sz="0" w:space="0" w:color="auto"/>
            <w:right w:val="none" w:sz="0" w:space="0" w:color="auto"/>
          </w:divBdr>
          <w:divsChild>
            <w:div w:id="1382830058">
              <w:marLeft w:val="0"/>
              <w:marRight w:val="0"/>
              <w:marTop w:val="0"/>
              <w:marBottom w:val="0"/>
              <w:divBdr>
                <w:top w:val="none" w:sz="0" w:space="0" w:color="auto"/>
                <w:left w:val="none" w:sz="0" w:space="0" w:color="auto"/>
                <w:bottom w:val="none" w:sz="0" w:space="0" w:color="auto"/>
                <w:right w:val="none" w:sz="0" w:space="0" w:color="auto"/>
              </w:divBdr>
              <w:divsChild>
                <w:div w:id="171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5482">
      <w:bodyDiv w:val="1"/>
      <w:marLeft w:val="419"/>
      <w:marRight w:val="419"/>
      <w:marTop w:val="84"/>
      <w:marBottom w:val="84"/>
      <w:divBdr>
        <w:top w:val="none" w:sz="0" w:space="0" w:color="auto"/>
        <w:left w:val="none" w:sz="0" w:space="0" w:color="auto"/>
        <w:bottom w:val="none" w:sz="0" w:space="0" w:color="auto"/>
        <w:right w:val="none" w:sz="0" w:space="0" w:color="auto"/>
      </w:divBdr>
      <w:divsChild>
        <w:div w:id="1999069622">
          <w:marLeft w:val="0"/>
          <w:marRight w:val="0"/>
          <w:marTop w:val="0"/>
          <w:marBottom w:val="0"/>
          <w:divBdr>
            <w:top w:val="none" w:sz="0" w:space="0" w:color="auto"/>
            <w:left w:val="none" w:sz="0" w:space="0" w:color="auto"/>
            <w:bottom w:val="none" w:sz="0" w:space="0" w:color="auto"/>
            <w:right w:val="none" w:sz="0" w:space="0" w:color="auto"/>
          </w:divBdr>
          <w:divsChild>
            <w:div w:id="1027217923">
              <w:marLeft w:val="0"/>
              <w:marRight w:val="0"/>
              <w:marTop w:val="0"/>
              <w:marBottom w:val="0"/>
              <w:divBdr>
                <w:top w:val="none" w:sz="0" w:space="0" w:color="auto"/>
                <w:left w:val="none" w:sz="0" w:space="0" w:color="auto"/>
                <w:bottom w:val="none" w:sz="0" w:space="0" w:color="auto"/>
                <w:right w:val="none" w:sz="0" w:space="0" w:color="auto"/>
              </w:divBdr>
              <w:divsChild>
                <w:div w:id="1567187566">
                  <w:marLeft w:val="0"/>
                  <w:marRight w:val="0"/>
                  <w:marTop w:val="0"/>
                  <w:marBottom w:val="0"/>
                  <w:divBdr>
                    <w:top w:val="none" w:sz="0" w:space="0" w:color="auto"/>
                    <w:left w:val="none" w:sz="0" w:space="0" w:color="auto"/>
                    <w:bottom w:val="none" w:sz="0" w:space="0" w:color="auto"/>
                    <w:right w:val="none" w:sz="0" w:space="0" w:color="auto"/>
                  </w:divBdr>
                  <w:divsChild>
                    <w:div w:id="1352343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3427939">
      <w:bodyDiv w:val="1"/>
      <w:marLeft w:val="419"/>
      <w:marRight w:val="419"/>
      <w:marTop w:val="84"/>
      <w:marBottom w:val="84"/>
      <w:divBdr>
        <w:top w:val="none" w:sz="0" w:space="0" w:color="auto"/>
        <w:left w:val="none" w:sz="0" w:space="0" w:color="auto"/>
        <w:bottom w:val="none" w:sz="0" w:space="0" w:color="auto"/>
        <w:right w:val="none" w:sz="0" w:space="0" w:color="auto"/>
      </w:divBdr>
      <w:divsChild>
        <w:div w:id="1366252839">
          <w:marLeft w:val="0"/>
          <w:marRight w:val="0"/>
          <w:marTop w:val="0"/>
          <w:marBottom w:val="0"/>
          <w:divBdr>
            <w:top w:val="none" w:sz="0" w:space="0" w:color="auto"/>
            <w:left w:val="none" w:sz="0" w:space="0" w:color="auto"/>
            <w:bottom w:val="none" w:sz="0" w:space="0" w:color="auto"/>
            <w:right w:val="none" w:sz="0" w:space="0" w:color="auto"/>
          </w:divBdr>
          <w:divsChild>
            <w:div w:id="1829443424">
              <w:marLeft w:val="0"/>
              <w:marRight w:val="0"/>
              <w:marTop w:val="0"/>
              <w:marBottom w:val="0"/>
              <w:divBdr>
                <w:top w:val="none" w:sz="0" w:space="0" w:color="auto"/>
                <w:left w:val="none" w:sz="0" w:space="0" w:color="auto"/>
                <w:bottom w:val="none" w:sz="0" w:space="0" w:color="auto"/>
                <w:right w:val="none" w:sz="0" w:space="0" w:color="auto"/>
              </w:divBdr>
              <w:divsChild>
                <w:div w:id="6809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9207">
      <w:bodyDiv w:val="1"/>
      <w:marLeft w:val="419"/>
      <w:marRight w:val="419"/>
      <w:marTop w:val="84"/>
      <w:marBottom w:val="84"/>
      <w:divBdr>
        <w:top w:val="none" w:sz="0" w:space="0" w:color="auto"/>
        <w:left w:val="none" w:sz="0" w:space="0" w:color="auto"/>
        <w:bottom w:val="none" w:sz="0" w:space="0" w:color="auto"/>
        <w:right w:val="none" w:sz="0" w:space="0" w:color="auto"/>
      </w:divBdr>
      <w:divsChild>
        <w:div w:id="288825381">
          <w:marLeft w:val="0"/>
          <w:marRight w:val="0"/>
          <w:marTop w:val="0"/>
          <w:marBottom w:val="0"/>
          <w:divBdr>
            <w:top w:val="none" w:sz="0" w:space="0" w:color="auto"/>
            <w:left w:val="none" w:sz="0" w:space="0" w:color="auto"/>
            <w:bottom w:val="none" w:sz="0" w:space="0" w:color="auto"/>
            <w:right w:val="none" w:sz="0" w:space="0" w:color="auto"/>
          </w:divBdr>
          <w:divsChild>
            <w:div w:id="681974046">
              <w:marLeft w:val="0"/>
              <w:marRight w:val="0"/>
              <w:marTop w:val="0"/>
              <w:marBottom w:val="0"/>
              <w:divBdr>
                <w:top w:val="none" w:sz="0" w:space="0" w:color="auto"/>
                <w:left w:val="none" w:sz="0" w:space="0" w:color="auto"/>
                <w:bottom w:val="none" w:sz="0" w:space="0" w:color="auto"/>
                <w:right w:val="none" w:sz="0" w:space="0" w:color="auto"/>
              </w:divBdr>
              <w:divsChild>
                <w:div w:id="349717823">
                  <w:marLeft w:val="0"/>
                  <w:marRight w:val="0"/>
                  <w:marTop w:val="0"/>
                  <w:marBottom w:val="0"/>
                  <w:divBdr>
                    <w:top w:val="none" w:sz="0" w:space="0" w:color="auto"/>
                    <w:left w:val="none" w:sz="0" w:space="0" w:color="auto"/>
                    <w:bottom w:val="none" w:sz="0" w:space="0" w:color="auto"/>
                    <w:right w:val="none" w:sz="0" w:space="0" w:color="auto"/>
                  </w:divBdr>
                  <w:divsChild>
                    <w:div w:id="104251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4609325">
      <w:bodyDiv w:val="1"/>
      <w:marLeft w:val="419"/>
      <w:marRight w:val="419"/>
      <w:marTop w:val="84"/>
      <w:marBottom w:val="84"/>
      <w:divBdr>
        <w:top w:val="none" w:sz="0" w:space="0" w:color="auto"/>
        <w:left w:val="none" w:sz="0" w:space="0" w:color="auto"/>
        <w:bottom w:val="none" w:sz="0" w:space="0" w:color="auto"/>
        <w:right w:val="none" w:sz="0" w:space="0" w:color="auto"/>
      </w:divBdr>
      <w:divsChild>
        <w:div w:id="498472149">
          <w:marLeft w:val="0"/>
          <w:marRight w:val="0"/>
          <w:marTop w:val="0"/>
          <w:marBottom w:val="0"/>
          <w:divBdr>
            <w:top w:val="none" w:sz="0" w:space="0" w:color="auto"/>
            <w:left w:val="none" w:sz="0" w:space="0" w:color="auto"/>
            <w:bottom w:val="none" w:sz="0" w:space="0" w:color="auto"/>
            <w:right w:val="none" w:sz="0" w:space="0" w:color="auto"/>
          </w:divBdr>
          <w:divsChild>
            <w:div w:id="427821724">
              <w:marLeft w:val="0"/>
              <w:marRight w:val="0"/>
              <w:marTop w:val="0"/>
              <w:marBottom w:val="0"/>
              <w:divBdr>
                <w:top w:val="none" w:sz="0" w:space="0" w:color="auto"/>
                <w:left w:val="none" w:sz="0" w:space="0" w:color="auto"/>
                <w:bottom w:val="none" w:sz="0" w:space="0" w:color="auto"/>
                <w:right w:val="none" w:sz="0" w:space="0" w:color="auto"/>
              </w:divBdr>
              <w:divsChild>
                <w:div w:id="1419061148">
                  <w:marLeft w:val="0"/>
                  <w:marRight w:val="0"/>
                  <w:marTop w:val="0"/>
                  <w:marBottom w:val="0"/>
                  <w:divBdr>
                    <w:top w:val="none" w:sz="0" w:space="0" w:color="auto"/>
                    <w:left w:val="none" w:sz="0" w:space="0" w:color="auto"/>
                    <w:bottom w:val="none" w:sz="0" w:space="0" w:color="auto"/>
                    <w:right w:val="none" w:sz="0" w:space="0" w:color="auto"/>
                  </w:divBdr>
                  <w:divsChild>
                    <w:div w:id="19793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2802735">
      <w:bodyDiv w:val="1"/>
      <w:marLeft w:val="419"/>
      <w:marRight w:val="419"/>
      <w:marTop w:val="84"/>
      <w:marBottom w:val="84"/>
      <w:divBdr>
        <w:top w:val="none" w:sz="0" w:space="0" w:color="auto"/>
        <w:left w:val="none" w:sz="0" w:space="0" w:color="auto"/>
        <w:bottom w:val="none" w:sz="0" w:space="0" w:color="auto"/>
        <w:right w:val="none" w:sz="0" w:space="0" w:color="auto"/>
      </w:divBdr>
      <w:divsChild>
        <w:div w:id="794910094">
          <w:marLeft w:val="0"/>
          <w:marRight w:val="0"/>
          <w:marTop w:val="0"/>
          <w:marBottom w:val="0"/>
          <w:divBdr>
            <w:top w:val="none" w:sz="0" w:space="0" w:color="auto"/>
            <w:left w:val="none" w:sz="0" w:space="0" w:color="auto"/>
            <w:bottom w:val="none" w:sz="0" w:space="0" w:color="auto"/>
            <w:right w:val="none" w:sz="0" w:space="0" w:color="auto"/>
          </w:divBdr>
          <w:divsChild>
            <w:div w:id="1084646728">
              <w:marLeft w:val="0"/>
              <w:marRight w:val="0"/>
              <w:marTop w:val="0"/>
              <w:marBottom w:val="0"/>
              <w:divBdr>
                <w:top w:val="none" w:sz="0" w:space="0" w:color="auto"/>
                <w:left w:val="none" w:sz="0" w:space="0" w:color="auto"/>
                <w:bottom w:val="none" w:sz="0" w:space="0" w:color="auto"/>
                <w:right w:val="none" w:sz="0" w:space="0" w:color="auto"/>
              </w:divBdr>
              <w:divsChild>
                <w:div w:id="2889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28990">
      <w:bodyDiv w:val="1"/>
      <w:marLeft w:val="419"/>
      <w:marRight w:val="419"/>
      <w:marTop w:val="84"/>
      <w:marBottom w:val="84"/>
      <w:divBdr>
        <w:top w:val="none" w:sz="0" w:space="0" w:color="auto"/>
        <w:left w:val="none" w:sz="0" w:space="0" w:color="auto"/>
        <w:bottom w:val="none" w:sz="0" w:space="0" w:color="auto"/>
        <w:right w:val="none" w:sz="0" w:space="0" w:color="auto"/>
      </w:divBdr>
      <w:divsChild>
        <w:div w:id="848834151">
          <w:marLeft w:val="0"/>
          <w:marRight w:val="0"/>
          <w:marTop w:val="0"/>
          <w:marBottom w:val="0"/>
          <w:divBdr>
            <w:top w:val="none" w:sz="0" w:space="0" w:color="auto"/>
            <w:left w:val="none" w:sz="0" w:space="0" w:color="auto"/>
            <w:bottom w:val="none" w:sz="0" w:space="0" w:color="auto"/>
            <w:right w:val="none" w:sz="0" w:space="0" w:color="auto"/>
          </w:divBdr>
          <w:divsChild>
            <w:div w:id="313993774">
              <w:marLeft w:val="0"/>
              <w:marRight w:val="0"/>
              <w:marTop w:val="0"/>
              <w:marBottom w:val="0"/>
              <w:divBdr>
                <w:top w:val="none" w:sz="0" w:space="0" w:color="auto"/>
                <w:left w:val="none" w:sz="0" w:space="0" w:color="auto"/>
                <w:bottom w:val="none" w:sz="0" w:space="0" w:color="auto"/>
                <w:right w:val="none" w:sz="0" w:space="0" w:color="auto"/>
              </w:divBdr>
              <w:divsChild>
                <w:div w:id="1958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2847">
      <w:bodyDiv w:val="1"/>
      <w:marLeft w:val="419"/>
      <w:marRight w:val="419"/>
      <w:marTop w:val="84"/>
      <w:marBottom w:val="84"/>
      <w:divBdr>
        <w:top w:val="none" w:sz="0" w:space="0" w:color="auto"/>
        <w:left w:val="none" w:sz="0" w:space="0" w:color="auto"/>
        <w:bottom w:val="none" w:sz="0" w:space="0" w:color="auto"/>
        <w:right w:val="none" w:sz="0" w:space="0" w:color="auto"/>
      </w:divBdr>
      <w:divsChild>
        <w:div w:id="1681158120">
          <w:marLeft w:val="0"/>
          <w:marRight w:val="0"/>
          <w:marTop w:val="0"/>
          <w:marBottom w:val="0"/>
          <w:divBdr>
            <w:top w:val="none" w:sz="0" w:space="0" w:color="auto"/>
            <w:left w:val="none" w:sz="0" w:space="0" w:color="auto"/>
            <w:bottom w:val="none" w:sz="0" w:space="0" w:color="auto"/>
            <w:right w:val="none" w:sz="0" w:space="0" w:color="auto"/>
          </w:divBdr>
          <w:divsChild>
            <w:div w:id="1126775021">
              <w:marLeft w:val="0"/>
              <w:marRight w:val="0"/>
              <w:marTop w:val="0"/>
              <w:marBottom w:val="0"/>
              <w:divBdr>
                <w:top w:val="none" w:sz="0" w:space="0" w:color="auto"/>
                <w:left w:val="none" w:sz="0" w:space="0" w:color="auto"/>
                <w:bottom w:val="none" w:sz="0" w:space="0" w:color="auto"/>
                <w:right w:val="none" w:sz="0" w:space="0" w:color="auto"/>
              </w:divBdr>
              <w:divsChild>
                <w:div w:id="12588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4622">
      <w:bodyDiv w:val="1"/>
      <w:marLeft w:val="419"/>
      <w:marRight w:val="419"/>
      <w:marTop w:val="84"/>
      <w:marBottom w:val="84"/>
      <w:divBdr>
        <w:top w:val="none" w:sz="0" w:space="0" w:color="auto"/>
        <w:left w:val="none" w:sz="0" w:space="0" w:color="auto"/>
        <w:bottom w:val="none" w:sz="0" w:space="0" w:color="auto"/>
        <w:right w:val="none" w:sz="0" w:space="0" w:color="auto"/>
      </w:divBdr>
      <w:divsChild>
        <w:div w:id="560140441">
          <w:marLeft w:val="0"/>
          <w:marRight w:val="0"/>
          <w:marTop w:val="0"/>
          <w:marBottom w:val="0"/>
          <w:divBdr>
            <w:top w:val="none" w:sz="0" w:space="0" w:color="auto"/>
            <w:left w:val="none" w:sz="0" w:space="0" w:color="auto"/>
            <w:bottom w:val="none" w:sz="0" w:space="0" w:color="auto"/>
            <w:right w:val="none" w:sz="0" w:space="0" w:color="auto"/>
          </w:divBdr>
          <w:divsChild>
            <w:div w:id="1870483919">
              <w:marLeft w:val="0"/>
              <w:marRight w:val="0"/>
              <w:marTop w:val="0"/>
              <w:marBottom w:val="0"/>
              <w:divBdr>
                <w:top w:val="none" w:sz="0" w:space="0" w:color="auto"/>
                <w:left w:val="none" w:sz="0" w:space="0" w:color="auto"/>
                <w:bottom w:val="none" w:sz="0" w:space="0" w:color="auto"/>
                <w:right w:val="none" w:sz="0" w:space="0" w:color="auto"/>
              </w:divBdr>
              <w:divsChild>
                <w:div w:id="8151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4965">
      <w:bodyDiv w:val="1"/>
      <w:marLeft w:val="419"/>
      <w:marRight w:val="419"/>
      <w:marTop w:val="84"/>
      <w:marBottom w:val="84"/>
      <w:divBdr>
        <w:top w:val="none" w:sz="0" w:space="0" w:color="auto"/>
        <w:left w:val="none" w:sz="0" w:space="0" w:color="auto"/>
        <w:bottom w:val="none" w:sz="0" w:space="0" w:color="auto"/>
        <w:right w:val="none" w:sz="0" w:space="0" w:color="auto"/>
      </w:divBdr>
      <w:divsChild>
        <w:div w:id="2142765242">
          <w:marLeft w:val="0"/>
          <w:marRight w:val="0"/>
          <w:marTop w:val="0"/>
          <w:marBottom w:val="0"/>
          <w:divBdr>
            <w:top w:val="none" w:sz="0" w:space="0" w:color="auto"/>
            <w:left w:val="none" w:sz="0" w:space="0" w:color="auto"/>
            <w:bottom w:val="none" w:sz="0" w:space="0" w:color="auto"/>
            <w:right w:val="none" w:sz="0" w:space="0" w:color="auto"/>
          </w:divBdr>
          <w:divsChild>
            <w:div w:id="738405466">
              <w:marLeft w:val="0"/>
              <w:marRight w:val="0"/>
              <w:marTop w:val="0"/>
              <w:marBottom w:val="0"/>
              <w:divBdr>
                <w:top w:val="none" w:sz="0" w:space="0" w:color="auto"/>
                <w:left w:val="none" w:sz="0" w:space="0" w:color="auto"/>
                <w:bottom w:val="none" w:sz="0" w:space="0" w:color="auto"/>
                <w:right w:val="none" w:sz="0" w:space="0" w:color="auto"/>
              </w:divBdr>
              <w:divsChild>
                <w:div w:id="17822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0104">
      <w:bodyDiv w:val="1"/>
      <w:marLeft w:val="419"/>
      <w:marRight w:val="419"/>
      <w:marTop w:val="84"/>
      <w:marBottom w:val="84"/>
      <w:divBdr>
        <w:top w:val="none" w:sz="0" w:space="0" w:color="auto"/>
        <w:left w:val="none" w:sz="0" w:space="0" w:color="auto"/>
        <w:bottom w:val="none" w:sz="0" w:space="0" w:color="auto"/>
        <w:right w:val="none" w:sz="0" w:space="0" w:color="auto"/>
      </w:divBdr>
      <w:divsChild>
        <w:div w:id="815876070">
          <w:marLeft w:val="0"/>
          <w:marRight w:val="0"/>
          <w:marTop w:val="0"/>
          <w:marBottom w:val="0"/>
          <w:divBdr>
            <w:top w:val="none" w:sz="0" w:space="0" w:color="auto"/>
            <w:left w:val="none" w:sz="0" w:space="0" w:color="auto"/>
            <w:bottom w:val="none" w:sz="0" w:space="0" w:color="auto"/>
            <w:right w:val="none" w:sz="0" w:space="0" w:color="auto"/>
          </w:divBdr>
          <w:divsChild>
            <w:div w:id="1406343728">
              <w:marLeft w:val="0"/>
              <w:marRight w:val="0"/>
              <w:marTop w:val="0"/>
              <w:marBottom w:val="0"/>
              <w:divBdr>
                <w:top w:val="none" w:sz="0" w:space="0" w:color="auto"/>
                <w:left w:val="none" w:sz="0" w:space="0" w:color="auto"/>
                <w:bottom w:val="none" w:sz="0" w:space="0" w:color="auto"/>
                <w:right w:val="none" w:sz="0" w:space="0" w:color="auto"/>
              </w:divBdr>
              <w:divsChild>
                <w:div w:id="4684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4362">
      <w:bodyDiv w:val="1"/>
      <w:marLeft w:val="419"/>
      <w:marRight w:val="419"/>
      <w:marTop w:val="84"/>
      <w:marBottom w:val="84"/>
      <w:divBdr>
        <w:top w:val="none" w:sz="0" w:space="0" w:color="auto"/>
        <w:left w:val="none" w:sz="0" w:space="0" w:color="auto"/>
        <w:bottom w:val="none" w:sz="0" w:space="0" w:color="auto"/>
        <w:right w:val="none" w:sz="0" w:space="0" w:color="auto"/>
      </w:divBdr>
      <w:divsChild>
        <w:div w:id="263851966">
          <w:marLeft w:val="0"/>
          <w:marRight w:val="0"/>
          <w:marTop w:val="0"/>
          <w:marBottom w:val="0"/>
          <w:divBdr>
            <w:top w:val="none" w:sz="0" w:space="0" w:color="auto"/>
            <w:left w:val="none" w:sz="0" w:space="0" w:color="auto"/>
            <w:bottom w:val="none" w:sz="0" w:space="0" w:color="auto"/>
            <w:right w:val="none" w:sz="0" w:space="0" w:color="auto"/>
          </w:divBdr>
          <w:divsChild>
            <w:div w:id="862788834">
              <w:marLeft w:val="0"/>
              <w:marRight w:val="0"/>
              <w:marTop w:val="0"/>
              <w:marBottom w:val="0"/>
              <w:divBdr>
                <w:top w:val="none" w:sz="0" w:space="0" w:color="auto"/>
                <w:left w:val="none" w:sz="0" w:space="0" w:color="auto"/>
                <w:bottom w:val="none" w:sz="0" w:space="0" w:color="auto"/>
                <w:right w:val="none" w:sz="0" w:space="0" w:color="auto"/>
              </w:divBdr>
              <w:divsChild>
                <w:div w:id="16253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5503">
      <w:bodyDiv w:val="1"/>
      <w:marLeft w:val="419"/>
      <w:marRight w:val="419"/>
      <w:marTop w:val="84"/>
      <w:marBottom w:val="84"/>
      <w:divBdr>
        <w:top w:val="none" w:sz="0" w:space="0" w:color="auto"/>
        <w:left w:val="none" w:sz="0" w:space="0" w:color="auto"/>
        <w:bottom w:val="none" w:sz="0" w:space="0" w:color="auto"/>
        <w:right w:val="none" w:sz="0" w:space="0" w:color="auto"/>
      </w:divBdr>
      <w:divsChild>
        <w:div w:id="447118871">
          <w:marLeft w:val="0"/>
          <w:marRight w:val="0"/>
          <w:marTop w:val="0"/>
          <w:marBottom w:val="0"/>
          <w:divBdr>
            <w:top w:val="none" w:sz="0" w:space="0" w:color="auto"/>
            <w:left w:val="none" w:sz="0" w:space="0" w:color="auto"/>
            <w:bottom w:val="none" w:sz="0" w:space="0" w:color="auto"/>
            <w:right w:val="none" w:sz="0" w:space="0" w:color="auto"/>
          </w:divBdr>
          <w:divsChild>
            <w:div w:id="1100222092">
              <w:marLeft w:val="0"/>
              <w:marRight w:val="0"/>
              <w:marTop w:val="0"/>
              <w:marBottom w:val="0"/>
              <w:divBdr>
                <w:top w:val="none" w:sz="0" w:space="0" w:color="auto"/>
                <w:left w:val="none" w:sz="0" w:space="0" w:color="auto"/>
                <w:bottom w:val="none" w:sz="0" w:space="0" w:color="auto"/>
                <w:right w:val="none" w:sz="0" w:space="0" w:color="auto"/>
              </w:divBdr>
              <w:divsChild>
                <w:div w:id="13411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738">
      <w:bodyDiv w:val="1"/>
      <w:marLeft w:val="419"/>
      <w:marRight w:val="419"/>
      <w:marTop w:val="84"/>
      <w:marBottom w:val="84"/>
      <w:divBdr>
        <w:top w:val="none" w:sz="0" w:space="0" w:color="auto"/>
        <w:left w:val="none" w:sz="0" w:space="0" w:color="auto"/>
        <w:bottom w:val="none" w:sz="0" w:space="0" w:color="auto"/>
        <w:right w:val="none" w:sz="0" w:space="0" w:color="auto"/>
      </w:divBdr>
      <w:divsChild>
        <w:div w:id="721947592">
          <w:marLeft w:val="0"/>
          <w:marRight w:val="0"/>
          <w:marTop w:val="0"/>
          <w:marBottom w:val="0"/>
          <w:divBdr>
            <w:top w:val="none" w:sz="0" w:space="0" w:color="auto"/>
            <w:left w:val="none" w:sz="0" w:space="0" w:color="auto"/>
            <w:bottom w:val="none" w:sz="0" w:space="0" w:color="auto"/>
            <w:right w:val="none" w:sz="0" w:space="0" w:color="auto"/>
          </w:divBdr>
          <w:divsChild>
            <w:div w:id="88164705">
              <w:marLeft w:val="0"/>
              <w:marRight w:val="0"/>
              <w:marTop w:val="0"/>
              <w:marBottom w:val="0"/>
              <w:divBdr>
                <w:top w:val="none" w:sz="0" w:space="0" w:color="auto"/>
                <w:left w:val="none" w:sz="0" w:space="0" w:color="auto"/>
                <w:bottom w:val="none" w:sz="0" w:space="0" w:color="auto"/>
                <w:right w:val="none" w:sz="0" w:space="0" w:color="auto"/>
              </w:divBdr>
              <w:divsChild>
                <w:div w:id="1385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9195">
      <w:bodyDiv w:val="1"/>
      <w:marLeft w:val="419"/>
      <w:marRight w:val="419"/>
      <w:marTop w:val="84"/>
      <w:marBottom w:val="84"/>
      <w:divBdr>
        <w:top w:val="none" w:sz="0" w:space="0" w:color="auto"/>
        <w:left w:val="none" w:sz="0" w:space="0" w:color="auto"/>
        <w:bottom w:val="none" w:sz="0" w:space="0" w:color="auto"/>
        <w:right w:val="none" w:sz="0" w:space="0" w:color="auto"/>
      </w:divBdr>
      <w:divsChild>
        <w:div w:id="1847212379">
          <w:marLeft w:val="0"/>
          <w:marRight w:val="0"/>
          <w:marTop w:val="0"/>
          <w:marBottom w:val="0"/>
          <w:divBdr>
            <w:top w:val="none" w:sz="0" w:space="0" w:color="auto"/>
            <w:left w:val="none" w:sz="0" w:space="0" w:color="auto"/>
            <w:bottom w:val="none" w:sz="0" w:space="0" w:color="auto"/>
            <w:right w:val="none" w:sz="0" w:space="0" w:color="auto"/>
          </w:divBdr>
          <w:divsChild>
            <w:div w:id="698891161">
              <w:marLeft w:val="0"/>
              <w:marRight w:val="0"/>
              <w:marTop w:val="0"/>
              <w:marBottom w:val="0"/>
              <w:divBdr>
                <w:top w:val="none" w:sz="0" w:space="0" w:color="auto"/>
                <w:left w:val="none" w:sz="0" w:space="0" w:color="auto"/>
                <w:bottom w:val="none" w:sz="0" w:space="0" w:color="auto"/>
                <w:right w:val="none" w:sz="0" w:space="0" w:color="auto"/>
              </w:divBdr>
              <w:divsChild>
                <w:div w:id="1117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89502">
      <w:bodyDiv w:val="1"/>
      <w:marLeft w:val="419"/>
      <w:marRight w:val="419"/>
      <w:marTop w:val="84"/>
      <w:marBottom w:val="84"/>
      <w:divBdr>
        <w:top w:val="none" w:sz="0" w:space="0" w:color="auto"/>
        <w:left w:val="none" w:sz="0" w:space="0" w:color="auto"/>
        <w:bottom w:val="none" w:sz="0" w:space="0" w:color="auto"/>
        <w:right w:val="none" w:sz="0" w:space="0" w:color="auto"/>
      </w:divBdr>
      <w:divsChild>
        <w:div w:id="528378103">
          <w:marLeft w:val="0"/>
          <w:marRight w:val="0"/>
          <w:marTop w:val="0"/>
          <w:marBottom w:val="0"/>
          <w:divBdr>
            <w:top w:val="none" w:sz="0" w:space="0" w:color="auto"/>
            <w:left w:val="none" w:sz="0" w:space="0" w:color="auto"/>
            <w:bottom w:val="none" w:sz="0" w:space="0" w:color="auto"/>
            <w:right w:val="none" w:sz="0" w:space="0" w:color="auto"/>
          </w:divBdr>
          <w:divsChild>
            <w:div w:id="90509611">
              <w:marLeft w:val="0"/>
              <w:marRight w:val="0"/>
              <w:marTop w:val="0"/>
              <w:marBottom w:val="0"/>
              <w:divBdr>
                <w:top w:val="none" w:sz="0" w:space="0" w:color="auto"/>
                <w:left w:val="none" w:sz="0" w:space="0" w:color="auto"/>
                <w:bottom w:val="none" w:sz="0" w:space="0" w:color="auto"/>
                <w:right w:val="none" w:sz="0" w:space="0" w:color="auto"/>
              </w:divBdr>
              <w:divsChild>
                <w:div w:id="20077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9&amp;crumb-action=replace&amp;docguid=I0AE0AEA0FE3D11DD9FBFF352A9E9B22D" TargetMode="External"/><Relationship Id="rId13" Type="http://schemas.openxmlformats.org/officeDocument/2006/relationships/hyperlink" Target="http://login.westlaw.co.uk/maf/wluk/app/document?src=doc&amp;linktype=ref&amp;&amp;context=22&amp;crumb-action=replace&amp;docguid=IA00D37D0E44811DA8D70A0E70A78ED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westlaw.co.uk/maf/wluk/app/document?src=doc&amp;linktype=ref&amp;&amp;context=24&amp;crumb-action=replace&amp;docguid=I4697FF10E57D11DAB242AFEA6182DD7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westlaw.co.uk/maf/wluk/app/document?src=doc&amp;linktype=ref&amp;&amp;context=24&amp;crumb-action=replace&amp;docguid=I0D51A151E44911DA8D70A0E70A78ED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gin.westlaw.co.uk/maf/wluk/app/document?src=doc&amp;linktype=ref&amp;&amp;context=6&amp;crumb-action=replace&amp;docguid=I15FFDD60E83A11DDBD029A39143EB92D" TargetMode="External"/><Relationship Id="rId4" Type="http://schemas.openxmlformats.org/officeDocument/2006/relationships/settings" Target="settings.xml"/><Relationship Id="rId9" Type="http://schemas.openxmlformats.org/officeDocument/2006/relationships/hyperlink" Target="http://login.westlaw.co.uk/maf/wluk/app/document?src=doc&amp;linktype=ref&amp;&amp;context=5&amp;crumb-action=replace&amp;docguid=I5FC11A90E42311DAA7CF8F68F6EE57AB" TargetMode="External"/><Relationship Id="rId14" Type="http://schemas.openxmlformats.org/officeDocument/2006/relationships/hyperlink" Target="http://login.westlaw.co.uk/maf/wluk/app/document?src=doc&amp;linktype=ref&amp;&amp;context=22&amp;crumb-action=replace&amp;docguid=I8E18E870E44E11DA8D70A0E70A78E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9202-339F-4CD9-B126-D3110BD1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7515</Words>
  <Characters>42838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dc:creator>
  <cp:lastModifiedBy>Lyalya</cp:lastModifiedBy>
  <cp:revision>2</cp:revision>
  <cp:lastPrinted>2012-07-19T14:06:00Z</cp:lastPrinted>
  <dcterms:created xsi:type="dcterms:W3CDTF">2012-07-31T18:25:00Z</dcterms:created>
  <dcterms:modified xsi:type="dcterms:W3CDTF">2012-07-31T18:25:00Z</dcterms:modified>
</cp:coreProperties>
</file>