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6B" w:rsidRPr="005A7EC4" w:rsidRDefault="0015576B" w:rsidP="005A7EC4">
      <w:pPr>
        <w:jc w:val="center"/>
        <w:rPr>
          <w:rFonts w:ascii="Times New Roman" w:hAnsi="Times New Roman" w:cs="Times New Roman"/>
          <w:b/>
          <w:u w:val="single"/>
        </w:rPr>
      </w:pPr>
      <w:bookmarkStart w:id="0" w:name="_GoBack"/>
      <w:bookmarkEnd w:id="0"/>
      <w:r w:rsidRPr="005A7EC4">
        <w:rPr>
          <w:rFonts w:ascii="Times New Roman" w:hAnsi="Times New Roman" w:cs="Times New Roman"/>
          <w:b/>
          <w:u w:val="single"/>
        </w:rPr>
        <w:t>THAT WAS (</w:t>
      </w:r>
      <w:r w:rsidR="000D7DA6" w:rsidRPr="005A7EC4">
        <w:rPr>
          <w:rFonts w:ascii="Times New Roman" w:hAnsi="Times New Roman" w:cs="Times New Roman"/>
          <w:b/>
          <w:u w:val="single"/>
        </w:rPr>
        <w:t xml:space="preserve">THE OTHER </w:t>
      </w:r>
      <w:r w:rsidRPr="005A7EC4">
        <w:rPr>
          <w:rFonts w:ascii="Times New Roman" w:hAnsi="Times New Roman" w:cs="Times New Roman"/>
          <w:b/>
          <w:u w:val="single"/>
        </w:rPr>
        <w:t>HALF) THE YEAR THAT WAS ...</w:t>
      </w:r>
      <w:r w:rsidR="003316D2" w:rsidRPr="005A7EC4">
        <w:rPr>
          <w:rFonts w:ascii="Times New Roman" w:hAnsi="Times New Roman" w:cs="Times New Roman"/>
          <w:b/>
          <w:u w:val="single"/>
        </w:rPr>
        <w:t xml:space="preserve"> </w:t>
      </w:r>
    </w:p>
    <w:p w:rsidR="0015576B" w:rsidRPr="005A7EC4" w:rsidRDefault="0015576B" w:rsidP="005A7EC4">
      <w:pPr>
        <w:jc w:val="center"/>
        <w:rPr>
          <w:rFonts w:ascii="Times New Roman" w:hAnsi="Times New Roman" w:cs="Times New Roman"/>
        </w:rPr>
      </w:pPr>
      <w:r w:rsidRPr="005A7EC4">
        <w:rPr>
          <w:rFonts w:ascii="Times New Roman" w:hAnsi="Times New Roman" w:cs="Times New Roman"/>
          <w:b/>
          <w:u w:val="single"/>
        </w:rPr>
        <w:t xml:space="preserve">SOME </w:t>
      </w:r>
      <w:r w:rsidR="003316D2" w:rsidRPr="005A7EC4">
        <w:rPr>
          <w:rFonts w:ascii="Times New Roman" w:hAnsi="Times New Roman" w:cs="Times New Roman"/>
          <w:b/>
          <w:u w:val="single"/>
        </w:rPr>
        <w:t xml:space="preserve">OTHER </w:t>
      </w:r>
      <w:r w:rsidRPr="005A7EC4">
        <w:rPr>
          <w:rFonts w:ascii="Times New Roman" w:hAnsi="Times New Roman" w:cs="Times New Roman"/>
          <w:b/>
          <w:u w:val="single"/>
        </w:rPr>
        <w:t>PUBLIC LAW HIGHLIGHTS OF 2012-2013</w:t>
      </w:r>
      <w:r w:rsidR="00CB100D">
        <w:rPr>
          <w:rFonts w:ascii="Times New Roman" w:hAnsi="Times New Roman" w:cs="Times New Roman"/>
          <w:b/>
          <w:u w:val="single"/>
        </w:rPr>
        <w:t xml:space="preserve"> (NO. 2)</w:t>
      </w:r>
    </w:p>
    <w:p w:rsidR="0015576B" w:rsidRPr="005A7EC4" w:rsidRDefault="0015576B" w:rsidP="005A7EC4">
      <w:pPr>
        <w:jc w:val="center"/>
        <w:rPr>
          <w:rFonts w:ascii="Times New Roman" w:hAnsi="Times New Roman" w:cs="Times New Roman"/>
        </w:rPr>
      </w:pPr>
    </w:p>
    <w:p w:rsidR="0015576B" w:rsidRPr="005A7EC4" w:rsidRDefault="0015576B" w:rsidP="005A7EC4">
      <w:pPr>
        <w:jc w:val="center"/>
        <w:rPr>
          <w:rFonts w:ascii="Times New Roman" w:hAnsi="Times New Roman" w:cs="Times New Roman"/>
          <w:b/>
        </w:rPr>
      </w:pPr>
      <w:r w:rsidRPr="005A7EC4">
        <w:rPr>
          <w:rFonts w:ascii="Times New Roman" w:hAnsi="Times New Roman" w:cs="Times New Roman"/>
          <w:b/>
        </w:rPr>
        <w:t>JAMES STRACHAN QC</w:t>
      </w:r>
    </w:p>
    <w:p w:rsidR="0015576B" w:rsidRPr="005A7EC4" w:rsidRDefault="0015576B" w:rsidP="005A7EC4">
      <w:pPr>
        <w:jc w:val="center"/>
        <w:rPr>
          <w:rFonts w:ascii="Times New Roman" w:hAnsi="Times New Roman" w:cs="Times New Roman"/>
        </w:rPr>
      </w:pPr>
      <w:r w:rsidRPr="005A7EC4">
        <w:rPr>
          <w:rFonts w:ascii="Times New Roman" w:hAnsi="Times New Roman" w:cs="Times New Roman"/>
          <w:b/>
        </w:rPr>
        <w:t>39 ESSEX STREET</w:t>
      </w:r>
    </w:p>
    <w:p w:rsidR="0015576B" w:rsidRPr="005A7EC4" w:rsidRDefault="0015576B" w:rsidP="005A7EC4">
      <w:pPr>
        <w:jc w:val="both"/>
        <w:rPr>
          <w:rFonts w:ascii="Times New Roman" w:hAnsi="Times New Roman" w:cs="Times New Roman"/>
        </w:rPr>
      </w:pPr>
    </w:p>
    <w:p w:rsidR="000D7DA6" w:rsidRPr="005A7EC4" w:rsidRDefault="000D7DA6" w:rsidP="005A7EC4">
      <w:pPr>
        <w:ind w:firstLine="720"/>
        <w:jc w:val="both"/>
        <w:rPr>
          <w:rFonts w:ascii="Times New Roman" w:hAnsi="Times New Roman" w:cs="Times New Roman"/>
          <w:u w:val="single"/>
        </w:rPr>
      </w:pPr>
      <w:proofErr w:type="gramStart"/>
      <w:r w:rsidRPr="005A7EC4">
        <w:rPr>
          <w:rFonts w:ascii="Times New Roman" w:hAnsi="Times New Roman" w:cs="Times New Roman"/>
          <w:u w:val="single"/>
        </w:rPr>
        <w:t>Secrecy</w:t>
      </w:r>
      <w:r w:rsidR="00E47FA2" w:rsidRPr="005A7EC4">
        <w:rPr>
          <w:rFonts w:ascii="Times New Roman" w:hAnsi="Times New Roman" w:cs="Times New Roman"/>
          <w:u w:val="single"/>
        </w:rPr>
        <w:t xml:space="preserve"> </w:t>
      </w:r>
      <w:r w:rsidR="00364DE0" w:rsidRPr="005A7EC4">
        <w:rPr>
          <w:rFonts w:ascii="Times New Roman" w:hAnsi="Times New Roman" w:cs="Times New Roman"/>
          <w:u w:val="single"/>
        </w:rPr>
        <w:t>:</w:t>
      </w:r>
      <w:proofErr w:type="gramEnd"/>
      <w:r w:rsidR="00364DE0" w:rsidRPr="005A7EC4">
        <w:rPr>
          <w:rFonts w:ascii="Times New Roman" w:hAnsi="Times New Roman" w:cs="Times New Roman"/>
          <w:u w:val="single"/>
        </w:rPr>
        <w:t xml:space="preserve"> </w:t>
      </w:r>
      <w:r w:rsidR="00C44B6C">
        <w:rPr>
          <w:rFonts w:ascii="Times New Roman" w:hAnsi="Times New Roman" w:cs="Times New Roman"/>
          <w:u w:val="single"/>
        </w:rPr>
        <w:t>s</w:t>
      </w:r>
      <w:r w:rsidR="00E47FA2" w:rsidRPr="005A7EC4">
        <w:rPr>
          <w:rFonts w:ascii="Times New Roman" w:hAnsi="Times New Roman" w:cs="Times New Roman"/>
          <w:u w:val="single"/>
        </w:rPr>
        <w:t xml:space="preserve">unshine </w:t>
      </w:r>
      <w:r w:rsidR="006739D4" w:rsidRPr="005A7EC4">
        <w:rPr>
          <w:rFonts w:ascii="Times New Roman" w:hAnsi="Times New Roman" w:cs="Times New Roman"/>
          <w:u w:val="single"/>
        </w:rPr>
        <w:t xml:space="preserve">is </w:t>
      </w:r>
      <w:r w:rsidR="00E47FA2" w:rsidRPr="005A7EC4">
        <w:rPr>
          <w:rFonts w:ascii="Times New Roman" w:hAnsi="Times New Roman" w:cs="Times New Roman"/>
          <w:u w:val="single"/>
        </w:rPr>
        <w:t>the greatest disinfectant</w:t>
      </w:r>
      <w:r w:rsidR="00E47FA2" w:rsidRPr="005A7EC4">
        <w:rPr>
          <w:rStyle w:val="FootnoteReference"/>
          <w:rFonts w:ascii="Times New Roman" w:hAnsi="Times New Roman" w:cs="Times New Roman"/>
          <w:u w:val="single"/>
        </w:rPr>
        <w:footnoteReference w:id="1"/>
      </w:r>
    </w:p>
    <w:p w:rsidR="008672C0" w:rsidRDefault="005A7EC4" w:rsidP="005A7EC4">
      <w:pPr>
        <w:pStyle w:val="ListParagraph"/>
        <w:numPr>
          <w:ilvl w:val="0"/>
          <w:numId w:val="2"/>
        </w:numPr>
        <w:jc w:val="both"/>
        <w:rPr>
          <w:rFonts w:ascii="Times New Roman" w:hAnsi="Times New Roman" w:cs="Times New Roman"/>
        </w:rPr>
      </w:pPr>
      <w:r>
        <w:rPr>
          <w:rFonts w:ascii="Times New Roman" w:hAnsi="Times New Roman" w:cs="Times New Roman"/>
        </w:rPr>
        <w:t xml:space="preserve">At a time when the founder of </w:t>
      </w:r>
      <w:r>
        <w:rPr>
          <w:rFonts w:ascii="Times New Roman" w:hAnsi="Times New Roman" w:cs="Times New Roman"/>
          <w:i/>
        </w:rPr>
        <w:t>Wikileaks</w:t>
      </w:r>
      <w:r w:rsidR="008672C0">
        <w:rPr>
          <w:rFonts w:ascii="Times New Roman" w:hAnsi="Times New Roman" w:cs="Times New Roman"/>
        </w:rPr>
        <w:t>, Julian Assange,</w:t>
      </w:r>
      <w:r>
        <w:rPr>
          <w:rFonts w:ascii="Times New Roman" w:hAnsi="Times New Roman" w:cs="Times New Roman"/>
          <w:i/>
        </w:rPr>
        <w:t xml:space="preserve"> </w:t>
      </w:r>
      <w:r>
        <w:rPr>
          <w:rFonts w:ascii="Times New Roman" w:hAnsi="Times New Roman" w:cs="Times New Roman"/>
        </w:rPr>
        <w:t xml:space="preserve">is still </w:t>
      </w:r>
      <w:r w:rsidR="008672C0">
        <w:rPr>
          <w:rFonts w:ascii="Times New Roman" w:hAnsi="Times New Roman" w:cs="Times New Roman"/>
        </w:rPr>
        <w:t>claiming</w:t>
      </w:r>
      <w:r>
        <w:rPr>
          <w:rFonts w:ascii="Times New Roman" w:hAnsi="Times New Roman" w:cs="Times New Roman"/>
        </w:rPr>
        <w:t xml:space="preserve"> sanctuary in</w:t>
      </w:r>
      <w:r w:rsidR="008672C0">
        <w:rPr>
          <w:rFonts w:ascii="Times New Roman" w:hAnsi="Times New Roman" w:cs="Times New Roman"/>
        </w:rPr>
        <w:t xml:space="preserve"> the Embassy of Ec</w:t>
      </w:r>
      <w:r>
        <w:rPr>
          <w:rFonts w:ascii="Times New Roman" w:hAnsi="Times New Roman" w:cs="Times New Roman"/>
        </w:rPr>
        <w:t>u</w:t>
      </w:r>
      <w:r w:rsidR="008672C0">
        <w:rPr>
          <w:rFonts w:ascii="Times New Roman" w:hAnsi="Times New Roman" w:cs="Times New Roman"/>
        </w:rPr>
        <w:t>a</w:t>
      </w:r>
      <w:r>
        <w:rPr>
          <w:rFonts w:ascii="Times New Roman" w:hAnsi="Times New Roman" w:cs="Times New Roman"/>
        </w:rPr>
        <w:t>dor</w:t>
      </w:r>
      <w:r w:rsidR="008672C0">
        <w:rPr>
          <w:rFonts w:ascii="Times New Roman" w:hAnsi="Times New Roman" w:cs="Times New Roman"/>
        </w:rPr>
        <w:t xml:space="preserve"> in London</w:t>
      </w:r>
      <w:r>
        <w:rPr>
          <w:rFonts w:ascii="Times New Roman" w:hAnsi="Times New Roman" w:cs="Times New Roman"/>
        </w:rPr>
        <w:t>, one of its central contributors</w:t>
      </w:r>
      <w:r w:rsidR="008672C0">
        <w:rPr>
          <w:rFonts w:ascii="Times New Roman" w:hAnsi="Times New Roman" w:cs="Times New Roman"/>
        </w:rPr>
        <w:t>, Bradley Manning,</w:t>
      </w:r>
      <w:r>
        <w:rPr>
          <w:rFonts w:ascii="Times New Roman" w:hAnsi="Times New Roman" w:cs="Times New Roman"/>
        </w:rPr>
        <w:t xml:space="preserve"> is </w:t>
      </w:r>
      <w:r w:rsidR="00C44B6C">
        <w:rPr>
          <w:rFonts w:ascii="Times New Roman" w:hAnsi="Times New Roman" w:cs="Times New Roman"/>
        </w:rPr>
        <w:t xml:space="preserve">on trial in the US for being a </w:t>
      </w:r>
      <w:r>
        <w:rPr>
          <w:rFonts w:ascii="Times New Roman" w:hAnsi="Times New Roman" w:cs="Times New Roman"/>
        </w:rPr>
        <w:t>traitor</w:t>
      </w:r>
      <w:r w:rsidR="00C44B6C">
        <w:rPr>
          <w:rFonts w:ascii="Times New Roman" w:hAnsi="Times New Roman" w:cs="Times New Roman"/>
        </w:rPr>
        <w:t>,</w:t>
      </w:r>
      <w:r>
        <w:rPr>
          <w:rFonts w:ascii="Times New Roman" w:hAnsi="Times New Roman" w:cs="Times New Roman"/>
        </w:rPr>
        <w:t xml:space="preserve"> and another</w:t>
      </w:r>
      <w:r w:rsidR="008672C0">
        <w:rPr>
          <w:rFonts w:ascii="Times New Roman" w:hAnsi="Times New Roman" w:cs="Times New Roman"/>
        </w:rPr>
        <w:t>, Edward Snowden, remains</w:t>
      </w:r>
      <w:r>
        <w:rPr>
          <w:rFonts w:ascii="Times New Roman" w:hAnsi="Times New Roman" w:cs="Times New Roman"/>
        </w:rPr>
        <w:t xml:space="preserve"> holed up in Moscow </w:t>
      </w:r>
      <w:r w:rsidR="008672C0">
        <w:rPr>
          <w:rFonts w:ascii="Times New Roman" w:hAnsi="Times New Roman" w:cs="Times New Roman"/>
        </w:rPr>
        <w:t xml:space="preserve">airport, </w:t>
      </w:r>
      <w:r w:rsidR="00C44B6C">
        <w:rPr>
          <w:rFonts w:ascii="Times New Roman" w:hAnsi="Times New Roman" w:cs="Times New Roman"/>
        </w:rPr>
        <w:t xml:space="preserve">secrecy </w:t>
      </w:r>
      <w:r w:rsidR="008672C0">
        <w:rPr>
          <w:rFonts w:ascii="Times New Roman" w:hAnsi="Times New Roman" w:cs="Times New Roman"/>
        </w:rPr>
        <w:t xml:space="preserve">in public law is particularly topical.  </w:t>
      </w:r>
    </w:p>
    <w:p w:rsidR="008672C0" w:rsidRDefault="008672C0" w:rsidP="008672C0">
      <w:pPr>
        <w:pStyle w:val="ListParagraph"/>
        <w:jc w:val="both"/>
        <w:rPr>
          <w:rFonts w:ascii="Times New Roman" w:hAnsi="Times New Roman" w:cs="Times New Roman"/>
        </w:rPr>
      </w:pPr>
      <w:r>
        <w:rPr>
          <w:rFonts w:ascii="Times New Roman" w:hAnsi="Times New Roman" w:cs="Times New Roman"/>
        </w:rPr>
        <w:t xml:space="preserve"> </w:t>
      </w:r>
    </w:p>
    <w:p w:rsidR="00170391" w:rsidRPr="00CB100D" w:rsidRDefault="008672C0" w:rsidP="00CB100D">
      <w:pPr>
        <w:pStyle w:val="ListParagraph"/>
        <w:numPr>
          <w:ilvl w:val="0"/>
          <w:numId w:val="2"/>
        </w:numPr>
        <w:jc w:val="both"/>
        <w:rPr>
          <w:rFonts w:ascii="Times New Roman" w:hAnsi="Times New Roman" w:cs="Times New Roman"/>
        </w:rPr>
      </w:pPr>
      <w:r>
        <w:rPr>
          <w:rFonts w:ascii="Times New Roman" w:hAnsi="Times New Roman" w:cs="Times New Roman"/>
        </w:rPr>
        <w:t xml:space="preserve">There have been a range of cases in the past year </w:t>
      </w:r>
      <w:r w:rsidR="00CB100D">
        <w:rPr>
          <w:rFonts w:ascii="Times New Roman" w:hAnsi="Times New Roman" w:cs="Times New Roman"/>
        </w:rPr>
        <w:t>continuing</w:t>
      </w:r>
      <w:r>
        <w:rPr>
          <w:rFonts w:ascii="Times New Roman" w:hAnsi="Times New Roman" w:cs="Times New Roman"/>
        </w:rPr>
        <w:t xml:space="preserve"> to put the role of secrecy in a justice system in the spotlight, </w:t>
      </w:r>
      <w:r w:rsidR="00514194">
        <w:rPr>
          <w:rFonts w:ascii="Times New Roman" w:hAnsi="Times New Roman" w:cs="Times New Roman"/>
        </w:rPr>
        <w:t>if not necessarily the sunlight.</w:t>
      </w:r>
      <w:r>
        <w:rPr>
          <w:rFonts w:ascii="Times New Roman" w:hAnsi="Times New Roman" w:cs="Times New Roman"/>
        </w:rPr>
        <w:t xml:space="preserve"> </w:t>
      </w:r>
      <w:r w:rsidR="005A7EC4">
        <w:rPr>
          <w:rFonts w:ascii="Times New Roman" w:hAnsi="Times New Roman" w:cs="Times New Roman"/>
        </w:rPr>
        <w:t xml:space="preserve"> </w:t>
      </w:r>
    </w:p>
    <w:p w:rsidR="009E5A28" w:rsidRPr="005A7EC4" w:rsidRDefault="009E5A28" w:rsidP="005A7EC4">
      <w:pPr>
        <w:pStyle w:val="ListParagraph"/>
        <w:jc w:val="both"/>
        <w:rPr>
          <w:rFonts w:ascii="Times New Roman" w:hAnsi="Times New Roman" w:cs="Times New Roman"/>
        </w:rPr>
      </w:pPr>
      <w:r w:rsidRPr="005A7EC4">
        <w:rPr>
          <w:rFonts w:ascii="Times New Roman" w:hAnsi="Times New Roman" w:cs="Times New Roman"/>
          <w:i/>
        </w:rPr>
        <w:t xml:space="preserve"> </w:t>
      </w:r>
    </w:p>
    <w:p w:rsidR="006739D4" w:rsidRPr="005A7EC4" w:rsidRDefault="006739D4" w:rsidP="005A7EC4">
      <w:pPr>
        <w:pStyle w:val="ListParagraph"/>
        <w:jc w:val="both"/>
        <w:rPr>
          <w:rFonts w:ascii="Times New Roman" w:hAnsi="Times New Roman" w:cs="Times New Roman"/>
        </w:rPr>
      </w:pPr>
      <w:proofErr w:type="gramStart"/>
      <w:r w:rsidRPr="00C44B6C">
        <w:rPr>
          <w:rFonts w:ascii="Times New Roman" w:hAnsi="Times New Roman" w:cs="Times New Roman"/>
          <w:b/>
          <w:i/>
        </w:rPr>
        <w:t>R(</w:t>
      </w:r>
      <w:proofErr w:type="gramEnd"/>
      <w:r w:rsidRPr="00C44B6C">
        <w:rPr>
          <w:rFonts w:ascii="Times New Roman" w:hAnsi="Times New Roman" w:cs="Times New Roman"/>
          <w:b/>
          <w:i/>
        </w:rPr>
        <w:t>Bancoult) v Secretary of State for Foreign and Commonwealth</w:t>
      </w:r>
      <w:r w:rsidRPr="00C44B6C">
        <w:rPr>
          <w:rFonts w:ascii="Times New Roman" w:hAnsi="Times New Roman" w:cs="Times New Roman"/>
          <w:b/>
        </w:rPr>
        <w:t xml:space="preserve"> </w:t>
      </w:r>
      <w:r w:rsidR="00170391" w:rsidRPr="00C44B6C">
        <w:rPr>
          <w:rFonts w:ascii="Times New Roman" w:hAnsi="Times New Roman" w:cs="Times New Roman"/>
          <w:b/>
          <w:i/>
        </w:rPr>
        <w:t>Affairs</w:t>
      </w:r>
      <w:r w:rsidR="00170391" w:rsidRPr="005A7EC4">
        <w:rPr>
          <w:rFonts w:ascii="Times New Roman" w:hAnsi="Times New Roman" w:cs="Times New Roman"/>
          <w:i/>
        </w:rPr>
        <w:t xml:space="preserve"> </w:t>
      </w:r>
      <w:r w:rsidRPr="005A7EC4">
        <w:rPr>
          <w:rFonts w:ascii="Times New Roman" w:hAnsi="Times New Roman" w:cs="Times New Roman"/>
        </w:rPr>
        <w:t>[2012] EWHC 2115 (Admin)</w:t>
      </w:r>
      <w:r w:rsidR="00170391" w:rsidRPr="005A7EC4">
        <w:rPr>
          <w:rFonts w:ascii="Times New Roman" w:hAnsi="Times New Roman" w:cs="Times New Roman"/>
        </w:rPr>
        <w:t xml:space="preserve"> and [2013] EWHC 1502 (Admin)</w:t>
      </w:r>
      <w:r w:rsidRPr="005A7EC4">
        <w:rPr>
          <w:rFonts w:ascii="Times New Roman" w:hAnsi="Times New Roman" w:cs="Times New Roman"/>
          <w:i/>
        </w:rPr>
        <w:t xml:space="preserve"> </w:t>
      </w:r>
    </w:p>
    <w:p w:rsidR="00170391" w:rsidRPr="00514194" w:rsidRDefault="00CB100D" w:rsidP="00514194">
      <w:pPr>
        <w:pStyle w:val="ListParagraph"/>
        <w:numPr>
          <w:ilvl w:val="0"/>
          <w:numId w:val="2"/>
        </w:numPr>
        <w:jc w:val="both"/>
        <w:rPr>
          <w:rFonts w:ascii="Times New Roman" w:hAnsi="Times New Roman" w:cs="Times New Roman"/>
        </w:rPr>
      </w:pPr>
      <w:r>
        <w:rPr>
          <w:rFonts w:ascii="Times New Roman" w:hAnsi="Times New Roman" w:cs="Times New Roman"/>
        </w:rPr>
        <w:t>These t</w:t>
      </w:r>
      <w:r w:rsidR="00514194">
        <w:rPr>
          <w:rFonts w:ascii="Times New Roman" w:hAnsi="Times New Roman" w:cs="Times New Roman"/>
        </w:rPr>
        <w:t>wo</w:t>
      </w:r>
      <w:r w:rsidR="00170391" w:rsidRPr="005A7EC4">
        <w:rPr>
          <w:rFonts w:ascii="Times New Roman" w:hAnsi="Times New Roman" w:cs="Times New Roman"/>
        </w:rPr>
        <w:t xml:space="preserve"> decisions </w:t>
      </w:r>
      <w:r>
        <w:rPr>
          <w:rFonts w:ascii="Times New Roman" w:hAnsi="Times New Roman" w:cs="Times New Roman"/>
        </w:rPr>
        <w:t xml:space="preserve">are </w:t>
      </w:r>
      <w:r w:rsidR="00514194">
        <w:rPr>
          <w:rFonts w:ascii="Times New Roman" w:hAnsi="Times New Roman" w:cs="Times New Roman"/>
        </w:rPr>
        <w:t xml:space="preserve">of direct relevance to the use that can be made of secret material obtained by Wikileaks, even where </w:t>
      </w:r>
      <w:r>
        <w:rPr>
          <w:rFonts w:ascii="Times New Roman" w:hAnsi="Times New Roman" w:cs="Times New Roman"/>
        </w:rPr>
        <w:t xml:space="preserve">such material has been widely published. Somewhat unusually, </w:t>
      </w:r>
      <w:r w:rsidR="00514194">
        <w:rPr>
          <w:rFonts w:ascii="Times New Roman" w:hAnsi="Times New Roman" w:cs="Times New Roman"/>
        </w:rPr>
        <w:t xml:space="preserve">this arose in </w:t>
      </w:r>
      <w:r w:rsidR="00170391" w:rsidRPr="005A7EC4">
        <w:rPr>
          <w:rFonts w:ascii="Times New Roman" w:hAnsi="Times New Roman" w:cs="Times New Roman"/>
        </w:rPr>
        <w:t>the latest chapter in the</w:t>
      </w:r>
      <w:r w:rsidR="00514194">
        <w:rPr>
          <w:rFonts w:ascii="Times New Roman" w:hAnsi="Times New Roman" w:cs="Times New Roman"/>
        </w:rPr>
        <w:t xml:space="preserve"> attempts by Chagos Islanders to secure the</w:t>
      </w:r>
      <w:r>
        <w:rPr>
          <w:rFonts w:ascii="Times New Roman" w:hAnsi="Times New Roman" w:cs="Times New Roman"/>
        </w:rPr>
        <w:t>ir return to the Chagos Islands.</w:t>
      </w:r>
    </w:p>
    <w:p w:rsidR="00170391" w:rsidRPr="005A7EC4" w:rsidRDefault="00170391" w:rsidP="005A7EC4">
      <w:pPr>
        <w:pStyle w:val="ListParagraph"/>
        <w:jc w:val="both"/>
        <w:rPr>
          <w:rFonts w:ascii="Times New Roman" w:hAnsi="Times New Roman" w:cs="Times New Roman"/>
        </w:rPr>
      </w:pPr>
      <w:r w:rsidRPr="005A7EC4">
        <w:rPr>
          <w:rFonts w:ascii="Times New Roman" w:hAnsi="Times New Roman" w:cs="Times New Roman"/>
        </w:rPr>
        <w:t xml:space="preserve"> </w:t>
      </w:r>
    </w:p>
    <w:p w:rsidR="00170391" w:rsidRPr="00CB100D" w:rsidRDefault="00170391" w:rsidP="005A7EC4">
      <w:pPr>
        <w:pStyle w:val="ListParagraph"/>
        <w:numPr>
          <w:ilvl w:val="0"/>
          <w:numId w:val="2"/>
        </w:numPr>
        <w:jc w:val="both"/>
        <w:rPr>
          <w:rFonts w:ascii="Times New Roman" w:hAnsi="Times New Roman" w:cs="Times New Roman"/>
        </w:rPr>
      </w:pPr>
      <w:r w:rsidRPr="005A7EC4">
        <w:rPr>
          <w:rFonts w:ascii="Times New Roman" w:hAnsi="Times New Roman" w:cs="Times New Roman"/>
        </w:rPr>
        <w:t xml:space="preserve">B, the Chair of the </w:t>
      </w:r>
      <w:r w:rsidRPr="005A7EC4">
        <w:rPr>
          <w:rFonts w:ascii="Times New Roman" w:hAnsi="Times New Roman" w:cs="Times New Roman"/>
          <w:lang w:val="en-US"/>
        </w:rPr>
        <w:t>Chagos Refugees Group, sought judicial review of the decision of the Secretary of State to create a Marine Protected Area ("MPA") around the British Indian Ocean Territory</w:t>
      </w:r>
      <w:r w:rsidR="00C44B6C">
        <w:rPr>
          <w:rFonts w:ascii="Times New Roman" w:hAnsi="Times New Roman" w:cs="Times New Roman"/>
          <w:lang w:val="en-US"/>
        </w:rPr>
        <w:t>.  This claim was</w:t>
      </w:r>
      <w:r w:rsidRPr="005A7EC4">
        <w:rPr>
          <w:rFonts w:ascii="Times New Roman" w:hAnsi="Times New Roman" w:cs="Times New Roman"/>
          <w:lang w:val="en-US"/>
        </w:rPr>
        <w:t xml:space="preserve"> part of </w:t>
      </w:r>
      <w:r w:rsidR="00C44B6C">
        <w:rPr>
          <w:rFonts w:ascii="Times New Roman" w:hAnsi="Times New Roman" w:cs="Times New Roman"/>
          <w:lang w:val="en-US"/>
        </w:rPr>
        <w:t xml:space="preserve">a long-standing </w:t>
      </w:r>
      <w:r w:rsidRPr="005A7EC4">
        <w:rPr>
          <w:rFonts w:ascii="Times New Roman" w:hAnsi="Times New Roman" w:cs="Times New Roman"/>
          <w:lang w:val="en-US"/>
        </w:rPr>
        <w:t>campaign of the Chagos Islanders to</w:t>
      </w:r>
      <w:r w:rsidR="00C44B6C">
        <w:rPr>
          <w:rFonts w:ascii="Times New Roman" w:hAnsi="Times New Roman" w:cs="Times New Roman"/>
          <w:lang w:val="en-US"/>
        </w:rPr>
        <w:t xml:space="preserve"> enable their</w:t>
      </w:r>
      <w:r w:rsidRPr="005A7EC4">
        <w:rPr>
          <w:rFonts w:ascii="Times New Roman" w:hAnsi="Times New Roman" w:cs="Times New Roman"/>
          <w:lang w:val="en-US"/>
        </w:rPr>
        <w:t xml:space="preserve"> return to the Chagos islands, after removal </w:t>
      </w:r>
      <w:r w:rsidR="00C44B6C">
        <w:rPr>
          <w:rFonts w:ascii="Times New Roman" w:hAnsi="Times New Roman" w:cs="Times New Roman"/>
          <w:lang w:val="en-US"/>
        </w:rPr>
        <w:t xml:space="preserve">by the Government </w:t>
      </w:r>
      <w:r w:rsidRPr="005A7EC4">
        <w:rPr>
          <w:rFonts w:ascii="Times New Roman" w:hAnsi="Times New Roman" w:cs="Times New Roman"/>
          <w:lang w:val="en-US"/>
        </w:rPr>
        <w:t>between 1965 and 1973 and subsequent continued exclusion.</w:t>
      </w:r>
      <w:r w:rsidRPr="005A7EC4">
        <w:rPr>
          <w:rStyle w:val="FootnoteReference"/>
          <w:rFonts w:ascii="Times New Roman" w:hAnsi="Times New Roman" w:cs="Times New Roman"/>
          <w:lang w:val="en-US"/>
        </w:rPr>
        <w:footnoteReference w:id="2"/>
      </w:r>
    </w:p>
    <w:p w:rsidR="00CB100D" w:rsidRPr="00CB100D" w:rsidRDefault="00CB100D" w:rsidP="00CB100D">
      <w:pPr>
        <w:pStyle w:val="ListParagraph"/>
        <w:jc w:val="both"/>
        <w:rPr>
          <w:rFonts w:ascii="Times New Roman" w:hAnsi="Times New Roman" w:cs="Times New Roman"/>
        </w:rPr>
      </w:pPr>
    </w:p>
    <w:p w:rsidR="003F53BF" w:rsidRPr="005A7EC4" w:rsidRDefault="00170391" w:rsidP="005A7EC4">
      <w:pPr>
        <w:pStyle w:val="ListParagraph"/>
        <w:numPr>
          <w:ilvl w:val="0"/>
          <w:numId w:val="2"/>
        </w:numPr>
        <w:jc w:val="both"/>
        <w:rPr>
          <w:rFonts w:ascii="Times New Roman" w:hAnsi="Times New Roman" w:cs="Times New Roman"/>
        </w:rPr>
      </w:pPr>
      <w:r w:rsidRPr="005A7EC4">
        <w:rPr>
          <w:rFonts w:ascii="Times New Roman" w:hAnsi="Times New Roman" w:cs="Times New Roman"/>
          <w:lang w:val="en-US"/>
        </w:rPr>
        <w:t>The</w:t>
      </w:r>
      <w:r w:rsidR="003F53BF" w:rsidRPr="005A7EC4">
        <w:rPr>
          <w:rFonts w:ascii="Times New Roman" w:hAnsi="Times New Roman" w:cs="Times New Roman"/>
          <w:lang w:val="en-US"/>
        </w:rPr>
        <w:t xml:space="preserve"> making of the</w:t>
      </w:r>
      <w:r w:rsidRPr="005A7EC4">
        <w:rPr>
          <w:rFonts w:ascii="Times New Roman" w:hAnsi="Times New Roman" w:cs="Times New Roman"/>
          <w:lang w:val="en-US"/>
        </w:rPr>
        <w:t xml:space="preserve"> MPA rendered </w:t>
      </w:r>
      <w:r w:rsidR="003F53BF" w:rsidRPr="005A7EC4">
        <w:rPr>
          <w:rFonts w:ascii="Times New Roman" w:hAnsi="Times New Roman" w:cs="Times New Roman"/>
          <w:lang w:val="en-US"/>
        </w:rPr>
        <w:t xml:space="preserve">any </w:t>
      </w:r>
      <w:r w:rsidR="00CB100D">
        <w:rPr>
          <w:rFonts w:ascii="Times New Roman" w:hAnsi="Times New Roman" w:cs="Times New Roman"/>
          <w:lang w:val="en-US"/>
        </w:rPr>
        <w:t>commercial fishing</w:t>
      </w:r>
      <w:r w:rsidR="00C44B6C">
        <w:rPr>
          <w:rFonts w:ascii="Times New Roman" w:hAnsi="Times New Roman" w:cs="Times New Roman"/>
          <w:lang w:val="en-US"/>
        </w:rPr>
        <w:t xml:space="preserve"> in the area</w:t>
      </w:r>
      <w:r w:rsidR="00CB100D">
        <w:rPr>
          <w:rFonts w:ascii="Times New Roman" w:hAnsi="Times New Roman" w:cs="Times New Roman"/>
          <w:lang w:val="en-US"/>
        </w:rPr>
        <w:t xml:space="preserve"> unlawful.  It </w:t>
      </w:r>
      <w:r w:rsidRPr="005A7EC4">
        <w:rPr>
          <w:rFonts w:ascii="Times New Roman" w:hAnsi="Times New Roman" w:cs="Times New Roman"/>
          <w:lang w:val="en-US"/>
        </w:rPr>
        <w:t xml:space="preserve">would </w:t>
      </w:r>
      <w:r w:rsidR="003F53BF" w:rsidRPr="005A7EC4">
        <w:rPr>
          <w:rFonts w:ascii="Times New Roman" w:hAnsi="Times New Roman" w:cs="Times New Roman"/>
          <w:lang w:val="en-US"/>
        </w:rPr>
        <w:t xml:space="preserve">therefore </w:t>
      </w:r>
      <w:r w:rsidRPr="005A7EC4">
        <w:rPr>
          <w:rFonts w:ascii="Times New Roman" w:hAnsi="Times New Roman" w:cs="Times New Roman"/>
          <w:lang w:val="en-US"/>
        </w:rPr>
        <w:t>ma</w:t>
      </w:r>
      <w:r w:rsidR="003F53BF" w:rsidRPr="005A7EC4">
        <w:rPr>
          <w:rFonts w:ascii="Times New Roman" w:hAnsi="Times New Roman" w:cs="Times New Roman"/>
          <w:lang w:val="en-US"/>
        </w:rPr>
        <w:t>k</w:t>
      </w:r>
      <w:r w:rsidRPr="005A7EC4">
        <w:rPr>
          <w:rFonts w:ascii="Times New Roman" w:hAnsi="Times New Roman" w:cs="Times New Roman"/>
          <w:lang w:val="en-US"/>
        </w:rPr>
        <w:t>e it more difficult for the Islanders to sustain themselves if they were to succ</w:t>
      </w:r>
      <w:r w:rsidR="003F53BF" w:rsidRPr="005A7EC4">
        <w:rPr>
          <w:rFonts w:ascii="Times New Roman" w:hAnsi="Times New Roman" w:cs="Times New Roman"/>
          <w:lang w:val="en-US"/>
        </w:rPr>
        <w:t>eed in returning to the Islands.</w:t>
      </w:r>
    </w:p>
    <w:p w:rsidR="003F53BF" w:rsidRPr="005A7EC4" w:rsidRDefault="003F53BF" w:rsidP="005A7EC4">
      <w:pPr>
        <w:pStyle w:val="ListParagraph"/>
        <w:jc w:val="both"/>
        <w:rPr>
          <w:rFonts w:ascii="Times New Roman" w:hAnsi="Times New Roman" w:cs="Times New Roman"/>
        </w:rPr>
      </w:pPr>
      <w:r w:rsidRPr="005A7EC4">
        <w:rPr>
          <w:rFonts w:ascii="Times New Roman" w:hAnsi="Times New Roman" w:cs="Times New Roman"/>
          <w:lang w:val="en-US"/>
        </w:rPr>
        <w:t xml:space="preserve"> </w:t>
      </w:r>
    </w:p>
    <w:p w:rsidR="003F53BF" w:rsidRPr="005A7EC4" w:rsidRDefault="00170391" w:rsidP="005A7EC4">
      <w:pPr>
        <w:pStyle w:val="ListParagraph"/>
        <w:numPr>
          <w:ilvl w:val="0"/>
          <w:numId w:val="2"/>
        </w:numPr>
        <w:jc w:val="both"/>
        <w:rPr>
          <w:rFonts w:ascii="Times New Roman" w:hAnsi="Times New Roman" w:cs="Times New Roman"/>
        </w:rPr>
      </w:pPr>
      <w:r w:rsidRPr="005A7EC4">
        <w:rPr>
          <w:rFonts w:ascii="Times New Roman" w:hAnsi="Times New Roman" w:cs="Times New Roman"/>
          <w:lang w:val="en-US"/>
        </w:rPr>
        <w:t>One of the grounds of review</w:t>
      </w:r>
      <w:r w:rsidR="003F53BF" w:rsidRPr="005A7EC4">
        <w:rPr>
          <w:rFonts w:ascii="Times New Roman" w:hAnsi="Times New Roman" w:cs="Times New Roman"/>
          <w:lang w:val="en-US"/>
        </w:rPr>
        <w:t xml:space="preserve"> </w:t>
      </w:r>
      <w:r w:rsidRPr="005A7EC4">
        <w:rPr>
          <w:rFonts w:ascii="Times New Roman" w:hAnsi="Times New Roman" w:cs="Times New Roman"/>
          <w:lang w:val="en-US"/>
        </w:rPr>
        <w:t>was an allegation that the decision</w:t>
      </w:r>
      <w:r w:rsidR="003F53BF" w:rsidRPr="005A7EC4">
        <w:rPr>
          <w:rFonts w:ascii="Times New Roman" w:hAnsi="Times New Roman" w:cs="Times New Roman"/>
          <w:lang w:val="en-US"/>
        </w:rPr>
        <w:t xml:space="preserve"> to make the MPA </w:t>
      </w:r>
      <w:r w:rsidRPr="005A7EC4">
        <w:rPr>
          <w:rFonts w:ascii="Times New Roman" w:hAnsi="Times New Roman" w:cs="Times New Roman"/>
          <w:lang w:val="en-US"/>
        </w:rPr>
        <w:t xml:space="preserve">was made, at least in part, for </w:t>
      </w:r>
      <w:r w:rsidR="003F53BF" w:rsidRPr="005A7EC4">
        <w:rPr>
          <w:rFonts w:ascii="Times New Roman" w:hAnsi="Times New Roman" w:cs="Times New Roman"/>
          <w:lang w:val="en-US"/>
        </w:rPr>
        <w:t>the</w:t>
      </w:r>
      <w:r w:rsidRPr="005A7EC4">
        <w:rPr>
          <w:rFonts w:ascii="Times New Roman" w:hAnsi="Times New Roman" w:cs="Times New Roman"/>
          <w:lang w:val="en-US"/>
        </w:rPr>
        <w:t xml:space="preserve"> improper purpose</w:t>
      </w:r>
      <w:r w:rsidR="003F53BF" w:rsidRPr="005A7EC4">
        <w:rPr>
          <w:rFonts w:ascii="Times New Roman" w:hAnsi="Times New Roman" w:cs="Times New Roman"/>
          <w:lang w:val="en-US"/>
        </w:rPr>
        <w:t xml:space="preserve"> of seeking to prevent their return</w:t>
      </w:r>
      <w:r w:rsidRPr="005A7EC4">
        <w:rPr>
          <w:rFonts w:ascii="Times New Roman" w:hAnsi="Times New Roman" w:cs="Times New Roman"/>
          <w:lang w:val="en-US"/>
        </w:rPr>
        <w:t>. Th</w:t>
      </w:r>
      <w:r w:rsidR="00C44B6C">
        <w:rPr>
          <w:rFonts w:ascii="Times New Roman" w:hAnsi="Times New Roman" w:cs="Times New Roman"/>
          <w:lang w:val="en-US"/>
        </w:rPr>
        <w:t>e</w:t>
      </w:r>
      <w:r w:rsidRPr="005A7EC4">
        <w:rPr>
          <w:rFonts w:ascii="Times New Roman" w:hAnsi="Times New Roman" w:cs="Times New Roman"/>
          <w:lang w:val="en-US"/>
        </w:rPr>
        <w:t xml:space="preserve"> allegation was </w:t>
      </w:r>
      <w:r w:rsidR="00C44B6C">
        <w:rPr>
          <w:rFonts w:ascii="Times New Roman" w:hAnsi="Times New Roman" w:cs="Times New Roman"/>
          <w:lang w:val="en-US"/>
        </w:rPr>
        <w:t>based on</w:t>
      </w:r>
      <w:r w:rsidRPr="005A7EC4">
        <w:rPr>
          <w:rFonts w:ascii="Times New Roman" w:hAnsi="Times New Roman" w:cs="Times New Roman"/>
          <w:lang w:val="en-US"/>
        </w:rPr>
        <w:t xml:space="preserve"> publication by </w:t>
      </w:r>
      <w:r w:rsidRPr="005A7EC4">
        <w:rPr>
          <w:rFonts w:ascii="Times New Roman" w:hAnsi="Times New Roman" w:cs="Times New Roman"/>
          <w:i/>
          <w:iCs/>
          <w:lang w:val="en-US"/>
        </w:rPr>
        <w:t>The Telegraph</w:t>
      </w:r>
      <w:r w:rsidRPr="005A7EC4">
        <w:rPr>
          <w:rFonts w:ascii="Times New Roman" w:hAnsi="Times New Roman" w:cs="Times New Roman"/>
          <w:lang w:val="en-US"/>
        </w:rPr>
        <w:t xml:space="preserve"> and </w:t>
      </w:r>
      <w:r w:rsidRPr="005A7EC4">
        <w:rPr>
          <w:rFonts w:ascii="Times New Roman" w:hAnsi="Times New Roman" w:cs="Times New Roman"/>
          <w:i/>
          <w:iCs/>
          <w:lang w:val="en-US"/>
        </w:rPr>
        <w:t>The Guardian</w:t>
      </w:r>
      <w:r w:rsidR="003F53BF" w:rsidRPr="005A7EC4">
        <w:rPr>
          <w:rFonts w:ascii="Times New Roman" w:hAnsi="Times New Roman" w:cs="Times New Roman"/>
          <w:i/>
          <w:iCs/>
          <w:lang w:val="en-US"/>
        </w:rPr>
        <w:t xml:space="preserve"> </w:t>
      </w:r>
      <w:r w:rsidRPr="005A7EC4">
        <w:rPr>
          <w:rFonts w:ascii="Times New Roman" w:hAnsi="Times New Roman" w:cs="Times New Roman"/>
          <w:lang w:val="en-US"/>
        </w:rPr>
        <w:t xml:space="preserve">of what </w:t>
      </w:r>
      <w:r w:rsidR="003F53BF" w:rsidRPr="005A7EC4">
        <w:rPr>
          <w:rFonts w:ascii="Times New Roman" w:hAnsi="Times New Roman" w:cs="Times New Roman"/>
          <w:lang w:val="en-US"/>
        </w:rPr>
        <w:t>were</w:t>
      </w:r>
      <w:r w:rsidRPr="005A7EC4">
        <w:rPr>
          <w:rFonts w:ascii="Times New Roman" w:hAnsi="Times New Roman" w:cs="Times New Roman"/>
          <w:lang w:val="en-US"/>
        </w:rPr>
        <w:t xml:space="preserve"> said to </w:t>
      </w:r>
      <w:r w:rsidR="003F53BF" w:rsidRPr="005A7EC4">
        <w:rPr>
          <w:rFonts w:ascii="Times New Roman" w:hAnsi="Times New Roman" w:cs="Times New Roman"/>
          <w:lang w:val="en-US"/>
        </w:rPr>
        <w:t xml:space="preserve">be </w:t>
      </w:r>
      <w:r w:rsidRPr="005A7EC4">
        <w:rPr>
          <w:rFonts w:ascii="Times New Roman" w:hAnsi="Times New Roman" w:cs="Times New Roman"/>
          <w:lang w:val="en-US"/>
        </w:rPr>
        <w:t>confidential and sensitive memoranda sent by the US Embassy in London to the State Department in Washington</w:t>
      </w:r>
      <w:r w:rsidR="003F53BF" w:rsidRPr="005A7EC4">
        <w:rPr>
          <w:rFonts w:ascii="Times New Roman" w:hAnsi="Times New Roman" w:cs="Times New Roman"/>
          <w:lang w:val="en-US"/>
        </w:rPr>
        <w:t>, as</w:t>
      </w:r>
      <w:r w:rsidRPr="005A7EC4">
        <w:rPr>
          <w:rFonts w:ascii="Times New Roman" w:hAnsi="Times New Roman" w:cs="Times New Roman"/>
          <w:lang w:val="en-US"/>
        </w:rPr>
        <w:t xml:space="preserve"> </w:t>
      </w:r>
      <w:r w:rsidR="00C44B6C">
        <w:rPr>
          <w:rFonts w:ascii="Times New Roman" w:hAnsi="Times New Roman" w:cs="Times New Roman"/>
          <w:lang w:val="en-US"/>
        </w:rPr>
        <w:t>disclosed through</w:t>
      </w:r>
      <w:r w:rsidRPr="005A7EC4">
        <w:rPr>
          <w:rFonts w:ascii="Times New Roman" w:hAnsi="Times New Roman" w:cs="Times New Roman"/>
          <w:lang w:val="en-US"/>
        </w:rPr>
        <w:t xml:space="preserve"> Wikileaks.</w:t>
      </w:r>
      <w:r w:rsidR="003F53BF" w:rsidRPr="005A7EC4">
        <w:rPr>
          <w:rFonts w:ascii="Times New Roman" w:hAnsi="Times New Roman" w:cs="Times New Roman"/>
          <w:lang w:val="en-US"/>
        </w:rPr>
        <w:t xml:space="preserve"> </w:t>
      </w:r>
      <w:r w:rsidRPr="005A7EC4">
        <w:rPr>
          <w:rFonts w:ascii="Times New Roman" w:hAnsi="Times New Roman" w:cs="Times New Roman"/>
          <w:lang w:val="en-US"/>
        </w:rPr>
        <w:t xml:space="preserve">B </w:t>
      </w:r>
      <w:r w:rsidR="003F53BF" w:rsidRPr="005A7EC4">
        <w:rPr>
          <w:rFonts w:ascii="Times New Roman" w:hAnsi="Times New Roman" w:cs="Times New Roman"/>
          <w:lang w:val="en-US"/>
        </w:rPr>
        <w:t xml:space="preserve">sought to </w:t>
      </w:r>
      <w:r w:rsidRPr="005A7EC4">
        <w:rPr>
          <w:rFonts w:ascii="Times New Roman" w:hAnsi="Times New Roman" w:cs="Times New Roman"/>
          <w:lang w:val="en-US"/>
        </w:rPr>
        <w:t>rel</w:t>
      </w:r>
      <w:r w:rsidR="003F53BF" w:rsidRPr="005A7EC4">
        <w:rPr>
          <w:rFonts w:ascii="Times New Roman" w:hAnsi="Times New Roman" w:cs="Times New Roman"/>
          <w:lang w:val="en-US"/>
        </w:rPr>
        <w:t>y</w:t>
      </w:r>
      <w:r w:rsidRPr="005A7EC4">
        <w:rPr>
          <w:rFonts w:ascii="Times New Roman" w:hAnsi="Times New Roman" w:cs="Times New Roman"/>
          <w:lang w:val="en-US"/>
        </w:rPr>
        <w:t xml:space="preserve"> </w:t>
      </w:r>
      <w:r w:rsidRPr="005A7EC4">
        <w:rPr>
          <w:rFonts w:ascii="Times New Roman" w:hAnsi="Times New Roman" w:cs="Times New Roman"/>
          <w:lang w:val="en-US"/>
        </w:rPr>
        <w:lastRenderedPageBreak/>
        <w:t xml:space="preserve">on a cable of 15 May 2009 said to report a meeting </w:t>
      </w:r>
      <w:r w:rsidR="003F53BF" w:rsidRPr="005A7EC4">
        <w:rPr>
          <w:rFonts w:ascii="Times New Roman" w:hAnsi="Times New Roman" w:cs="Times New Roman"/>
          <w:lang w:val="en-US"/>
        </w:rPr>
        <w:t xml:space="preserve">between US representatives and </w:t>
      </w:r>
      <w:r w:rsidR="00F27928" w:rsidRPr="005A7EC4">
        <w:rPr>
          <w:rFonts w:ascii="Times New Roman" w:hAnsi="Times New Roman" w:cs="Times New Roman"/>
          <w:lang w:val="en-US"/>
        </w:rPr>
        <w:t xml:space="preserve">Mr Roberts, </w:t>
      </w:r>
      <w:r w:rsidRPr="005A7EC4">
        <w:rPr>
          <w:rFonts w:ascii="Times New Roman" w:hAnsi="Times New Roman" w:cs="Times New Roman"/>
          <w:lang w:val="en-US"/>
        </w:rPr>
        <w:t>HM Commissioner</w:t>
      </w:r>
      <w:r w:rsidR="005A7EC4" w:rsidRPr="005A7EC4">
        <w:rPr>
          <w:rFonts w:ascii="Times New Roman" w:hAnsi="Times New Roman" w:cs="Times New Roman"/>
        </w:rPr>
        <w:t xml:space="preserve"> for the British Indian Ocean Territory</w:t>
      </w:r>
      <w:r w:rsidR="00F27928" w:rsidRPr="005A7EC4">
        <w:rPr>
          <w:rFonts w:ascii="Times New Roman" w:hAnsi="Times New Roman" w:cs="Times New Roman"/>
          <w:lang w:val="en-US"/>
        </w:rPr>
        <w:t>,</w:t>
      </w:r>
      <w:r w:rsidRPr="005A7EC4">
        <w:rPr>
          <w:rFonts w:ascii="Times New Roman" w:hAnsi="Times New Roman" w:cs="Times New Roman"/>
          <w:lang w:val="en-US"/>
        </w:rPr>
        <w:t xml:space="preserve"> </w:t>
      </w:r>
      <w:r w:rsidR="003F53BF" w:rsidRPr="005A7EC4">
        <w:rPr>
          <w:rFonts w:ascii="Times New Roman" w:hAnsi="Times New Roman" w:cs="Times New Roman"/>
          <w:lang w:val="en-US"/>
        </w:rPr>
        <w:t xml:space="preserve">and </w:t>
      </w:r>
      <w:r w:rsidR="00F27928" w:rsidRPr="005A7EC4">
        <w:rPr>
          <w:rFonts w:ascii="Times New Roman" w:hAnsi="Times New Roman" w:cs="Times New Roman"/>
          <w:lang w:val="en-US"/>
        </w:rPr>
        <w:t xml:space="preserve">Ms Yeadon, </w:t>
      </w:r>
      <w:r w:rsidR="003F53BF" w:rsidRPr="005A7EC4">
        <w:rPr>
          <w:rFonts w:ascii="Times New Roman" w:hAnsi="Times New Roman" w:cs="Times New Roman"/>
          <w:lang w:val="en-US"/>
        </w:rPr>
        <w:t>a civil servant</w:t>
      </w:r>
      <w:r w:rsidR="00C44B6C">
        <w:rPr>
          <w:rFonts w:ascii="Times New Roman" w:hAnsi="Times New Roman" w:cs="Times New Roman"/>
          <w:lang w:val="en-US"/>
        </w:rPr>
        <w:t>.  The document</w:t>
      </w:r>
      <w:r w:rsidR="003F53BF" w:rsidRPr="005A7EC4">
        <w:rPr>
          <w:rFonts w:ascii="Times New Roman" w:hAnsi="Times New Roman" w:cs="Times New Roman"/>
          <w:lang w:val="en-US"/>
        </w:rPr>
        <w:t xml:space="preserve"> reported that </w:t>
      </w:r>
      <w:r w:rsidR="00F27928" w:rsidRPr="005A7EC4">
        <w:rPr>
          <w:rFonts w:ascii="Times New Roman" w:hAnsi="Times New Roman" w:cs="Times New Roman"/>
          <w:lang w:val="en-US"/>
        </w:rPr>
        <w:t>Mr Roberts</w:t>
      </w:r>
      <w:r w:rsidR="003F53BF" w:rsidRPr="005A7EC4">
        <w:rPr>
          <w:rFonts w:ascii="Times New Roman" w:hAnsi="Times New Roman" w:cs="Times New Roman"/>
          <w:lang w:val="en-US"/>
        </w:rPr>
        <w:t xml:space="preserve"> ha</w:t>
      </w:r>
      <w:r w:rsidR="00F27928" w:rsidRPr="005A7EC4">
        <w:rPr>
          <w:rFonts w:ascii="Times New Roman" w:hAnsi="Times New Roman" w:cs="Times New Roman"/>
          <w:lang w:val="en-US"/>
        </w:rPr>
        <w:t>d</w:t>
      </w:r>
      <w:r w:rsidR="003F53BF" w:rsidRPr="005A7EC4">
        <w:rPr>
          <w:rFonts w:ascii="Times New Roman" w:hAnsi="Times New Roman" w:cs="Times New Roman"/>
          <w:lang w:val="en-US"/>
        </w:rPr>
        <w:t xml:space="preserve"> stated that </w:t>
      </w:r>
      <w:r w:rsidRPr="005A7EC4">
        <w:rPr>
          <w:rFonts w:ascii="Times New Roman" w:hAnsi="Times New Roman" w:cs="Times New Roman"/>
          <w:lang w:val="en-US"/>
        </w:rPr>
        <w:t>the MPA would, in effect, put paid to the resettlement claims of the former residents.</w:t>
      </w:r>
    </w:p>
    <w:p w:rsidR="003F53BF" w:rsidRPr="005A7EC4" w:rsidRDefault="003F53BF" w:rsidP="005A7EC4">
      <w:pPr>
        <w:pStyle w:val="ListParagraph"/>
        <w:jc w:val="both"/>
        <w:rPr>
          <w:rFonts w:ascii="Times New Roman" w:hAnsi="Times New Roman" w:cs="Times New Roman"/>
        </w:rPr>
      </w:pPr>
      <w:r w:rsidRPr="005A7EC4">
        <w:rPr>
          <w:rFonts w:ascii="Times New Roman" w:hAnsi="Times New Roman" w:cs="Times New Roman"/>
          <w:lang w:val="en-US"/>
        </w:rPr>
        <w:t xml:space="preserve"> </w:t>
      </w:r>
    </w:p>
    <w:p w:rsidR="00FC75FA" w:rsidRPr="00514194" w:rsidRDefault="00170391" w:rsidP="005A7EC4">
      <w:pPr>
        <w:pStyle w:val="ListParagraph"/>
        <w:numPr>
          <w:ilvl w:val="0"/>
          <w:numId w:val="2"/>
        </w:numPr>
        <w:jc w:val="both"/>
        <w:rPr>
          <w:rFonts w:ascii="Times New Roman" w:hAnsi="Times New Roman" w:cs="Times New Roman"/>
        </w:rPr>
      </w:pPr>
      <w:r w:rsidRPr="005A7EC4">
        <w:rPr>
          <w:rFonts w:ascii="Times New Roman" w:hAnsi="Times New Roman" w:cs="Times New Roman"/>
          <w:lang w:val="en-US"/>
        </w:rPr>
        <w:t xml:space="preserve">The Judge </w:t>
      </w:r>
      <w:r w:rsidR="003F53BF" w:rsidRPr="005A7EC4">
        <w:rPr>
          <w:rFonts w:ascii="Times New Roman" w:hAnsi="Times New Roman" w:cs="Times New Roman"/>
          <w:lang w:val="en-US"/>
        </w:rPr>
        <w:t xml:space="preserve">noted that </w:t>
      </w:r>
      <w:r w:rsidRPr="005A7EC4">
        <w:rPr>
          <w:rFonts w:ascii="Times New Roman" w:hAnsi="Times New Roman" w:cs="Times New Roman"/>
          <w:lang w:val="en-US"/>
        </w:rPr>
        <w:t xml:space="preserve">for </w:t>
      </w:r>
      <w:r w:rsidR="003F53BF" w:rsidRPr="005A7EC4">
        <w:rPr>
          <w:rFonts w:ascii="Times New Roman" w:hAnsi="Times New Roman" w:cs="Times New Roman"/>
          <w:lang w:val="en-US"/>
        </w:rPr>
        <w:t xml:space="preserve">understandable </w:t>
      </w:r>
      <w:r w:rsidRPr="005A7EC4">
        <w:rPr>
          <w:rFonts w:ascii="Times New Roman" w:hAnsi="Times New Roman" w:cs="Times New Roman"/>
          <w:lang w:val="en-US"/>
        </w:rPr>
        <w:t>reasons</w:t>
      </w:r>
      <w:r w:rsidR="003F53BF" w:rsidRPr="005A7EC4">
        <w:rPr>
          <w:rFonts w:ascii="Times New Roman" w:hAnsi="Times New Roman" w:cs="Times New Roman"/>
          <w:lang w:val="en-US"/>
        </w:rPr>
        <w:t>, it was</w:t>
      </w:r>
      <w:r w:rsidRPr="005A7EC4">
        <w:rPr>
          <w:rFonts w:ascii="Times New Roman" w:hAnsi="Times New Roman" w:cs="Times New Roman"/>
          <w:lang w:val="en-US"/>
        </w:rPr>
        <w:t xml:space="preserve"> not the policy of the Secretary of State to admit or to dispute that documents leaked by Wikileaks were</w:t>
      </w:r>
      <w:r w:rsidR="00C44B6C">
        <w:rPr>
          <w:rFonts w:ascii="Times New Roman" w:hAnsi="Times New Roman" w:cs="Times New Roman"/>
          <w:lang w:val="en-US"/>
        </w:rPr>
        <w:t>,</w:t>
      </w:r>
      <w:r w:rsidRPr="005A7EC4">
        <w:rPr>
          <w:rFonts w:ascii="Times New Roman" w:hAnsi="Times New Roman" w:cs="Times New Roman"/>
          <w:lang w:val="en-US"/>
        </w:rPr>
        <w:t xml:space="preserve"> or were not</w:t>
      </w:r>
      <w:r w:rsidR="00C44B6C">
        <w:rPr>
          <w:rFonts w:ascii="Times New Roman" w:hAnsi="Times New Roman" w:cs="Times New Roman"/>
          <w:lang w:val="en-US"/>
        </w:rPr>
        <w:t>,</w:t>
      </w:r>
      <w:r w:rsidRPr="005A7EC4">
        <w:rPr>
          <w:rFonts w:ascii="Times New Roman" w:hAnsi="Times New Roman" w:cs="Times New Roman"/>
          <w:lang w:val="en-US"/>
        </w:rPr>
        <w:t xml:space="preserve"> genuine. </w:t>
      </w:r>
      <w:r w:rsidR="003F53BF" w:rsidRPr="005A7EC4">
        <w:rPr>
          <w:rFonts w:ascii="Times New Roman" w:hAnsi="Times New Roman" w:cs="Times New Roman"/>
          <w:lang w:val="en-US"/>
        </w:rPr>
        <w:t xml:space="preserve">The HM Commissioner and the civil servant had addressed </w:t>
      </w:r>
      <w:r w:rsidR="00FC75FA" w:rsidRPr="005A7EC4">
        <w:rPr>
          <w:rFonts w:ascii="Times New Roman" w:hAnsi="Times New Roman" w:cs="Times New Roman"/>
          <w:lang w:val="en-US"/>
        </w:rPr>
        <w:t>in their witness statement their recollections of the meeting of 12 May 2008</w:t>
      </w:r>
      <w:r w:rsidR="00C44B6C">
        <w:rPr>
          <w:rFonts w:ascii="Times New Roman" w:hAnsi="Times New Roman" w:cs="Times New Roman"/>
          <w:lang w:val="en-US"/>
        </w:rPr>
        <w:t xml:space="preserve"> and </w:t>
      </w:r>
      <w:r w:rsidR="00FC75FA" w:rsidRPr="005A7EC4">
        <w:rPr>
          <w:rFonts w:ascii="Times New Roman" w:hAnsi="Times New Roman" w:cs="Times New Roman"/>
          <w:lang w:val="en-US"/>
        </w:rPr>
        <w:t xml:space="preserve">they had no contemporaneous note or record, but </w:t>
      </w:r>
      <w:r w:rsidR="00C44B6C">
        <w:rPr>
          <w:rFonts w:ascii="Times New Roman" w:hAnsi="Times New Roman" w:cs="Times New Roman"/>
          <w:lang w:val="en-US"/>
        </w:rPr>
        <w:t>they had not addressed</w:t>
      </w:r>
      <w:r w:rsidR="00FC75FA" w:rsidRPr="005A7EC4">
        <w:rPr>
          <w:rFonts w:ascii="Times New Roman" w:hAnsi="Times New Roman" w:cs="Times New Roman"/>
          <w:lang w:val="en-US"/>
        </w:rPr>
        <w:t xml:space="preserve"> the contents of the alleged cable.</w:t>
      </w:r>
    </w:p>
    <w:p w:rsidR="00514194" w:rsidRPr="00514194" w:rsidRDefault="00514194" w:rsidP="00514194">
      <w:pPr>
        <w:pStyle w:val="ListParagraph"/>
        <w:jc w:val="both"/>
        <w:rPr>
          <w:rFonts w:ascii="Times New Roman" w:hAnsi="Times New Roman" w:cs="Times New Roman"/>
        </w:rPr>
      </w:pPr>
      <w:r>
        <w:rPr>
          <w:rFonts w:ascii="Times New Roman" w:hAnsi="Times New Roman" w:cs="Times New Roman"/>
          <w:lang w:val="en-US"/>
        </w:rPr>
        <w:t xml:space="preserve"> </w:t>
      </w:r>
    </w:p>
    <w:p w:rsidR="00FC75FA" w:rsidRPr="00514194" w:rsidRDefault="00FC75FA" w:rsidP="005A7EC4">
      <w:pPr>
        <w:pStyle w:val="ListParagraph"/>
        <w:numPr>
          <w:ilvl w:val="0"/>
          <w:numId w:val="2"/>
        </w:numPr>
        <w:jc w:val="both"/>
        <w:rPr>
          <w:rFonts w:ascii="Times New Roman" w:hAnsi="Times New Roman" w:cs="Times New Roman"/>
        </w:rPr>
      </w:pPr>
      <w:r w:rsidRPr="005A7EC4">
        <w:rPr>
          <w:rFonts w:ascii="Times New Roman" w:hAnsi="Times New Roman" w:cs="Times New Roman"/>
          <w:lang w:val="en-US"/>
        </w:rPr>
        <w:t>B was granted permission to cross-examine</w:t>
      </w:r>
      <w:r w:rsidR="00716C10">
        <w:rPr>
          <w:rFonts w:ascii="Times New Roman" w:hAnsi="Times New Roman" w:cs="Times New Roman"/>
          <w:lang w:val="en-US"/>
        </w:rPr>
        <w:t xml:space="preserve"> Mr Roberts and Ms </w:t>
      </w:r>
      <w:r w:rsidR="00C44B6C">
        <w:rPr>
          <w:rFonts w:ascii="Times New Roman" w:hAnsi="Times New Roman" w:cs="Times New Roman"/>
          <w:lang w:val="en-US"/>
        </w:rPr>
        <w:t xml:space="preserve">Yeadon </w:t>
      </w:r>
      <w:r w:rsidRPr="005A7EC4">
        <w:rPr>
          <w:rFonts w:ascii="Times New Roman" w:hAnsi="Times New Roman" w:cs="Times New Roman"/>
          <w:lang w:val="en-US"/>
        </w:rPr>
        <w:t xml:space="preserve">on the basis of the factual </w:t>
      </w:r>
      <w:r w:rsidR="00170391" w:rsidRPr="005A7EC4">
        <w:rPr>
          <w:rFonts w:ascii="Times New Roman" w:hAnsi="Times New Roman" w:cs="Times New Roman"/>
          <w:lang w:val="en-US"/>
        </w:rPr>
        <w:t>dispute as to what was said at the meeting of 12 May 2009</w:t>
      </w:r>
      <w:r w:rsidR="00716C10">
        <w:rPr>
          <w:rFonts w:ascii="Times New Roman" w:hAnsi="Times New Roman" w:cs="Times New Roman"/>
          <w:lang w:val="en-US"/>
        </w:rPr>
        <w:t>,</w:t>
      </w:r>
      <w:r w:rsidRPr="005A7EC4">
        <w:rPr>
          <w:rFonts w:ascii="Times New Roman" w:hAnsi="Times New Roman" w:cs="Times New Roman"/>
          <w:lang w:val="en-US"/>
        </w:rPr>
        <w:t xml:space="preserve"> as compared with the Wikileaks document</w:t>
      </w:r>
      <w:r w:rsidR="00C44B6C">
        <w:rPr>
          <w:rFonts w:ascii="Times New Roman" w:hAnsi="Times New Roman" w:cs="Times New Roman"/>
          <w:lang w:val="en-US"/>
        </w:rPr>
        <w:t>. This was because of the</w:t>
      </w:r>
      <w:r w:rsidRPr="005A7EC4">
        <w:rPr>
          <w:rFonts w:ascii="Times New Roman" w:hAnsi="Times New Roman" w:cs="Times New Roman"/>
          <w:lang w:val="en-US"/>
        </w:rPr>
        <w:t xml:space="preserve"> </w:t>
      </w:r>
      <w:r w:rsidR="00716C10">
        <w:rPr>
          <w:rFonts w:ascii="Times New Roman" w:hAnsi="Times New Roman" w:cs="Times New Roman"/>
          <w:lang w:val="en-US"/>
        </w:rPr>
        <w:t xml:space="preserve">potential </w:t>
      </w:r>
      <w:r w:rsidRPr="005A7EC4">
        <w:rPr>
          <w:rFonts w:ascii="Times New Roman" w:hAnsi="Times New Roman" w:cs="Times New Roman"/>
          <w:lang w:val="en-US"/>
        </w:rPr>
        <w:t xml:space="preserve">relevance as </w:t>
      </w:r>
      <w:r w:rsidR="00170391" w:rsidRPr="005A7EC4">
        <w:rPr>
          <w:rFonts w:ascii="Times New Roman" w:hAnsi="Times New Roman" w:cs="Times New Roman"/>
          <w:lang w:val="en-US"/>
        </w:rPr>
        <w:t>to whether there was an irrelevant and improper motive for the creation of the MPA.</w:t>
      </w:r>
      <w:r w:rsidRPr="005A7EC4">
        <w:rPr>
          <w:rFonts w:ascii="Times New Roman" w:hAnsi="Times New Roman" w:cs="Times New Roman"/>
          <w:lang w:val="en-US"/>
        </w:rPr>
        <w:t xml:space="preserve">  The Secretary of State </w:t>
      </w:r>
      <w:r w:rsidR="00C44B6C">
        <w:rPr>
          <w:rFonts w:ascii="Times New Roman" w:hAnsi="Times New Roman" w:cs="Times New Roman"/>
          <w:lang w:val="en-US"/>
        </w:rPr>
        <w:t xml:space="preserve">had </w:t>
      </w:r>
      <w:r w:rsidRPr="005A7EC4">
        <w:rPr>
          <w:rFonts w:ascii="Times New Roman" w:hAnsi="Times New Roman" w:cs="Times New Roman"/>
          <w:lang w:val="en-US"/>
        </w:rPr>
        <w:t>unsuccessfully resisted the order</w:t>
      </w:r>
      <w:r w:rsidR="00716C10">
        <w:rPr>
          <w:rFonts w:ascii="Times New Roman" w:hAnsi="Times New Roman" w:cs="Times New Roman"/>
          <w:lang w:val="en-US"/>
        </w:rPr>
        <w:t xml:space="preserve"> for</w:t>
      </w:r>
      <w:r w:rsidRPr="005A7EC4">
        <w:rPr>
          <w:rFonts w:ascii="Times New Roman" w:hAnsi="Times New Roman" w:cs="Times New Roman"/>
          <w:lang w:val="en-US"/>
        </w:rPr>
        <w:t xml:space="preserve"> cross-examination </w:t>
      </w:r>
      <w:r w:rsidR="00170391" w:rsidRPr="005A7EC4">
        <w:rPr>
          <w:rFonts w:ascii="Times New Roman" w:hAnsi="Times New Roman" w:cs="Times New Roman"/>
          <w:lang w:val="en-US"/>
        </w:rPr>
        <w:t xml:space="preserve">on the basis </w:t>
      </w:r>
      <w:r w:rsidR="00716C10">
        <w:rPr>
          <w:rFonts w:ascii="Times New Roman" w:hAnsi="Times New Roman" w:cs="Times New Roman"/>
          <w:lang w:val="en-US"/>
        </w:rPr>
        <w:t xml:space="preserve">that the </w:t>
      </w:r>
      <w:r w:rsidRPr="005A7EC4">
        <w:rPr>
          <w:rFonts w:ascii="Times New Roman" w:hAnsi="Times New Roman" w:cs="Times New Roman"/>
          <w:lang w:val="en-US"/>
        </w:rPr>
        <w:t>Court should not further Wikileaks improper purposes.</w:t>
      </w:r>
    </w:p>
    <w:p w:rsidR="00514194" w:rsidRPr="00514194" w:rsidRDefault="00514194" w:rsidP="00514194">
      <w:pPr>
        <w:pStyle w:val="ListParagraph"/>
        <w:jc w:val="both"/>
        <w:rPr>
          <w:rFonts w:ascii="Times New Roman" w:hAnsi="Times New Roman" w:cs="Times New Roman"/>
        </w:rPr>
      </w:pPr>
      <w:r>
        <w:rPr>
          <w:rFonts w:ascii="Times New Roman" w:hAnsi="Times New Roman" w:cs="Times New Roman"/>
          <w:lang w:val="en-US"/>
        </w:rPr>
        <w:t xml:space="preserve"> </w:t>
      </w:r>
    </w:p>
    <w:p w:rsidR="00170391" w:rsidRPr="005A7EC4" w:rsidRDefault="00FC75FA" w:rsidP="005A7EC4">
      <w:pPr>
        <w:pStyle w:val="ListParagraph"/>
        <w:numPr>
          <w:ilvl w:val="0"/>
          <w:numId w:val="2"/>
        </w:numPr>
        <w:jc w:val="both"/>
        <w:rPr>
          <w:rFonts w:ascii="Times New Roman" w:hAnsi="Times New Roman" w:cs="Times New Roman"/>
        </w:rPr>
      </w:pPr>
      <w:r w:rsidRPr="005A7EC4">
        <w:rPr>
          <w:rFonts w:ascii="Times New Roman" w:hAnsi="Times New Roman" w:cs="Times New Roman"/>
          <w:lang w:val="en-US"/>
        </w:rPr>
        <w:t xml:space="preserve">The Judge </w:t>
      </w:r>
      <w:r w:rsidR="00170391" w:rsidRPr="005A7EC4">
        <w:rPr>
          <w:rFonts w:ascii="Times New Roman" w:hAnsi="Times New Roman" w:cs="Times New Roman"/>
          <w:lang w:val="en-US"/>
        </w:rPr>
        <w:t>acknowledge</w:t>
      </w:r>
      <w:r w:rsidRPr="005A7EC4">
        <w:rPr>
          <w:rFonts w:ascii="Times New Roman" w:hAnsi="Times New Roman" w:cs="Times New Roman"/>
          <w:lang w:val="en-US"/>
        </w:rPr>
        <w:t>d</w:t>
      </w:r>
      <w:r w:rsidR="00170391" w:rsidRPr="005A7EC4">
        <w:rPr>
          <w:rFonts w:ascii="Times New Roman" w:hAnsi="Times New Roman" w:cs="Times New Roman"/>
          <w:lang w:val="en-US"/>
        </w:rPr>
        <w:t xml:space="preserve"> that the</w:t>
      </w:r>
      <w:r w:rsidR="00F27928" w:rsidRPr="005A7EC4">
        <w:rPr>
          <w:rFonts w:ascii="Times New Roman" w:hAnsi="Times New Roman" w:cs="Times New Roman"/>
          <w:lang w:val="en-US"/>
        </w:rPr>
        <w:t xml:space="preserve"> Wikileaks</w:t>
      </w:r>
      <w:r w:rsidR="00170391" w:rsidRPr="005A7EC4">
        <w:rPr>
          <w:rFonts w:ascii="Times New Roman" w:hAnsi="Times New Roman" w:cs="Times New Roman"/>
          <w:lang w:val="en-US"/>
        </w:rPr>
        <w:t xml:space="preserve"> documents must have been obtained unlawfully, and in all probability by the commission of a criminal offence under the law of the U</w:t>
      </w:r>
      <w:r w:rsidR="00C44B6C">
        <w:rPr>
          <w:rFonts w:ascii="Times New Roman" w:hAnsi="Times New Roman" w:cs="Times New Roman"/>
          <w:lang w:val="en-US"/>
        </w:rPr>
        <w:t>SA</w:t>
      </w:r>
      <w:r w:rsidR="00716C10">
        <w:rPr>
          <w:rFonts w:ascii="Times New Roman" w:hAnsi="Times New Roman" w:cs="Times New Roman"/>
          <w:lang w:val="en-US"/>
        </w:rPr>
        <w:t>. H</w:t>
      </w:r>
      <w:r w:rsidRPr="005A7EC4">
        <w:rPr>
          <w:rFonts w:ascii="Times New Roman" w:hAnsi="Times New Roman" w:cs="Times New Roman"/>
          <w:lang w:val="en-US"/>
        </w:rPr>
        <w:t xml:space="preserve">e understood </w:t>
      </w:r>
      <w:r w:rsidR="00170391" w:rsidRPr="005A7EC4">
        <w:rPr>
          <w:rFonts w:ascii="Times New Roman" w:hAnsi="Times New Roman" w:cs="Times New Roman"/>
          <w:lang w:val="en-US"/>
        </w:rPr>
        <w:t xml:space="preserve">why it </w:t>
      </w:r>
      <w:r w:rsidRPr="005A7EC4">
        <w:rPr>
          <w:rFonts w:ascii="Times New Roman" w:hAnsi="Times New Roman" w:cs="Times New Roman"/>
          <w:lang w:val="en-US"/>
        </w:rPr>
        <w:t>was</w:t>
      </w:r>
      <w:r w:rsidR="00170391" w:rsidRPr="005A7EC4">
        <w:rPr>
          <w:rFonts w:ascii="Times New Roman" w:hAnsi="Times New Roman" w:cs="Times New Roman"/>
          <w:lang w:val="en-US"/>
        </w:rPr>
        <w:t xml:space="preserve"> the policy of HM Government neither to confirm nor to deny the genuineness of leaked documents, save in exceptional circumstances, particularly where, as here, the documents in question </w:t>
      </w:r>
      <w:r w:rsidR="00716C10">
        <w:rPr>
          <w:rFonts w:ascii="Times New Roman" w:hAnsi="Times New Roman" w:cs="Times New Roman"/>
          <w:lang w:val="en-US"/>
        </w:rPr>
        <w:t>were</w:t>
      </w:r>
      <w:r w:rsidR="00170391" w:rsidRPr="005A7EC4">
        <w:rPr>
          <w:rFonts w:ascii="Times New Roman" w:hAnsi="Times New Roman" w:cs="Times New Roman"/>
          <w:lang w:val="en-US"/>
        </w:rPr>
        <w:t xml:space="preserve"> not those produced or received by the UK Government.</w:t>
      </w:r>
      <w:r w:rsidRPr="005A7EC4">
        <w:rPr>
          <w:rFonts w:ascii="Times New Roman" w:hAnsi="Times New Roman" w:cs="Times New Roman"/>
          <w:lang w:val="en-US"/>
        </w:rPr>
        <w:t xml:space="preserve">  </w:t>
      </w:r>
      <w:r w:rsidR="00170391" w:rsidRPr="005A7EC4">
        <w:rPr>
          <w:rFonts w:ascii="Times New Roman" w:hAnsi="Times New Roman" w:cs="Times New Roman"/>
          <w:lang w:val="en-US"/>
        </w:rPr>
        <w:t xml:space="preserve">However, </w:t>
      </w:r>
      <w:r w:rsidRPr="005A7EC4">
        <w:rPr>
          <w:rFonts w:ascii="Times New Roman" w:hAnsi="Times New Roman" w:cs="Times New Roman"/>
          <w:lang w:val="en-US"/>
        </w:rPr>
        <w:t xml:space="preserve">because </w:t>
      </w:r>
      <w:r w:rsidR="00170391" w:rsidRPr="005A7EC4">
        <w:rPr>
          <w:rFonts w:ascii="Times New Roman" w:hAnsi="Times New Roman" w:cs="Times New Roman"/>
          <w:lang w:val="en-US"/>
        </w:rPr>
        <w:t>the documents in question ha</w:t>
      </w:r>
      <w:r w:rsidRPr="005A7EC4">
        <w:rPr>
          <w:rFonts w:ascii="Times New Roman" w:hAnsi="Times New Roman" w:cs="Times New Roman"/>
          <w:lang w:val="en-US"/>
        </w:rPr>
        <w:t>d</w:t>
      </w:r>
      <w:r w:rsidR="00170391" w:rsidRPr="005A7EC4">
        <w:rPr>
          <w:rFonts w:ascii="Times New Roman" w:hAnsi="Times New Roman" w:cs="Times New Roman"/>
          <w:lang w:val="en-US"/>
        </w:rPr>
        <w:t xml:space="preserve"> been leaked</w:t>
      </w:r>
      <w:r w:rsidRPr="005A7EC4">
        <w:rPr>
          <w:rFonts w:ascii="Times New Roman" w:hAnsi="Times New Roman" w:cs="Times New Roman"/>
          <w:lang w:val="en-US"/>
        </w:rPr>
        <w:t xml:space="preserve"> and </w:t>
      </w:r>
      <w:r w:rsidR="00170391" w:rsidRPr="005A7EC4">
        <w:rPr>
          <w:rFonts w:ascii="Times New Roman" w:hAnsi="Times New Roman" w:cs="Times New Roman"/>
          <w:lang w:val="en-US"/>
        </w:rPr>
        <w:t>widely published</w:t>
      </w:r>
      <w:r w:rsidRPr="005A7EC4">
        <w:rPr>
          <w:rFonts w:ascii="Times New Roman" w:hAnsi="Times New Roman" w:cs="Times New Roman"/>
          <w:lang w:val="en-US"/>
        </w:rPr>
        <w:t>, and no</w:t>
      </w:r>
      <w:r w:rsidR="00170391" w:rsidRPr="005A7EC4">
        <w:rPr>
          <w:rFonts w:ascii="Times New Roman" w:hAnsi="Times New Roman" w:cs="Times New Roman"/>
          <w:lang w:val="en-US"/>
        </w:rPr>
        <w:t xml:space="preserve"> claim ha</w:t>
      </w:r>
      <w:r w:rsidRPr="005A7EC4">
        <w:rPr>
          <w:rFonts w:ascii="Times New Roman" w:hAnsi="Times New Roman" w:cs="Times New Roman"/>
          <w:lang w:val="en-US"/>
        </w:rPr>
        <w:t>d</w:t>
      </w:r>
      <w:r w:rsidR="00170391" w:rsidRPr="005A7EC4">
        <w:rPr>
          <w:rFonts w:ascii="Times New Roman" w:hAnsi="Times New Roman" w:cs="Times New Roman"/>
          <w:lang w:val="en-US"/>
        </w:rPr>
        <w:t xml:space="preserve"> been made to the effect that the documents should not be considered by the Court on the grounds of public interest immunity or the like</w:t>
      </w:r>
      <w:r w:rsidRPr="005A7EC4">
        <w:rPr>
          <w:rFonts w:ascii="Times New Roman" w:hAnsi="Times New Roman" w:cs="Times New Roman"/>
          <w:lang w:val="en-US"/>
        </w:rPr>
        <w:t xml:space="preserve">, and they were before the Court, he considered the Court would have </w:t>
      </w:r>
      <w:r w:rsidR="00170391" w:rsidRPr="005A7EC4">
        <w:rPr>
          <w:rFonts w:ascii="Times New Roman" w:hAnsi="Times New Roman" w:cs="Times New Roman"/>
          <w:lang w:val="en-US"/>
        </w:rPr>
        <w:t xml:space="preserve">to decide whether or not they </w:t>
      </w:r>
      <w:r w:rsidR="00F27928" w:rsidRPr="005A7EC4">
        <w:rPr>
          <w:rFonts w:ascii="Times New Roman" w:hAnsi="Times New Roman" w:cs="Times New Roman"/>
          <w:lang w:val="en-US"/>
        </w:rPr>
        <w:t>were genuine documents. Consequently, he did</w:t>
      </w:r>
      <w:r w:rsidR="00170391" w:rsidRPr="005A7EC4">
        <w:rPr>
          <w:rFonts w:ascii="Times New Roman" w:hAnsi="Times New Roman" w:cs="Times New Roman"/>
          <w:lang w:val="en-US"/>
        </w:rPr>
        <w:t xml:space="preserve"> not see how the claim c</w:t>
      </w:r>
      <w:r w:rsidR="00F27928" w:rsidRPr="005A7EC4">
        <w:rPr>
          <w:rFonts w:ascii="Times New Roman" w:hAnsi="Times New Roman" w:cs="Times New Roman"/>
          <w:lang w:val="en-US"/>
        </w:rPr>
        <w:t xml:space="preserve">ould </w:t>
      </w:r>
      <w:r w:rsidR="00170391" w:rsidRPr="005A7EC4">
        <w:rPr>
          <w:rFonts w:ascii="Times New Roman" w:hAnsi="Times New Roman" w:cs="Times New Roman"/>
          <w:lang w:val="en-US"/>
        </w:rPr>
        <w:t>be fairly or justly determined without resolving the allegation made by the Claimant, based on the</w:t>
      </w:r>
      <w:r w:rsidR="00F27928" w:rsidRPr="005A7EC4">
        <w:rPr>
          <w:rFonts w:ascii="Times New Roman" w:hAnsi="Times New Roman" w:cs="Times New Roman"/>
          <w:lang w:val="en-US"/>
        </w:rPr>
        <w:t xml:space="preserve"> Wikileaks </w:t>
      </w:r>
      <w:r w:rsidR="00170391" w:rsidRPr="005A7EC4">
        <w:rPr>
          <w:rFonts w:ascii="Times New Roman" w:hAnsi="Times New Roman" w:cs="Times New Roman"/>
          <w:lang w:val="en-US"/>
        </w:rPr>
        <w:t>documents, as to what transpired at the meeting of 12 May 2009, and more widely whether at least one of the motives for the creation of the MPA was the desire to prevent resettlement.</w:t>
      </w:r>
    </w:p>
    <w:p w:rsidR="00F27928" w:rsidRPr="005A7EC4" w:rsidRDefault="00F27928" w:rsidP="005A7EC4">
      <w:pPr>
        <w:pStyle w:val="ListParagraph"/>
        <w:jc w:val="both"/>
        <w:rPr>
          <w:rFonts w:ascii="Times New Roman" w:hAnsi="Times New Roman" w:cs="Times New Roman"/>
        </w:rPr>
      </w:pPr>
      <w:r w:rsidRPr="005A7EC4">
        <w:rPr>
          <w:rFonts w:ascii="Times New Roman" w:hAnsi="Times New Roman" w:cs="Times New Roman"/>
          <w:lang w:val="en-US"/>
        </w:rPr>
        <w:t xml:space="preserve"> </w:t>
      </w:r>
    </w:p>
    <w:p w:rsidR="00514194" w:rsidRPr="00514194" w:rsidRDefault="00F27928" w:rsidP="00514194">
      <w:pPr>
        <w:pStyle w:val="ListParagraph"/>
        <w:numPr>
          <w:ilvl w:val="0"/>
          <w:numId w:val="2"/>
        </w:numPr>
        <w:jc w:val="both"/>
        <w:rPr>
          <w:rFonts w:ascii="Times New Roman" w:hAnsi="Times New Roman" w:cs="Times New Roman"/>
        </w:rPr>
      </w:pPr>
      <w:r w:rsidRPr="005A7EC4">
        <w:rPr>
          <w:rFonts w:ascii="Times New Roman" w:hAnsi="Times New Roman" w:cs="Times New Roman"/>
        </w:rPr>
        <w:t xml:space="preserve">The substantive hearing of the claim </w:t>
      </w:r>
      <w:r w:rsidR="00716C10">
        <w:rPr>
          <w:rFonts w:ascii="Times New Roman" w:hAnsi="Times New Roman" w:cs="Times New Roman"/>
        </w:rPr>
        <w:t xml:space="preserve">subsequently </w:t>
      </w:r>
      <w:r w:rsidRPr="005A7EC4">
        <w:rPr>
          <w:rFonts w:ascii="Times New Roman" w:hAnsi="Times New Roman" w:cs="Times New Roman"/>
        </w:rPr>
        <w:t>occurred in April 2013 before Richards LJ and Mitting J: see [2013] EWHC 1502 (Admin) at which cross-examination commenced.</w:t>
      </w:r>
    </w:p>
    <w:p w:rsidR="00514194" w:rsidRDefault="00514194" w:rsidP="00514194">
      <w:pPr>
        <w:pStyle w:val="ListParagraph"/>
        <w:jc w:val="both"/>
        <w:rPr>
          <w:rFonts w:ascii="Times New Roman" w:hAnsi="Times New Roman" w:cs="Times New Roman"/>
        </w:rPr>
      </w:pPr>
      <w:r>
        <w:rPr>
          <w:rFonts w:ascii="Times New Roman" w:hAnsi="Times New Roman" w:cs="Times New Roman"/>
        </w:rPr>
        <w:t xml:space="preserve"> </w:t>
      </w:r>
    </w:p>
    <w:p w:rsidR="00411FA4" w:rsidRPr="00514194" w:rsidRDefault="00F27928" w:rsidP="005A7EC4">
      <w:pPr>
        <w:pStyle w:val="ListParagraph"/>
        <w:numPr>
          <w:ilvl w:val="0"/>
          <w:numId w:val="2"/>
        </w:numPr>
        <w:jc w:val="both"/>
        <w:rPr>
          <w:rFonts w:ascii="Times New Roman" w:hAnsi="Times New Roman" w:cs="Times New Roman"/>
        </w:rPr>
      </w:pPr>
      <w:r w:rsidRPr="005A7EC4">
        <w:rPr>
          <w:rFonts w:ascii="Times New Roman" w:hAnsi="Times New Roman" w:cs="Times New Roman"/>
        </w:rPr>
        <w:t xml:space="preserve">However, during the course of that cross-examination the Court revisited the question of the admissibility and use </w:t>
      </w:r>
      <w:r w:rsidR="00716C10">
        <w:rPr>
          <w:rFonts w:ascii="Times New Roman" w:hAnsi="Times New Roman" w:cs="Times New Roman"/>
        </w:rPr>
        <w:t>of the cable materials</w:t>
      </w:r>
      <w:r w:rsidRPr="005A7EC4">
        <w:rPr>
          <w:rFonts w:ascii="Times New Roman" w:hAnsi="Times New Roman" w:cs="Times New Roman"/>
        </w:rPr>
        <w:t>.</w:t>
      </w:r>
      <w:r w:rsidR="00411FA4" w:rsidRPr="005A7EC4">
        <w:rPr>
          <w:rFonts w:ascii="Times New Roman" w:hAnsi="Times New Roman" w:cs="Times New Roman"/>
        </w:rPr>
        <w:t xml:space="preserve">  </w:t>
      </w:r>
      <w:r w:rsidR="00716C10">
        <w:rPr>
          <w:rFonts w:ascii="Times New Roman" w:hAnsi="Times New Roman" w:cs="Times New Roman"/>
        </w:rPr>
        <w:t>B asked</w:t>
      </w:r>
      <w:r w:rsidR="00411FA4" w:rsidRPr="005A7EC4">
        <w:rPr>
          <w:rFonts w:ascii="Times New Roman" w:hAnsi="Times New Roman" w:cs="Times New Roman"/>
        </w:rPr>
        <w:t xml:space="preserve"> for a ruling that B could cross-examine with a view to inviting the Court to rely on the </w:t>
      </w:r>
      <w:r w:rsidR="00C44B6C">
        <w:rPr>
          <w:rFonts w:ascii="Times New Roman" w:hAnsi="Times New Roman" w:cs="Times New Roman"/>
        </w:rPr>
        <w:t xml:space="preserve">key </w:t>
      </w:r>
      <w:r w:rsidR="00411FA4" w:rsidRPr="005A7EC4">
        <w:rPr>
          <w:rFonts w:ascii="Times New Roman" w:hAnsi="Times New Roman" w:cs="Times New Roman"/>
        </w:rPr>
        <w:t>document evidentially, despite the Secretary of State’s policy of NCND</w:t>
      </w:r>
      <w:r w:rsidR="00716C10">
        <w:rPr>
          <w:rFonts w:ascii="Times New Roman" w:hAnsi="Times New Roman" w:cs="Times New Roman"/>
        </w:rPr>
        <w:t xml:space="preserve">. </w:t>
      </w:r>
      <w:r w:rsidR="00C44B6C">
        <w:rPr>
          <w:rFonts w:ascii="Times New Roman" w:hAnsi="Times New Roman" w:cs="Times New Roman"/>
        </w:rPr>
        <w:t>T</w:t>
      </w:r>
      <w:r w:rsidR="00716C10">
        <w:rPr>
          <w:rFonts w:ascii="Times New Roman" w:hAnsi="Times New Roman" w:cs="Times New Roman"/>
        </w:rPr>
        <w:t>he</w:t>
      </w:r>
      <w:r w:rsidR="00411FA4" w:rsidRPr="005A7EC4">
        <w:rPr>
          <w:rFonts w:ascii="Times New Roman" w:hAnsi="Times New Roman" w:cs="Times New Roman"/>
        </w:rPr>
        <w:t xml:space="preserve"> Court initially indicated that B could do so.  However, this was superseded by the Court’s subsequent decision the following day that cross-examination on that basis was not permitted.</w:t>
      </w:r>
    </w:p>
    <w:p w:rsidR="00514194" w:rsidRDefault="00514194" w:rsidP="00514194">
      <w:pPr>
        <w:pStyle w:val="ListParagraph"/>
        <w:jc w:val="both"/>
        <w:rPr>
          <w:rFonts w:ascii="Times New Roman" w:hAnsi="Times New Roman" w:cs="Times New Roman"/>
        </w:rPr>
      </w:pPr>
      <w:r>
        <w:rPr>
          <w:rFonts w:ascii="Times New Roman" w:hAnsi="Times New Roman" w:cs="Times New Roman"/>
        </w:rPr>
        <w:t xml:space="preserve"> </w:t>
      </w:r>
    </w:p>
    <w:p w:rsidR="00514194" w:rsidRPr="00716C10" w:rsidRDefault="00C44B6C" w:rsidP="00514194">
      <w:pPr>
        <w:pStyle w:val="ListParagraph"/>
        <w:numPr>
          <w:ilvl w:val="0"/>
          <w:numId w:val="2"/>
        </w:numPr>
        <w:jc w:val="both"/>
        <w:rPr>
          <w:rFonts w:ascii="Times New Roman" w:hAnsi="Times New Roman" w:cs="Times New Roman"/>
        </w:rPr>
      </w:pPr>
      <w:r>
        <w:rPr>
          <w:rFonts w:ascii="Times New Roman" w:hAnsi="Times New Roman" w:cs="Times New Roman"/>
        </w:rPr>
        <w:lastRenderedPageBreak/>
        <w:t>In its subsequent judgment, t</w:t>
      </w:r>
      <w:r w:rsidR="00411FA4" w:rsidRPr="005A7EC4">
        <w:rPr>
          <w:rFonts w:ascii="Times New Roman" w:hAnsi="Times New Roman" w:cs="Times New Roman"/>
        </w:rPr>
        <w:t xml:space="preserve">he Court </w:t>
      </w:r>
      <w:r w:rsidR="00514194">
        <w:rPr>
          <w:rFonts w:ascii="Times New Roman" w:hAnsi="Times New Roman" w:cs="Times New Roman"/>
        </w:rPr>
        <w:t>stated that it would have admitted the documents if the only objection had been the NCND policy</w:t>
      </w:r>
      <w:r w:rsidR="00716C10">
        <w:rPr>
          <w:rFonts w:ascii="Times New Roman" w:hAnsi="Times New Roman" w:cs="Times New Roman"/>
        </w:rPr>
        <w:t xml:space="preserve">; </w:t>
      </w:r>
      <w:r w:rsidR="00514194">
        <w:rPr>
          <w:rFonts w:ascii="Times New Roman" w:hAnsi="Times New Roman" w:cs="Times New Roman"/>
        </w:rPr>
        <w:t>but it went on to consider two other objections which the Court had identified during the hearing. The first was a concern that admitting the material might constitute</w:t>
      </w:r>
      <w:r w:rsidR="00411FA4" w:rsidRPr="005A7EC4">
        <w:rPr>
          <w:rFonts w:ascii="Times New Roman" w:hAnsi="Times New Roman" w:cs="Times New Roman"/>
        </w:rPr>
        <w:t xml:space="preserve"> an offence under section 6 of the Official Secrets Act 1989. </w:t>
      </w:r>
      <w:r w:rsidR="00514194">
        <w:rPr>
          <w:rFonts w:ascii="Times New Roman" w:hAnsi="Times New Roman" w:cs="Times New Roman"/>
        </w:rPr>
        <w:t>The Court ultimately rejected that concern on a proper construction of section 6 and the wide public availability of the material in question.</w:t>
      </w:r>
    </w:p>
    <w:p w:rsidR="00716C10" w:rsidRDefault="00716C10" w:rsidP="00716C10">
      <w:pPr>
        <w:pStyle w:val="ListParagraph"/>
        <w:jc w:val="both"/>
        <w:rPr>
          <w:rFonts w:ascii="Times New Roman" w:hAnsi="Times New Roman" w:cs="Times New Roman"/>
        </w:rPr>
      </w:pPr>
      <w:r>
        <w:rPr>
          <w:rFonts w:ascii="Times New Roman" w:hAnsi="Times New Roman" w:cs="Times New Roman"/>
        </w:rPr>
        <w:t xml:space="preserve"> </w:t>
      </w:r>
    </w:p>
    <w:p w:rsidR="00CD1A28" w:rsidRPr="00CD1A28" w:rsidRDefault="00716C10" w:rsidP="00CD1A28">
      <w:pPr>
        <w:pStyle w:val="ListParagraph"/>
        <w:numPr>
          <w:ilvl w:val="0"/>
          <w:numId w:val="2"/>
        </w:numPr>
        <w:jc w:val="both"/>
        <w:rPr>
          <w:rFonts w:ascii="Times New Roman" w:hAnsi="Times New Roman" w:cs="Times New Roman"/>
        </w:rPr>
      </w:pPr>
      <w:r>
        <w:rPr>
          <w:rFonts w:ascii="Times New Roman" w:hAnsi="Times New Roman" w:cs="Times New Roman"/>
        </w:rPr>
        <w:t>The second was a conclusion that the Court</w:t>
      </w:r>
      <w:r w:rsidR="00411FA4" w:rsidRPr="005A7EC4">
        <w:rPr>
          <w:rFonts w:ascii="Times New Roman" w:hAnsi="Times New Roman" w:cs="Times New Roman"/>
        </w:rPr>
        <w:t xml:space="preserve"> was </w:t>
      </w:r>
      <w:r w:rsidR="00514194">
        <w:rPr>
          <w:rFonts w:ascii="Times New Roman" w:hAnsi="Times New Roman" w:cs="Times New Roman"/>
        </w:rPr>
        <w:t xml:space="preserve">still </w:t>
      </w:r>
      <w:r w:rsidR="00411FA4" w:rsidRPr="005A7EC4">
        <w:rPr>
          <w:rFonts w:ascii="Times New Roman" w:hAnsi="Times New Roman" w:cs="Times New Roman"/>
        </w:rPr>
        <w:t>prohibited from admitting the documents evidentially b</w:t>
      </w:r>
      <w:r w:rsidR="00CD1A28">
        <w:rPr>
          <w:rFonts w:ascii="Times New Roman" w:hAnsi="Times New Roman" w:cs="Times New Roman"/>
        </w:rPr>
        <w:t xml:space="preserve">ecause of </w:t>
      </w:r>
      <w:r w:rsidR="00411FA4" w:rsidRPr="005A7EC4">
        <w:rPr>
          <w:rFonts w:ascii="Times New Roman" w:hAnsi="Times New Roman" w:cs="Times New Roman"/>
        </w:rPr>
        <w:t>Articles 24 and/or 27.2 of the Vienna Convention on Diplomatic Relations 1961, as set out and incorporated into English law by the Diplomatic Privileges Act 1964.</w:t>
      </w:r>
    </w:p>
    <w:p w:rsidR="00CD1A28" w:rsidRPr="00CD1A28" w:rsidRDefault="00CD1A28" w:rsidP="00CD1A28">
      <w:pPr>
        <w:pStyle w:val="ListParagraph"/>
        <w:jc w:val="both"/>
        <w:rPr>
          <w:rFonts w:ascii="Times New Roman" w:hAnsi="Times New Roman" w:cs="Times New Roman"/>
        </w:rPr>
      </w:pPr>
      <w:r>
        <w:rPr>
          <w:rFonts w:ascii="Times New Roman" w:hAnsi="Times New Roman" w:cs="Times New Roman"/>
          <w:lang w:val="en-US"/>
        </w:rPr>
        <w:t xml:space="preserve"> </w:t>
      </w:r>
    </w:p>
    <w:p w:rsidR="00B361C0" w:rsidRPr="00CD1A28" w:rsidRDefault="00CD1A28" w:rsidP="00CD1A28">
      <w:pPr>
        <w:pStyle w:val="ListParagraph"/>
        <w:numPr>
          <w:ilvl w:val="0"/>
          <w:numId w:val="2"/>
        </w:numPr>
        <w:jc w:val="both"/>
        <w:rPr>
          <w:rFonts w:ascii="Times New Roman" w:hAnsi="Times New Roman" w:cs="Times New Roman"/>
        </w:rPr>
      </w:pPr>
      <w:r>
        <w:rPr>
          <w:rFonts w:ascii="Times New Roman" w:hAnsi="Times New Roman" w:cs="Times New Roman"/>
          <w:lang w:val="en-US"/>
        </w:rPr>
        <w:t>The Court noted that s</w:t>
      </w:r>
      <w:r w:rsidR="00B361C0" w:rsidRPr="00CD1A28">
        <w:rPr>
          <w:rFonts w:ascii="Times New Roman" w:hAnsi="Times New Roman" w:cs="Times New Roman"/>
          <w:lang w:val="en-US"/>
        </w:rPr>
        <w:t>ection 2(1) of the Diploma</w:t>
      </w:r>
      <w:r>
        <w:rPr>
          <w:rFonts w:ascii="Times New Roman" w:hAnsi="Times New Roman" w:cs="Times New Roman"/>
          <w:lang w:val="en-US"/>
        </w:rPr>
        <w:t>tic Privileges Act 1964 provided</w:t>
      </w:r>
      <w:r w:rsidR="00B361C0" w:rsidRPr="00CD1A28">
        <w:rPr>
          <w:rFonts w:ascii="Times New Roman" w:hAnsi="Times New Roman" w:cs="Times New Roman"/>
          <w:lang w:val="en-US"/>
        </w:rPr>
        <w:t xml:space="preserve"> that the articles of the Vienna Convention on Diplomatic Relations, signed at Vienna on 18 April 1961, set out in Schedule 1 to the Act </w:t>
      </w:r>
      <w:r>
        <w:rPr>
          <w:rFonts w:ascii="Times New Roman" w:hAnsi="Times New Roman" w:cs="Times New Roman"/>
          <w:lang w:val="en-US"/>
        </w:rPr>
        <w:t>had</w:t>
      </w:r>
      <w:r w:rsidR="00B361C0" w:rsidRPr="00CD1A28">
        <w:rPr>
          <w:rFonts w:ascii="Times New Roman" w:hAnsi="Times New Roman" w:cs="Times New Roman"/>
          <w:lang w:val="en-US"/>
        </w:rPr>
        <w:t xml:space="preserve"> the force of law in the United Kingdom. Those articl</w:t>
      </w:r>
      <w:r>
        <w:rPr>
          <w:rFonts w:ascii="Times New Roman" w:hAnsi="Times New Roman" w:cs="Times New Roman"/>
          <w:lang w:val="en-US"/>
        </w:rPr>
        <w:t>es include Articles 24 and 27.2 which provided:</w:t>
      </w:r>
    </w:p>
    <w:p w:rsidR="00CD1A28" w:rsidRDefault="00B361C0" w:rsidP="00CD1A28">
      <w:pPr>
        <w:widowControl w:val="0"/>
        <w:tabs>
          <w:tab w:val="left" w:pos="220"/>
          <w:tab w:val="left" w:pos="720"/>
        </w:tabs>
        <w:autoSpaceDE w:val="0"/>
        <w:autoSpaceDN w:val="0"/>
        <w:adjustRightInd w:val="0"/>
        <w:spacing w:after="320"/>
        <w:ind w:left="1440"/>
        <w:jc w:val="both"/>
        <w:rPr>
          <w:rFonts w:ascii="Times New Roman" w:hAnsi="Times New Roman" w:cs="Times New Roman"/>
          <w:lang w:val="en-US"/>
        </w:rPr>
      </w:pPr>
      <w:r w:rsidRPr="005A7EC4">
        <w:rPr>
          <w:rFonts w:ascii="Times New Roman" w:hAnsi="Times New Roman" w:cs="Times New Roman"/>
          <w:lang w:val="en-US"/>
        </w:rPr>
        <w:t>"Article 24</w:t>
      </w:r>
      <w:r w:rsidR="00C44B6C">
        <w:rPr>
          <w:rFonts w:ascii="Times New Roman" w:hAnsi="Times New Roman" w:cs="Times New Roman"/>
          <w:lang w:val="en-US"/>
        </w:rPr>
        <w:t xml:space="preserve"> </w:t>
      </w:r>
      <w:proofErr w:type="gramStart"/>
      <w:r w:rsidRPr="005A7EC4">
        <w:rPr>
          <w:rFonts w:ascii="Times New Roman" w:hAnsi="Times New Roman" w:cs="Times New Roman"/>
          <w:lang w:val="en-US"/>
        </w:rPr>
        <w:t>The</w:t>
      </w:r>
      <w:proofErr w:type="gramEnd"/>
      <w:r w:rsidRPr="005A7EC4">
        <w:rPr>
          <w:rFonts w:ascii="Times New Roman" w:hAnsi="Times New Roman" w:cs="Times New Roman"/>
          <w:lang w:val="en-US"/>
        </w:rPr>
        <w:t xml:space="preserve"> archives and documents of the mission shall be inviolable at any time and wherever they may be.  </w:t>
      </w:r>
    </w:p>
    <w:p w:rsidR="00CD1A28" w:rsidRDefault="00C44B6C" w:rsidP="00CD1A28">
      <w:pPr>
        <w:widowControl w:val="0"/>
        <w:tabs>
          <w:tab w:val="left" w:pos="220"/>
          <w:tab w:val="left" w:pos="720"/>
        </w:tabs>
        <w:autoSpaceDE w:val="0"/>
        <w:autoSpaceDN w:val="0"/>
        <w:adjustRightInd w:val="0"/>
        <w:spacing w:after="320"/>
        <w:ind w:left="1440"/>
        <w:jc w:val="both"/>
        <w:rPr>
          <w:rFonts w:ascii="Times New Roman" w:hAnsi="Times New Roman" w:cs="Times New Roman"/>
          <w:lang w:val="en-US"/>
        </w:rPr>
      </w:pPr>
      <w:proofErr w:type="gramStart"/>
      <w:r>
        <w:rPr>
          <w:rFonts w:ascii="Times New Roman" w:hAnsi="Times New Roman" w:cs="Times New Roman"/>
          <w:lang w:val="en-US"/>
        </w:rPr>
        <w:t xml:space="preserve">Article 27 </w:t>
      </w:r>
      <w:r w:rsidR="00B361C0" w:rsidRPr="005A7EC4">
        <w:rPr>
          <w:rFonts w:ascii="Times New Roman" w:hAnsi="Times New Roman" w:cs="Times New Roman"/>
          <w:lang w:val="en-US"/>
        </w:rPr>
        <w:t>…</w:t>
      </w:r>
      <w:r>
        <w:rPr>
          <w:rFonts w:ascii="Times New Roman" w:hAnsi="Times New Roman" w:cs="Times New Roman"/>
          <w:lang w:val="en-US"/>
        </w:rPr>
        <w:t xml:space="preserve"> </w:t>
      </w:r>
      <w:r w:rsidR="00B361C0" w:rsidRPr="005A7EC4">
        <w:rPr>
          <w:rFonts w:ascii="Times New Roman" w:hAnsi="Times New Roman" w:cs="Times New Roman"/>
          <w:lang w:val="en-US"/>
        </w:rPr>
        <w:t>2.</w:t>
      </w:r>
      <w:proofErr w:type="gramEnd"/>
      <w:r w:rsidR="00B361C0" w:rsidRPr="005A7EC4">
        <w:rPr>
          <w:rFonts w:ascii="Times New Roman" w:hAnsi="Times New Roman" w:cs="Times New Roman"/>
          <w:lang w:val="en-US"/>
        </w:rPr>
        <w:t xml:space="preserve"> The official correspondence of the mission shall be inviolable. Official correspondence means all correspondence relating to the mission and its functions."</w:t>
      </w:r>
    </w:p>
    <w:p w:rsidR="00CD1A28" w:rsidRDefault="00CD1A28" w:rsidP="00CD1A28">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The Court analysed the proper </w:t>
      </w:r>
      <w:r w:rsidR="00C44B6C">
        <w:rPr>
          <w:rFonts w:ascii="Times New Roman" w:hAnsi="Times New Roman" w:cs="Times New Roman"/>
          <w:lang w:val="en-US"/>
        </w:rPr>
        <w:t>meaning</w:t>
      </w:r>
      <w:r>
        <w:rPr>
          <w:rFonts w:ascii="Times New Roman" w:hAnsi="Times New Roman" w:cs="Times New Roman"/>
          <w:lang w:val="en-US"/>
        </w:rPr>
        <w:t xml:space="preserve"> of these Articles and considered that their effect had been </w:t>
      </w:r>
      <w:r w:rsidR="00B361C0" w:rsidRPr="00CD1A28">
        <w:rPr>
          <w:rFonts w:ascii="Times New Roman" w:hAnsi="Times New Roman" w:cs="Times New Roman"/>
          <w:lang w:val="en-US"/>
        </w:rPr>
        <w:t xml:space="preserve">conclusively determined by the speech of Lord Bridge of Harwich in </w:t>
      </w:r>
      <w:r w:rsidR="00B361C0" w:rsidRPr="00CD1A28">
        <w:rPr>
          <w:rFonts w:ascii="Times New Roman" w:hAnsi="Times New Roman" w:cs="Times New Roman"/>
          <w:i/>
          <w:iCs/>
          <w:lang w:val="en-US"/>
        </w:rPr>
        <w:t>Shearson Lehman Brothers Inc. v. Maclaine Watson and Co. Ltd</w:t>
      </w:r>
      <w:r w:rsidR="00B361C0" w:rsidRPr="00CD1A28">
        <w:rPr>
          <w:rFonts w:ascii="Times New Roman" w:hAnsi="Times New Roman" w:cs="Times New Roman"/>
          <w:lang w:val="en-US"/>
        </w:rPr>
        <w:t xml:space="preserve"> </w:t>
      </w:r>
      <w:r w:rsidR="00B361C0" w:rsidRPr="00CD1A28">
        <w:rPr>
          <w:rFonts w:ascii="Times New Roman" w:hAnsi="Times New Roman" w:cs="Times New Roman"/>
          <w:i/>
          <w:iCs/>
          <w:lang w:val="en-US"/>
        </w:rPr>
        <w:t>and</w:t>
      </w:r>
      <w:r w:rsidR="00B361C0" w:rsidRPr="00CD1A28">
        <w:rPr>
          <w:rFonts w:ascii="Times New Roman" w:hAnsi="Times New Roman" w:cs="Times New Roman"/>
          <w:lang w:val="en-US"/>
        </w:rPr>
        <w:t xml:space="preserve"> </w:t>
      </w:r>
      <w:r w:rsidR="00B361C0" w:rsidRPr="00CD1A28">
        <w:rPr>
          <w:rFonts w:ascii="Times New Roman" w:hAnsi="Times New Roman" w:cs="Times New Roman"/>
          <w:i/>
          <w:iCs/>
          <w:lang w:val="en-US"/>
        </w:rPr>
        <w:t>International Tin Council (Intervener) (No. 2)</w:t>
      </w:r>
      <w:r w:rsidR="00B361C0" w:rsidRPr="00CD1A28">
        <w:rPr>
          <w:rFonts w:ascii="Times New Roman" w:hAnsi="Times New Roman" w:cs="Times New Roman"/>
          <w:lang w:val="en-US"/>
        </w:rPr>
        <w:t xml:space="preserve"> [1988] 1 </w:t>
      </w:r>
      <w:r>
        <w:rPr>
          <w:rFonts w:ascii="Times New Roman" w:hAnsi="Times New Roman" w:cs="Times New Roman"/>
          <w:lang w:val="en-US"/>
        </w:rPr>
        <w:t>WLR 16</w:t>
      </w:r>
      <w:r w:rsidR="00716C10">
        <w:rPr>
          <w:rFonts w:ascii="Times New Roman" w:hAnsi="Times New Roman" w:cs="Times New Roman"/>
          <w:lang w:val="en-US"/>
        </w:rPr>
        <w:t>.  This was</w:t>
      </w:r>
      <w:r>
        <w:rPr>
          <w:rFonts w:ascii="Times New Roman" w:hAnsi="Times New Roman" w:cs="Times New Roman"/>
          <w:lang w:val="en-US"/>
        </w:rPr>
        <w:t xml:space="preserve"> in respect of </w:t>
      </w:r>
      <w:r w:rsidR="00B361C0" w:rsidRPr="00CD1A28">
        <w:rPr>
          <w:rFonts w:ascii="Times New Roman" w:hAnsi="Times New Roman" w:cs="Times New Roman"/>
          <w:lang w:val="en-US"/>
        </w:rPr>
        <w:t>Article 7(1) of the International Tin Council (Immunities and Privileges) Order 1972</w:t>
      </w:r>
      <w:r w:rsidR="00716C10">
        <w:rPr>
          <w:rFonts w:ascii="Times New Roman" w:hAnsi="Times New Roman" w:cs="Times New Roman"/>
          <w:lang w:val="en-US"/>
        </w:rPr>
        <w:t>. It</w:t>
      </w:r>
      <w:r>
        <w:rPr>
          <w:rFonts w:ascii="Times New Roman" w:hAnsi="Times New Roman" w:cs="Times New Roman"/>
          <w:lang w:val="en-US"/>
        </w:rPr>
        <w:t xml:space="preserve"> </w:t>
      </w:r>
      <w:r w:rsidR="00B361C0" w:rsidRPr="00CD1A28">
        <w:rPr>
          <w:rFonts w:ascii="Times New Roman" w:hAnsi="Times New Roman" w:cs="Times New Roman"/>
          <w:lang w:val="en-US"/>
        </w:rPr>
        <w:t xml:space="preserve">provided that the ITC "shall have the like inviolability of official archives as in accordance with the 1961 Convention Articles is accorded in respect of the official archives of a diplomatic mission". </w:t>
      </w:r>
    </w:p>
    <w:p w:rsidR="00CD1A28" w:rsidRDefault="00CD1A28" w:rsidP="00CD1A28">
      <w:pPr>
        <w:pStyle w:val="ListParagraph"/>
        <w:jc w:val="both"/>
        <w:rPr>
          <w:rFonts w:ascii="Times New Roman" w:hAnsi="Times New Roman" w:cs="Times New Roman"/>
          <w:lang w:val="en-US"/>
        </w:rPr>
      </w:pPr>
    </w:p>
    <w:p w:rsidR="00B361C0" w:rsidRPr="00CD1A28" w:rsidRDefault="00CD1A28" w:rsidP="00CD1A28">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The Court relied on what </w:t>
      </w:r>
      <w:r w:rsidR="00B361C0" w:rsidRPr="00CD1A28">
        <w:rPr>
          <w:rFonts w:ascii="Times New Roman" w:hAnsi="Times New Roman" w:cs="Times New Roman"/>
          <w:lang w:val="en-US"/>
        </w:rPr>
        <w:t>Lord Bridge</w:t>
      </w:r>
      <w:r w:rsidR="00716C10">
        <w:rPr>
          <w:rFonts w:ascii="Times New Roman" w:hAnsi="Times New Roman" w:cs="Times New Roman"/>
          <w:lang w:val="en-US"/>
        </w:rPr>
        <w:t xml:space="preserve"> had stated</w:t>
      </w:r>
      <w:r w:rsidR="00B361C0" w:rsidRPr="00CD1A28">
        <w:rPr>
          <w:rFonts w:ascii="Times New Roman" w:hAnsi="Times New Roman" w:cs="Times New Roman"/>
          <w:lang w:val="en-US"/>
        </w:rPr>
        <w:t xml:space="preserve"> at page 27F–G:</w:t>
      </w:r>
    </w:p>
    <w:p w:rsidR="00B361C0" w:rsidRPr="005A7EC4" w:rsidRDefault="00B361C0" w:rsidP="00CD1A28">
      <w:pPr>
        <w:widowControl w:val="0"/>
        <w:tabs>
          <w:tab w:val="left" w:pos="220"/>
          <w:tab w:val="left" w:pos="720"/>
        </w:tabs>
        <w:autoSpaceDE w:val="0"/>
        <w:autoSpaceDN w:val="0"/>
        <w:adjustRightInd w:val="0"/>
        <w:spacing w:after="320"/>
        <w:ind w:left="720"/>
        <w:jc w:val="both"/>
        <w:rPr>
          <w:rFonts w:ascii="Times New Roman" w:hAnsi="Times New Roman" w:cs="Times New Roman"/>
          <w:lang w:val="en-US"/>
        </w:rPr>
      </w:pPr>
      <w:r w:rsidRPr="00716C10">
        <w:rPr>
          <w:rFonts w:ascii="Times New Roman" w:hAnsi="Times New Roman" w:cs="Times New Roman"/>
          <w:sz w:val="20"/>
          <w:lang w:val="en-US"/>
        </w:rPr>
        <w:t>"Mr Kentridge presented a forceful argument for the defendants based on the proposition that the only protection which the status of inviolability conferred by Article 24 of the Vienna Convention and Article 7(1) of the Order of 1972 affords is against executive or judicial action by the host state. Hence, it was submitted, even if a document was stolen, or otherwise obtained by improper means, from a diplomatic mission, inviolability could not be relied on to prevent the thief or other violator from putting it in evidence, but the mission would be driven to invoke some other ground of objection to its admissibility. I need not examine this argument at length. I reject it substantially for the reasons given by the Court of Appeal. The underlying purpose of the inviolability conferred is to protect the privacy of diplomatic communications. If that privacy is violated by a citizen, it would be wholly inimical to the underlying purpose that the judicial authorities of the host state should countenance the violation by permitting the violator, or anyone who receives the document from the violator, to make use of the document in judicial proceedings."</w:t>
      </w:r>
    </w:p>
    <w:p w:rsidR="000851D8" w:rsidRDefault="000851D8" w:rsidP="000851D8">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lastRenderedPageBreak/>
        <w:t>The Court concluded this</w:t>
      </w:r>
      <w:r w:rsidR="00B361C0" w:rsidRPr="005A7EC4">
        <w:rPr>
          <w:rFonts w:ascii="Times New Roman" w:hAnsi="Times New Roman" w:cs="Times New Roman"/>
          <w:lang w:val="en-US"/>
        </w:rPr>
        <w:t xml:space="preserve"> statement of principle provide</w:t>
      </w:r>
      <w:r>
        <w:rPr>
          <w:rFonts w:ascii="Times New Roman" w:hAnsi="Times New Roman" w:cs="Times New Roman"/>
          <w:lang w:val="en-US"/>
        </w:rPr>
        <w:t>d</w:t>
      </w:r>
      <w:r w:rsidR="00B361C0" w:rsidRPr="005A7EC4">
        <w:rPr>
          <w:rFonts w:ascii="Times New Roman" w:hAnsi="Times New Roman" w:cs="Times New Roman"/>
          <w:lang w:val="en-US"/>
        </w:rPr>
        <w:t xml:space="preserve"> a complete answer to the evidential use of the</w:t>
      </w:r>
      <w:r>
        <w:rPr>
          <w:rFonts w:ascii="Times New Roman" w:hAnsi="Times New Roman" w:cs="Times New Roman"/>
          <w:lang w:val="en-US"/>
        </w:rPr>
        <w:t xml:space="preserve"> Wikileaks</w:t>
      </w:r>
      <w:r w:rsidR="00B361C0" w:rsidRPr="005A7EC4">
        <w:rPr>
          <w:rFonts w:ascii="Times New Roman" w:hAnsi="Times New Roman" w:cs="Times New Roman"/>
          <w:lang w:val="en-US"/>
        </w:rPr>
        <w:t xml:space="preserve"> document in the proceedings.</w:t>
      </w:r>
      <w:r w:rsidR="00716C10">
        <w:rPr>
          <w:rFonts w:ascii="Times New Roman" w:hAnsi="Times New Roman" w:cs="Times New Roman"/>
          <w:lang w:val="en-US"/>
        </w:rPr>
        <w:t xml:space="preserve"> The document was assumed to be illicitly obtained, where </w:t>
      </w:r>
      <w:r>
        <w:rPr>
          <w:rFonts w:ascii="Times New Roman" w:hAnsi="Times New Roman" w:cs="Times New Roman"/>
          <w:lang w:val="en-US"/>
        </w:rPr>
        <w:t>B</w:t>
      </w:r>
      <w:r w:rsidR="00716C10">
        <w:rPr>
          <w:rFonts w:ascii="Times New Roman" w:hAnsi="Times New Roman" w:cs="Times New Roman"/>
          <w:lang w:val="en-US"/>
        </w:rPr>
        <w:t>,</w:t>
      </w:r>
      <w:r>
        <w:rPr>
          <w:rFonts w:ascii="Times New Roman" w:hAnsi="Times New Roman" w:cs="Times New Roman"/>
          <w:lang w:val="en-US"/>
        </w:rPr>
        <w:t xml:space="preserve"> at several removes had</w:t>
      </w:r>
      <w:r w:rsidR="00B361C0" w:rsidRPr="005A7EC4">
        <w:rPr>
          <w:rFonts w:ascii="Times New Roman" w:hAnsi="Times New Roman" w:cs="Times New Roman"/>
          <w:lang w:val="en-US"/>
        </w:rPr>
        <w:t xml:space="preserve"> obtained possession of the document from the "violator"</w:t>
      </w:r>
      <w:r w:rsidR="00716C10">
        <w:rPr>
          <w:rFonts w:ascii="Times New Roman" w:hAnsi="Times New Roman" w:cs="Times New Roman"/>
          <w:lang w:val="en-US"/>
        </w:rPr>
        <w:t>. Accordingly, the Court concluded</w:t>
      </w:r>
      <w:r>
        <w:rPr>
          <w:rFonts w:ascii="Times New Roman" w:hAnsi="Times New Roman" w:cs="Times New Roman"/>
          <w:lang w:val="en-US"/>
        </w:rPr>
        <w:t xml:space="preserve"> </w:t>
      </w:r>
      <w:r w:rsidR="00C44B6C">
        <w:rPr>
          <w:rFonts w:ascii="Times New Roman" w:hAnsi="Times New Roman" w:cs="Times New Roman"/>
          <w:lang w:val="en-US"/>
        </w:rPr>
        <w:t>the document</w:t>
      </w:r>
      <w:r>
        <w:rPr>
          <w:rFonts w:ascii="Times New Roman" w:hAnsi="Times New Roman" w:cs="Times New Roman"/>
          <w:lang w:val="en-US"/>
        </w:rPr>
        <w:t xml:space="preserve"> could not be used in judicial proceedings</w:t>
      </w:r>
      <w:r w:rsidR="00716C10">
        <w:rPr>
          <w:rFonts w:ascii="Times New Roman" w:hAnsi="Times New Roman" w:cs="Times New Roman"/>
          <w:lang w:val="en-US"/>
        </w:rPr>
        <w:t>. It further decided that</w:t>
      </w:r>
      <w:r>
        <w:rPr>
          <w:rFonts w:ascii="Times New Roman" w:hAnsi="Times New Roman" w:cs="Times New Roman"/>
          <w:lang w:val="en-US"/>
        </w:rPr>
        <w:t xml:space="preserve"> the</w:t>
      </w:r>
      <w:r w:rsidR="00B361C0" w:rsidRPr="005A7EC4">
        <w:rPr>
          <w:rFonts w:ascii="Times New Roman" w:hAnsi="Times New Roman" w:cs="Times New Roman"/>
          <w:lang w:val="en-US"/>
        </w:rPr>
        <w:t xml:space="preserve"> information in the document </w:t>
      </w:r>
      <w:r>
        <w:rPr>
          <w:rFonts w:ascii="Times New Roman" w:hAnsi="Times New Roman" w:cs="Times New Roman"/>
          <w:lang w:val="en-US"/>
        </w:rPr>
        <w:t>was</w:t>
      </w:r>
      <w:r w:rsidR="00B361C0" w:rsidRPr="005A7EC4">
        <w:rPr>
          <w:rFonts w:ascii="Times New Roman" w:hAnsi="Times New Roman" w:cs="Times New Roman"/>
          <w:lang w:val="en-US"/>
        </w:rPr>
        <w:t xml:space="preserve"> the object of the protection conferred by Articles 24 and 27.2, not just the document itself.</w:t>
      </w:r>
      <w:r>
        <w:rPr>
          <w:rFonts w:ascii="Times New Roman" w:hAnsi="Times New Roman" w:cs="Times New Roman"/>
          <w:lang w:val="en-US"/>
        </w:rPr>
        <w:t xml:space="preserve"> </w:t>
      </w:r>
    </w:p>
    <w:p w:rsidR="000851D8" w:rsidRDefault="000851D8" w:rsidP="000851D8">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AA1CF7" w:rsidRDefault="000851D8" w:rsidP="00177D42">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The Court rejected B’s reliance on the fact that other s</w:t>
      </w:r>
      <w:r w:rsidR="00AA1CF7">
        <w:rPr>
          <w:rFonts w:ascii="Times New Roman" w:hAnsi="Times New Roman" w:cs="Times New Roman"/>
          <w:lang w:val="en-US"/>
        </w:rPr>
        <w:t>imilar</w:t>
      </w:r>
      <w:r>
        <w:rPr>
          <w:rFonts w:ascii="Times New Roman" w:hAnsi="Times New Roman" w:cs="Times New Roman"/>
          <w:lang w:val="en-US"/>
        </w:rPr>
        <w:t xml:space="preserve"> documents, including </w:t>
      </w:r>
      <w:r>
        <w:rPr>
          <w:rFonts w:ascii="Times New Roman" w:hAnsi="Times New Roman" w:cs="Times New Roman"/>
          <w:i/>
          <w:lang w:val="en-US"/>
        </w:rPr>
        <w:t>Wikileak</w:t>
      </w:r>
      <w:r w:rsidR="00C44B6C">
        <w:rPr>
          <w:rFonts w:ascii="Times New Roman" w:hAnsi="Times New Roman" w:cs="Times New Roman"/>
          <w:i/>
          <w:lang w:val="en-US"/>
        </w:rPr>
        <w:t>s-</w:t>
      </w:r>
      <w:r>
        <w:rPr>
          <w:rFonts w:ascii="Times New Roman" w:hAnsi="Times New Roman" w:cs="Times New Roman"/>
          <w:lang w:val="en-US"/>
        </w:rPr>
        <w:t>released</w:t>
      </w:r>
      <w:r>
        <w:rPr>
          <w:rFonts w:ascii="Times New Roman" w:hAnsi="Times New Roman" w:cs="Times New Roman"/>
          <w:i/>
          <w:lang w:val="en-US"/>
        </w:rPr>
        <w:t xml:space="preserve"> </w:t>
      </w:r>
      <w:r>
        <w:rPr>
          <w:rFonts w:ascii="Times New Roman" w:hAnsi="Times New Roman" w:cs="Times New Roman"/>
          <w:lang w:val="en-US"/>
        </w:rPr>
        <w:t xml:space="preserve">documents, had been relied upon by other </w:t>
      </w:r>
      <w:r w:rsidR="00AA1CF7">
        <w:rPr>
          <w:rFonts w:ascii="Times New Roman" w:hAnsi="Times New Roman" w:cs="Times New Roman"/>
          <w:lang w:val="en-US"/>
        </w:rPr>
        <w:t>Courts.  For example:</w:t>
      </w:r>
      <w:r>
        <w:rPr>
          <w:rFonts w:ascii="Times New Roman" w:hAnsi="Times New Roman" w:cs="Times New Roman"/>
          <w:lang w:val="en-US"/>
        </w:rPr>
        <w:t xml:space="preserve"> (1) </w:t>
      </w:r>
      <w:r w:rsidR="00B361C0" w:rsidRPr="000851D8">
        <w:rPr>
          <w:rFonts w:ascii="Times New Roman" w:hAnsi="Times New Roman" w:cs="Times New Roman"/>
          <w:i/>
          <w:iCs/>
          <w:lang w:val="en-US"/>
        </w:rPr>
        <w:t>Rose v. The King</w:t>
      </w:r>
      <w:r w:rsidR="00B361C0" w:rsidRPr="000851D8">
        <w:rPr>
          <w:rFonts w:ascii="Times New Roman" w:hAnsi="Times New Roman" w:cs="Times New Roman"/>
          <w:lang w:val="en-US"/>
        </w:rPr>
        <w:t xml:space="preserve"> [1947] 3 DLR 618</w:t>
      </w:r>
      <w:r>
        <w:rPr>
          <w:rFonts w:ascii="Times New Roman" w:hAnsi="Times New Roman" w:cs="Times New Roman"/>
          <w:lang w:val="en-US"/>
        </w:rPr>
        <w:t xml:space="preserve"> where</w:t>
      </w:r>
      <w:r w:rsidR="00B361C0" w:rsidRPr="000851D8">
        <w:rPr>
          <w:rFonts w:ascii="Times New Roman" w:hAnsi="Times New Roman" w:cs="Times New Roman"/>
          <w:lang w:val="en-US"/>
        </w:rPr>
        <w:t xml:space="preserve"> the Quebec Court of King's Bench, Appeal Side upheld the admission in a criminal case of documents taken by a witness from the Russian Embassy which evidenced a plot, to which Russian officials were party, against the Canadian State</w:t>
      </w:r>
      <w:r>
        <w:rPr>
          <w:rFonts w:ascii="Times New Roman" w:hAnsi="Times New Roman" w:cs="Times New Roman"/>
          <w:lang w:val="en-US"/>
        </w:rPr>
        <w:t xml:space="preserve">; (2) </w:t>
      </w:r>
      <w:r w:rsidR="00B361C0" w:rsidRPr="000851D8">
        <w:rPr>
          <w:rFonts w:ascii="Times New Roman" w:hAnsi="Times New Roman" w:cs="Times New Roman"/>
          <w:i/>
          <w:iCs/>
          <w:lang w:val="en-US"/>
        </w:rPr>
        <w:t>Prosecutor v. Charles Ghankay Taylor</w:t>
      </w:r>
      <w:r w:rsidR="00B361C0" w:rsidRPr="000851D8">
        <w:rPr>
          <w:rFonts w:ascii="Times New Roman" w:hAnsi="Times New Roman" w:cs="Times New Roman"/>
          <w:lang w:val="en-US"/>
        </w:rPr>
        <w:t xml:space="preserve">, </w:t>
      </w:r>
      <w:r>
        <w:rPr>
          <w:rFonts w:ascii="Times New Roman" w:hAnsi="Times New Roman" w:cs="Times New Roman"/>
          <w:lang w:val="en-US"/>
        </w:rPr>
        <w:t xml:space="preserve">where </w:t>
      </w:r>
      <w:r w:rsidR="00B361C0" w:rsidRPr="000851D8">
        <w:rPr>
          <w:rFonts w:ascii="Times New Roman" w:hAnsi="Times New Roman" w:cs="Times New Roman"/>
          <w:lang w:val="en-US"/>
        </w:rPr>
        <w:t>the Special Court for Sierra Leone held on 27 January 2011 that two US Government cables leaked through</w:t>
      </w:r>
      <w:r>
        <w:rPr>
          <w:rFonts w:ascii="Times New Roman" w:hAnsi="Times New Roman" w:cs="Times New Roman"/>
          <w:lang w:val="en-US"/>
        </w:rPr>
        <w:t xml:space="preserve"> Wikileaks </w:t>
      </w:r>
      <w:r w:rsidR="00B361C0" w:rsidRPr="000851D8">
        <w:rPr>
          <w:rFonts w:ascii="Times New Roman" w:hAnsi="Times New Roman" w:cs="Times New Roman"/>
          <w:lang w:val="en-US"/>
        </w:rPr>
        <w:t>and published in the Guardian on 17 December 2010 were in principle admissible to support an application by th</w:t>
      </w:r>
      <w:r>
        <w:rPr>
          <w:rFonts w:ascii="Times New Roman" w:hAnsi="Times New Roman" w:cs="Times New Roman"/>
          <w:lang w:val="en-US"/>
        </w:rPr>
        <w:t xml:space="preserve">e defence to reopen their case; (3) </w:t>
      </w:r>
      <w:r w:rsidR="00B361C0" w:rsidRPr="000851D8">
        <w:rPr>
          <w:rFonts w:ascii="Times New Roman" w:hAnsi="Times New Roman" w:cs="Times New Roman"/>
          <w:i/>
          <w:iCs/>
          <w:lang w:val="en-US"/>
        </w:rPr>
        <w:t>El Masri v. The Former Yugoslav Republic of Macedonia</w:t>
      </w:r>
      <w:r>
        <w:rPr>
          <w:rFonts w:ascii="Times New Roman" w:hAnsi="Times New Roman" w:cs="Times New Roman"/>
          <w:lang w:val="en-US"/>
        </w:rPr>
        <w:t xml:space="preserve"> where</w:t>
      </w:r>
      <w:r w:rsidR="00B361C0" w:rsidRPr="000851D8">
        <w:rPr>
          <w:rFonts w:ascii="Times New Roman" w:hAnsi="Times New Roman" w:cs="Times New Roman"/>
          <w:lang w:val="en-US"/>
        </w:rPr>
        <w:t xml:space="preserve"> the Grand Chamber of the Strasbourg Court handed down a final judgment on 13 December 2012</w:t>
      </w:r>
      <w:r>
        <w:rPr>
          <w:rFonts w:ascii="Times New Roman" w:hAnsi="Times New Roman" w:cs="Times New Roman"/>
          <w:lang w:val="en-US"/>
        </w:rPr>
        <w:t xml:space="preserve"> in which</w:t>
      </w:r>
      <w:r w:rsidR="00B361C0" w:rsidRPr="000851D8">
        <w:rPr>
          <w:rFonts w:ascii="Times New Roman" w:hAnsi="Times New Roman" w:cs="Times New Roman"/>
          <w:lang w:val="en-US"/>
        </w:rPr>
        <w:t xml:space="preserve"> the applicant </w:t>
      </w:r>
      <w:r>
        <w:rPr>
          <w:rFonts w:ascii="Times New Roman" w:hAnsi="Times New Roman" w:cs="Times New Roman"/>
          <w:lang w:val="en-US"/>
        </w:rPr>
        <w:t xml:space="preserve">had </w:t>
      </w:r>
      <w:r w:rsidR="00B361C0" w:rsidRPr="000851D8">
        <w:rPr>
          <w:rFonts w:ascii="Times New Roman" w:hAnsi="Times New Roman" w:cs="Times New Roman"/>
          <w:lang w:val="en-US"/>
        </w:rPr>
        <w:t>submitted US diplomatic cables in support of his application</w:t>
      </w:r>
      <w:r w:rsidR="00177D42">
        <w:rPr>
          <w:rFonts w:ascii="Times New Roman" w:hAnsi="Times New Roman" w:cs="Times New Roman"/>
          <w:lang w:val="en-US"/>
        </w:rPr>
        <w:t xml:space="preserve">; and (4) </w:t>
      </w:r>
      <w:r w:rsidR="00B361C0" w:rsidRPr="005A7EC4">
        <w:rPr>
          <w:rFonts w:ascii="Times New Roman" w:hAnsi="Times New Roman" w:cs="Times New Roman"/>
          <w:i/>
          <w:iCs/>
          <w:lang w:val="en-US"/>
        </w:rPr>
        <w:t>Bank Mellat v. Council of the European Union</w:t>
      </w:r>
      <w:r w:rsidR="00B361C0" w:rsidRPr="005A7EC4">
        <w:rPr>
          <w:rFonts w:ascii="Times New Roman" w:hAnsi="Times New Roman" w:cs="Times New Roman"/>
          <w:lang w:val="en-US"/>
        </w:rPr>
        <w:t xml:space="preserve">, </w:t>
      </w:r>
      <w:r w:rsidR="00177D42">
        <w:rPr>
          <w:rFonts w:ascii="Times New Roman" w:hAnsi="Times New Roman" w:cs="Times New Roman"/>
          <w:lang w:val="en-US"/>
        </w:rPr>
        <w:t xml:space="preserve">where </w:t>
      </w:r>
      <w:r w:rsidR="00B361C0" w:rsidRPr="005A7EC4">
        <w:rPr>
          <w:rFonts w:ascii="Times New Roman" w:hAnsi="Times New Roman" w:cs="Times New Roman"/>
          <w:lang w:val="en-US"/>
        </w:rPr>
        <w:t>the Fourth Chamber of the General Court at Luxembourg noted in its judgment of 29 January 2013 the Commission's submission that no account should be taken of leaked diplomatic cables</w:t>
      </w:r>
      <w:r w:rsidR="00177D42">
        <w:rPr>
          <w:rFonts w:ascii="Times New Roman" w:hAnsi="Times New Roman" w:cs="Times New Roman"/>
          <w:lang w:val="en-US"/>
        </w:rPr>
        <w:t xml:space="preserve">, but the </w:t>
      </w:r>
      <w:r w:rsidR="00B361C0" w:rsidRPr="005A7EC4">
        <w:rPr>
          <w:rFonts w:ascii="Times New Roman" w:hAnsi="Times New Roman" w:cs="Times New Roman"/>
          <w:lang w:val="en-US"/>
        </w:rPr>
        <w:t>court's only observation was that the fact that some Member States were subject to diplomatic pressure "even if proved" did not imply that such pressure affected the contested measures.</w:t>
      </w:r>
    </w:p>
    <w:p w:rsidR="00AA1CF7" w:rsidRDefault="00AA1CF7" w:rsidP="00AA1CF7">
      <w:pPr>
        <w:pStyle w:val="ListParagraph"/>
        <w:jc w:val="both"/>
        <w:rPr>
          <w:rFonts w:ascii="Times New Roman" w:hAnsi="Times New Roman" w:cs="Times New Roman"/>
          <w:lang w:val="en-US"/>
        </w:rPr>
      </w:pPr>
    </w:p>
    <w:p w:rsidR="00177D42" w:rsidRDefault="00B361C0" w:rsidP="00AA1CF7">
      <w:pPr>
        <w:pStyle w:val="ListParagraph"/>
        <w:numPr>
          <w:ilvl w:val="0"/>
          <w:numId w:val="2"/>
        </w:numPr>
        <w:jc w:val="both"/>
        <w:rPr>
          <w:rFonts w:ascii="Times New Roman" w:hAnsi="Times New Roman" w:cs="Times New Roman"/>
          <w:lang w:val="en-US"/>
        </w:rPr>
      </w:pPr>
      <w:r w:rsidRPr="005A7EC4">
        <w:rPr>
          <w:rFonts w:ascii="Times New Roman" w:hAnsi="Times New Roman" w:cs="Times New Roman"/>
          <w:lang w:val="en-US"/>
        </w:rPr>
        <w:t xml:space="preserve"> </w:t>
      </w:r>
      <w:r w:rsidR="00177D42">
        <w:rPr>
          <w:rFonts w:ascii="Times New Roman" w:hAnsi="Times New Roman" w:cs="Times New Roman"/>
          <w:lang w:val="en-US"/>
        </w:rPr>
        <w:t>The Court rejected reliance on these cases on the basis that the issue of the 1961 Convention had not been raised</w:t>
      </w:r>
      <w:r w:rsidR="00AA1CF7">
        <w:rPr>
          <w:rFonts w:ascii="Times New Roman" w:hAnsi="Times New Roman" w:cs="Times New Roman"/>
          <w:lang w:val="en-US"/>
        </w:rPr>
        <w:t>. The Can</w:t>
      </w:r>
      <w:r w:rsidR="00177D42">
        <w:rPr>
          <w:rFonts w:ascii="Times New Roman" w:hAnsi="Times New Roman" w:cs="Times New Roman"/>
          <w:lang w:val="en-US"/>
        </w:rPr>
        <w:t>a</w:t>
      </w:r>
      <w:r w:rsidR="00AA1CF7">
        <w:rPr>
          <w:rFonts w:ascii="Times New Roman" w:hAnsi="Times New Roman" w:cs="Times New Roman"/>
          <w:lang w:val="en-US"/>
        </w:rPr>
        <w:t>d</w:t>
      </w:r>
      <w:r w:rsidR="00177D42">
        <w:rPr>
          <w:rFonts w:ascii="Times New Roman" w:hAnsi="Times New Roman" w:cs="Times New Roman"/>
          <w:lang w:val="en-US"/>
        </w:rPr>
        <w:t>ian case ha</w:t>
      </w:r>
      <w:r w:rsidR="00AA1CF7">
        <w:rPr>
          <w:rFonts w:ascii="Times New Roman" w:hAnsi="Times New Roman" w:cs="Times New Roman"/>
          <w:lang w:val="en-US"/>
        </w:rPr>
        <w:t>d, of course, been decided</w:t>
      </w:r>
      <w:r w:rsidR="00177D42">
        <w:rPr>
          <w:rFonts w:ascii="Times New Roman" w:hAnsi="Times New Roman" w:cs="Times New Roman"/>
          <w:lang w:val="en-US"/>
        </w:rPr>
        <w:t xml:space="preserve"> before the </w:t>
      </w:r>
      <w:r w:rsidR="00AA1CF7">
        <w:rPr>
          <w:rFonts w:ascii="Times New Roman" w:hAnsi="Times New Roman" w:cs="Times New Roman"/>
          <w:lang w:val="en-US"/>
        </w:rPr>
        <w:t>1961 Convention came into force.</w:t>
      </w:r>
    </w:p>
    <w:p w:rsidR="00AA1CF7" w:rsidRDefault="00AA1CF7" w:rsidP="00AA1CF7">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177D42" w:rsidRDefault="00177D42" w:rsidP="00177D42">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Consequently, it appears that the general position is that the Courts will be bound to refuse to admit documents of this type</w:t>
      </w:r>
      <w:r w:rsidR="00AA1CF7">
        <w:rPr>
          <w:rFonts w:ascii="Times New Roman" w:hAnsi="Times New Roman" w:cs="Times New Roman"/>
          <w:lang w:val="en-US"/>
        </w:rPr>
        <w:t>,</w:t>
      </w:r>
      <w:r>
        <w:rPr>
          <w:rFonts w:ascii="Times New Roman" w:hAnsi="Times New Roman" w:cs="Times New Roman"/>
          <w:lang w:val="en-US"/>
        </w:rPr>
        <w:t xml:space="preserve"> where</w:t>
      </w:r>
      <w:r w:rsidR="00AA1CF7">
        <w:rPr>
          <w:rFonts w:ascii="Times New Roman" w:hAnsi="Times New Roman" w:cs="Times New Roman"/>
          <w:lang w:val="en-US"/>
        </w:rPr>
        <w:t xml:space="preserve"> they are</w:t>
      </w:r>
      <w:r>
        <w:rPr>
          <w:rFonts w:ascii="Times New Roman" w:hAnsi="Times New Roman" w:cs="Times New Roman"/>
          <w:lang w:val="en-US"/>
        </w:rPr>
        <w:t xml:space="preserve"> released by organisation such as Wikileaks following unlawful disclosure, notwithstanding </w:t>
      </w:r>
      <w:r w:rsidR="00C44B6C">
        <w:rPr>
          <w:rFonts w:ascii="Times New Roman" w:hAnsi="Times New Roman" w:cs="Times New Roman"/>
          <w:lang w:val="en-US"/>
        </w:rPr>
        <w:t xml:space="preserve">any </w:t>
      </w:r>
      <w:r>
        <w:rPr>
          <w:rFonts w:ascii="Times New Roman" w:hAnsi="Times New Roman" w:cs="Times New Roman"/>
          <w:lang w:val="en-US"/>
        </w:rPr>
        <w:t>widespread publication of those documents in the press and elsewhere.</w:t>
      </w:r>
    </w:p>
    <w:p w:rsidR="00177D42" w:rsidRDefault="00177D42" w:rsidP="00177D42">
      <w:pPr>
        <w:pStyle w:val="ListParagraph"/>
        <w:jc w:val="both"/>
        <w:rPr>
          <w:rFonts w:ascii="Times New Roman" w:hAnsi="Times New Roman" w:cs="Times New Roman"/>
          <w:lang w:val="en-US"/>
        </w:rPr>
      </w:pPr>
    </w:p>
    <w:p w:rsidR="00177D42" w:rsidRPr="009C028F" w:rsidRDefault="00177D42" w:rsidP="00177D42">
      <w:pPr>
        <w:pStyle w:val="ListParagraph"/>
        <w:jc w:val="both"/>
        <w:rPr>
          <w:rFonts w:ascii="Times New Roman" w:hAnsi="Times New Roman" w:cs="Times New Roman"/>
          <w:lang w:val="en-US"/>
        </w:rPr>
      </w:pPr>
      <w:proofErr w:type="gramStart"/>
      <w:r w:rsidRPr="00C44B6C">
        <w:rPr>
          <w:rFonts w:ascii="Times New Roman" w:hAnsi="Times New Roman" w:cs="Times New Roman"/>
          <w:b/>
          <w:i/>
          <w:lang w:val="en-US"/>
        </w:rPr>
        <w:t>R(</w:t>
      </w:r>
      <w:proofErr w:type="gramEnd"/>
      <w:r w:rsidRPr="00C44B6C">
        <w:rPr>
          <w:rFonts w:ascii="Times New Roman" w:hAnsi="Times New Roman" w:cs="Times New Roman"/>
          <w:b/>
          <w:i/>
          <w:lang w:val="en-US"/>
        </w:rPr>
        <w:t xml:space="preserve">Evans) v </w:t>
      </w:r>
      <w:r w:rsidR="009C028F" w:rsidRPr="00C44B6C">
        <w:rPr>
          <w:rFonts w:ascii="Times New Roman" w:hAnsi="Times New Roman" w:cs="Times New Roman"/>
          <w:b/>
          <w:i/>
          <w:lang w:val="en-US"/>
        </w:rPr>
        <w:t>Her Majesty’s Attorney General and the Information Commissioner</w:t>
      </w:r>
      <w:r w:rsidR="009C028F">
        <w:rPr>
          <w:rFonts w:ascii="Times New Roman" w:hAnsi="Times New Roman" w:cs="Times New Roman"/>
          <w:i/>
          <w:lang w:val="en-US"/>
        </w:rPr>
        <w:t xml:space="preserve"> </w:t>
      </w:r>
      <w:r w:rsidR="009C028F">
        <w:rPr>
          <w:rFonts w:ascii="Times New Roman" w:hAnsi="Times New Roman" w:cs="Times New Roman"/>
          <w:lang w:val="en-US"/>
        </w:rPr>
        <w:t>[2013] EWHC 1960 (Admin)</w:t>
      </w:r>
    </w:p>
    <w:p w:rsidR="00177D42" w:rsidRDefault="009C028F" w:rsidP="00177D42">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The issue of secrecy arose in a rather different context in </w:t>
      </w:r>
      <w:r w:rsidR="00AA1CF7">
        <w:rPr>
          <w:rFonts w:ascii="Times New Roman" w:hAnsi="Times New Roman" w:cs="Times New Roman"/>
          <w:i/>
          <w:lang w:val="en-US"/>
        </w:rPr>
        <w:t>Evans</w:t>
      </w:r>
      <w:r>
        <w:rPr>
          <w:rFonts w:ascii="Times New Roman" w:hAnsi="Times New Roman" w:cs="Times New Roman"/>
          <w:lang w:val="en-US"/>
        </w:rPr>
        <w:t xml:space="preserve">. </w:t>
      </w:r>
      <w:r w:rsidR="00AA1CF7">
        <w:rPr>
          <w:rFonts w:ascii="Times New Roman" w:hAnsi="Times New Roman" w:cs="Times New Roman"/>
          <w:lang w:val="en-US"/>
        </w:rPr>
        <w:t>This</w:t>
      </w:r>
      <w:r>
        <w:rPr>
          <w:rFonts w:ascii="Times New Roman" w:hAnsi="Times New Roman" w:cs="Times New Roman"/>
          <w:lang w:val="en-US"/>
        </w:rPr>
        <w:t xml:space="preserve"> concerned the preservation of </w:t>
      </w:r>
      <w:r w:rsidR="00371669">
        <w:rPr>
          <w:rFonts w:ascii="Times New Roman" w:hAnsi="Times New Roman" w:cs="Times New Roman"/>
          <w:lang w:val="en-US"/>
        </w:rPr>
        <w:t>non-disclosure</w:t>
      </w:r>
      <w:r>
        <w:rPr>
          <w:rFonts w:ascii="Times New Roman" w:hAnsi="Times New Roman" w:cs="Times New Roman"/>
          <w:lang w:val="en-US"/>
        </w:rPr>
        <w:t xml:space="preserve"> of communications between the Prince of Wales and Government ministers</w:t>
      </w:r>
      <w:r w:rsidR="00371669">
        <w:rPr>
          <w:rFonts w:ascii="Times New Roman" w:hAnsi="Times New Roman" w:cs="Times New Roman"/>
          <w:lang w:val="en-US"/>
        </w:rPr>
        <w:t>, where they had been sought</w:t>
      </w:r>
      <w:r>
        <w:rPr>
          <w:rFonts w:ascii="Times New Roman" w:hAnsi="Times New Roman" w:cs="Times New Roman"/>
          <w:lang w:val="en-US"/>
        </w:rPr>
        <w:t xml:space="preserve"> under the Freedom of Information Act 2000.  </w:t>
      </w:r>
      <w:r w:rsidR="00371669">
        <w:rPr>
          <w:rFonts w:ascii="Times New Roman" w:hAnsi="Times New Roman" w:cs="Times New Roman"/>
          <w:lang w:val="en-US"/>
        </w:rPr>
        <w:t>The</w:t>
      </w:r>
      <w:r w:rsidR="00AA1CF7">
        <w:rPr>
          <w:rFonts w:ascii="Times New Roman" w:hAnsi="Times New Roman" w:cs="Times New Roman"/>
          <w:lang w:val="en-US"/>
        </w:rPr>
        <w:t xml:space="preserve"> communications </w:t>
      </w:r>
      <w:r w:rsidR="00371669">
        <w:rPr>
          <w:rFonts w:ascii="Times New Roman" w:hAnsi="Times New Roman" w:cs="Times New Roman"/>
          <w:lang w:val="en-US"/>
        </w:rPr>
        <w:t xml:space="preserve">had been </w:t>
      </w:r>
      <w:r w:rsidR="00AA1CF7">
        <w:rPr>
          <w:rFonts w:ascii="Times New Roman" w:hAnsi="Times New Roman" w:cs="Times New Roman"/>
          <w:lang w:val="en-US"/>
        </w:rPr>
        <w:t>made</w:t>
      </w:r>
      <w:r>
        <w:rPr>
          <w:rFonts w:ascii="Times New Roman" w:hAnsi="Times New Roman" w:cs="Times New Roman"/>
          <w:lang w:val="en-US"/>
        </w:rPr>
        <w:t xml:space="preserve"> prior to the introduction of a new statutory exemption </w:t>
      </w:r>
      <w:r w:rsidR="00371669">
        <w:rPr>
          <w:rFonts w:ascii="Times New Roman" w:hAnsi="Times New Roman" w:cs="Times New Roman"/>
          <w:lang w:val="en-US"/>
        </w:rPr>
        <w:t xml:space="preserve">for the Prince of Wales, </w:t>
      </w:r>
      <w:r>
        <w:rPr>
          <w:rFonts w:ascii="Times New Roman" w:hAnsi="Times New Roman" w:cs="Times New Roman"/>
          <w:lang w:val="en-US"/>
        </w:rPr>
        <w:t>similar to that which applies to the Queen</w:t>
      </w:r>
      <w:r w:rsidR="00371669">
        <w:rPr>
          <w:rFonts w:ascii="Times New Roman" w:hAnsi="Times New Roman" w:cs="Times New Roman"/>
          <w:lang w:val="en-US"/>
        </w:rPr>
        <w:t>,</w:t>
      </w:r>
      <w:r>
        <w:rPr>
          <w:rFonts w:ascii="Times New Roman" w:hAnsi="Times New Roman" w:cs="Times New Roman"/>
          <w:lang w:val="en-US"/>
        </w:rPr>
        <w:t xml:space="preserve"> as from 19 January 2011.</w:t>
      </w:r>
    </w:p>
    <w:p w:rsidR="009C028F" w:rsidRDefault="009C028F" w:rsidP="009C028F">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6D4E6B" w:rsidRPr="00AA1CF7" w:rsidRDefault="006D4E6B" w:rsidP="006D4E6B">
      <w:pPr>
        <w:pStyle w:val="ListParagraph"/>
        <w:numPr>
          <w:ilvl w:val="0"/>
          <w:numId w:val="2"/>
        </w:numPr>
        <w:jc w:val="both"/>
        <w:rPr>
          <w:rFonts w:ascii="Times New Roman" w:hAnsi="Times New Roman" w:cs="Times New Roman"/>
          <w:lang w:val="en-US"/>
        </w:rPr>
      </w:pPr>
      <w:r w:rsidRPr="006D4E6B">
        <w:rPr>
          <w:rFonts w:ascii="Times New Roman" w:hAnsi="Times New Roman" w:cs="Times New Roman"/>
          <w:lang w:val="en-US"/>
        </w:rPr>
        <w:t>T</w:t>
      </w:r>
      <w:r w:rsidR="00371669">
        <w:rPr>
          <w:rFonts w:ascii="Times New Roman" w:hAnsi="Times New Roman" w:cs="Times New Roman"/>
          <w:lang w:val="en-US"/>
        </w:rPr>
        <w:t xml:space="preserve">he raised the issue of the validity of </w:t>
      </w:r>
      <w:r w:rsidRPr="006D4E6B">
        <w:rPr>
          <w:rFonts w:ascii="Times New Roman" w:hAnsi="Times New Roman" w:cs="Times New Roman"/>
          <w:lang w:val="en-US"/>
        </w:rPr>
        <w:t>the “statutory override” or “veto” vested in Government Ministers and the A</w:t>
      </w:r>
      <w:r>
        <w:rPr>
          <w:rFonts w:ascii="Times New Roman" w:hAnsi="Times New Roman" w:cs="Times New Roman"/>
          <w:lang w:val="en-US"/>
        </w:rPr>
        <w:t>ttorney General under section 53</w:t>
      </w:r>
      <w:r w:rsidRPr="006D4E6B">
        <w:rPr>
          <w:rFonts w:ascii="Times New Roman" w:hAnsi="Times New Roman" w:cs="Times New Roman"/>
          <w:lang w:val="en-US"/>
        </w:rPr>
        <w:t xml:space="preserve"> of the </w:t>
      </w:r>
      <w:r w:rsidRPr="006D4E6B">
        <w:rPr>
          <w:rFonts w:ascii="Times New Roman" w:hAnsi="Times New Roman" w:cs="Times New Roman"/>
          <w:lang w:val="en-US"/>
        </w:rPr>
        <w:lastRenderedPageBreak/>
        <w:t>Freedom of Information Act 2000.</w:t>
      </w:r>
      <w:r>
        <w:rPr>
          <w:rFonts w:ascii="Times New Roman" w:hAnsi="Times New Roman" w:cs="Times New Roman"/>
          <w:lang w:val="en-US"/>
        </w:rPr>
        <w:t xml:space="preserve">  This provision enables Government Ministers or the Attorney General to exercise a statutory power of veto of disclosure of information</w:t>
      </w:r>
      <w:r w:rsidR="00371669">
        <w:rPr>
          <w:rFonts w:ascii="Times New Roman" w:hAnsi="Times New Roman" w:cs="Times New Roman"/>
          <w:lang w:val="en-US"/>
        </w:rPr>
        <w:t xml:space="preserve">, even where </w:t>
      </w:r>
      <w:r>
        <w:rPr>
          <w:rFonts w:ascii="Times New Roman" w:hAnsi="Times New Roman" w:cs="Times New Roman"/>
          <w:lang w:val="en-US"/>
        </w:rPr>
        <w:t xml:space="preserve">the Tribunal or the Court has otherwise concluded is not exempt from disclosure under the FOIA. </w:t>
      </w:r>
    </w:p>
    <w:p w:rsidR="00AA1CF7" w:rsidRDefault="00AA1CF7" w:rsidP="00AA1CF7">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AA1CF7" w:rsidRDefault="006D4E6B" w:rsidP="00A83629">
      <w:pPr>
        <w:pStyle w:val="ListParagraph"/>
        <w:numPr>
          <w:ilvl w:val="0"/>
          <w:numId w:val="2"/>
        </w:numPr>
        <w:jc w:val="both"/>
        <w:rPr>
          <w:rFonts w:ascii="Times New Roman" w:hAnsi="Times New Roman" w:cs="Times New Roman"/>
          <w:lang w:val="en-US"/>
        </w:rPr>
      </w:pPr>
      <w:r w:rsidRPr="006D4E6B">
        <w:rPr>
          <w:rFonts w:ascii="Times New Roman" w:hAnsi="Times New Roman" w:cs="Times New Roman"/>
          <w:lang w:val="en-US"/>
        </w:rPr>
        <w:t>As the Lord Chief Justice put it: “The possibility that a minister of the Crown may lawfully override the decision of a superior court of record involves what appears to be a constitutional aberration.”</w:t>
      </w:r>
      <w:r>
        <w:rPr>
          <w:rFonts w:ascii="Times New Roman" w:hAnsi="Times New Roman" w:cs="Times New Roman"/>
          <w:lang w:val="en-US"/>
        </w:rPr>
        <w:t xml:space="preserve">  </w:t>
      </w:r>
    </w:p>
    <w:p w:rsidR="00371669" w:rsidRDefault="00371669" w:rsidP="00371669">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A83629" w:rsidRPr="00AA1CF7" w:rsidRDefault="006D4E6B" w:rsidP="00A83629">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The Court considered that it was</w:t>
      </w:r>
      <w:r w:rsidRPr="006D4E6B">
        <w:rPr>
          <w:rFonts w:ascii="Times New Roman" w:hAnsi="Times New Roman" w:cs="Times New Roman"/>
          <w:lang w:val="en-US"/>
        </w:rPr>
        <w:t xml:space="preserve"> an understatement to describe the situation</w:t>
      </w:r>
      <w:r>
        <w:rPr>
          <w:rFonts w:ascii="Times New Roman" w:hAnsi="Times New Roman" w:cs="Times New Roman"/>
          <w:lang w:val="en-US"/>
        </w:rPr>
        <w:t xml:space="preserve"> under s.53</w:t>
      </w:r>
      <w:r w:rsidRPr="006D4E6B">
        <w:rPr>
          <w:rFonts w:ascii="Times New Roman" w:hAnsi="Times New Roman" w:cs="Times New Roman"/>
          <w:lang w:val="en-US"/>
        </w:rPr>
        <w:t xml:space="preserve"> </w:t>
      </w:r>
      <w:r>
        <w:rPr>
          <w:rFonts w:ascii="Times New Roman" w:hAnsi="Times New Roman" w:cs="Times New Roman"/>
          <w:lang w:val="en-US"/>
        </w:rPr>
        <w:t xml:space="preserve">of FOIA </w:t>
      </w:r>
      <w:r w:rsidRPr="006D4E6B">
        <w:rPr>
          <w:rFonts w:ascii="Times New Roman" w:hAnsi="Times New Roman" w:cs="Times New Roman"/>
          <w:lang w:val="en-US"/>
        </w:rPr>
        <w:t xml:space="preserve">as unusual. </w:t>
      </w:r>
      <w:r>
        <w:rPr>
          <w:rFonts w:ascii="Times New Roman" w:hAnsi="Times New Roman" w:cs="Times New Roman"/>
          <w:lang w:val="en-US"/>
        </w:rPr>
        <w:t>It appeared to be</w:t>
      </w:r>
      <w:r w:rsidRPr="006D4E6B">
        <w:rPr>
          <w:rFonts w:ascii="Times New Roman" w:hAnsi="Times New Roman" w:cs="Times New Roman"/>
          <w:lang w:val="en-US"/>
        </w:rPr>
        <w:t xml:space="preserve"> a unique situation and </w:t>
      </w:r>
      <w:r>
        <w:rPr>
          <w:rFonts w:ascii="Times New Roman" w:hAnsi="Times New Roman" w:cs="Times New Roman"/>
          <w:lang w:val="en-US"/>
        </w:rPr>
        <w:t>no</w:t>
      </w:r>
      <w:r w:rsidRPr="006D4E6B">
        <w:rPr>
          <w:rFonts w:ascii="Times New Roman" w:hAnsi="Times New Roman" w:cs="Times New Roman"/>
          <w:lang w:val="en-US"/>
        </w:rPr>
        <w:t xml:space="preserve"> similar statutory arrangements c</w:t>
      </w:r>
      <w:r>
        <w:rPr>
          <w:rFonts w:ascii="Times New Roman" w:hAnsi="Times New Roman" w:cs="Times New Roman"/>
          <w:lang w:val="en-US"/>
        </w:rPr>
        <w:t xml:space="preserve">ould be found in this jurisdiction, although the </w:t>
      </w:r>
      <w:r w:rsidR="00A83629">
        <w:rPr>
          <w:rFonts w:ascii="Times New Roman" w:hAnsi="Times New Roman" w:cs="Times New Roman"/>
          <w:lang w:val="en-US"/>
        </w:rPr>
        <w:t>same “override” exist</w:t>
      </w:r>
      <w:r w:rsidR="00371669">
        <w:rPr>
          <w:rFonts w:ascii="Times New Roman" w:hAnsi="Times New Roman" w:cs="Times New Roman"/>
          <w:lang w:val="en-US"/>
        </w:rPr>
        <w:t xml:space="preserve">s </w:t>
      </w:r>
      <w:r w:rsidR="00A83629">
        <w:rPr>
          <w:rFonts w:ascii="Times New Roman" w:hAnsi="Times New Roman" w:cs="Times New Roman"/>
          <w:lang w:val="en-US"/>
        </w:rPr>
        <w:t xml:space="preserve">in the freedom </w:t>
      </w:r>
      <w:r w:rsidRPr="006D4E6B">
        <w:rPr>
          <w:rFonts w:ascii="Times New Roman" w:hAnsi="Times New Roman" w:cs="Times New Roman"/>
          <w:lang w:val="en-US"/>
        </w:rPr>
        <w:t>of information arrangements in a number of common law countries, including New Zealand, Australia and Canada.</w:t>
      </w:r>
    </w:p>
    <w:p w:rsidR="00AA1CF7" w:rsidRDefault="00AA1CF7" w:rsidP="00AA1CF7">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A83629" w:rsidRPr="00AA1CF7" w:rsidRDefault="006D4E6B" w:rsidP="00A83629">
      <w:pPr>
        <w:pStyle w:val="ListParagraph"/>
        <w:numPr>
          <w:ilvl w:val="0"/>
          <w:numId w:val="2"/>
        </w:numPr>
        <w:jc w:val="both"/>
        <w:rPr>
          <w:rFonts w:ascii="Times New Roman" w:hAnsi="Times New Roman" w:cs="Times New Roman"/>
          <w:lang w:val="en-US"/>
        </w:rPr>
      </w:pPr>
      <w:r w:rsidRPr="00A83629">
        <w:rPr>
          <w:rFonts w:ascii="Times New Roman" w:hAnsi="Times New Roman" w:cs="Times New Roman"/>
          <w:lang w:val="en-US"/>
        </w:rPr>
        <w:t>In the event, the Divisional Court concluded that this statutory veto did not offend the rule of law</w:t>
      </w:r>
      <w:r w:rsidR="00AA1CF7">
        <w:rPr>
          <w:rFonts w:ascii="Times New Roman" w:hAnsi="Times New Roman" w:cs="Times New Roman"/>
          <w:lang w:val="en-US"/>
        </w:rPr>
        <w:t>,</w:t>
      </w:r>
      <w:r w:rsidRPr="00A83629">
        <w:rPr>
          <w:rFonts w:ascii="Times New Roman" w:hAnsi="Times New Roman" w:cs="Times New Roman"/>
          <w:lang w:val="en-US"/>
        </w:rPr>
        <w:t xml:space="preserve"> or any wider principle of constitutionality</w:t>
      </w:r>
      <w:r w:rsidR="00AA1CF7">
        <w:rPr>
          <w:rFonts w:ascii="Times New Roman" w:hAnsi="Times New Roman" w:cs="Times New Roman"/>
          <w:lang w:val="en-US"/>
        </w:rPr>
        <w:t>.  This was</w:t>
      </w:r>
      <w:r w:rsidR="00A83629">
        <w:rPr>
          <w:rFonts w:ascii="Times New Roman" w:hAnsi="Times New Roman" w:cs="Times New Roman"/>
          <w:lang w:val="en-US"/>
        </w:rPr>
        <w:t xml:space="preserve"> in light of the sovereignty of Parliament to enact such a provision and the fact that it was </w:t>
      </w:r>
      <w:r w:rsidR="00AA1CF7">
        <w:rPr>
          <w:rFonts w:ascii="Times New Roman" w:hAnsi="Times New Roman" w:cs="Times New Roman"/>
          <w:lang w:val="en-US"/>
        </w:rPr>
        <w:t xml:space="preserve">considered to be </w:t>
      </w:r>
      <w:r w:rsidR="00A83629">
        <w:rPr>
          <w:rFonts w:ascii="Times New Roman" w:hAnsi="Times New Roman" w:cs="Times New Roman"/>
          <w:lang w:val="en-US"/>
        </w:rPr>
        <w:t xml:space="preserve">not </w:t>
      </w:r>
      <w:r w:rsidRPr="00A83629">
        <w:rPr>
          <w:rFonts w:ascii="Times New Roman" w:hAnsi="Times New Roman" w:cs="Times New Roman"/>
          <w:lang w:val="en-US"/>
        </w:rPr>
        <w:t xml:space="preserve">quite </w:t>
      </w:r>
      <w:r w:rsidR="00A83629">
        <w:rPr>
          <w:rFonts w:ascii="Times New Roman" w:hAnsi="Times New Roman" w:cs="Times New Roman"/>
          <w:lang w:val="en-US"/>
        </w:rPr>
        <w:t>“</w:t>
      </w:r>
      <w:r w:rsidRPr="00A83629">
        <w:rPr>
          <w:rFonts w:ascii="Times New Roman" w:hAnsi="Times New Roman" w:cs="Times New Roman"/>
          <w:lang w:val="en-US"/>
        </w:rPr>
        <w:t>a pernic</w:t>
      </w:r>
      <w:r w:rsidR="00A83629">
        <w:rPr>
          <w:rFonts w:ascii="Times New Roman" w:hAnsi="Times New Roman" w:cs="Times New Roman"/>
          <w:lang w:val="en-US"/>
        </w:rPr>
        <w:t xml:space="preserve">ious "Henry VIII clause"” enabling </w:t>
      </w:r>
      <w:r w:rsidRPr="00A83629">
        <w:rPr>
          <w:rFonts w:ascii="Times New Roman" w:hAnsi="Times New Roman" w:cs="Times New Roman"/>
          <w:lang w:val="en-US"/>
        </w:rPr>
        <w:t>a minister to override statute</w:t>
      </w:r>
      <w:r w:rsidR="00AA1CF7">
        <w:rPr>
          <w:rFonts w:ascii="Times New Roman" w:hAnsi="Times New Roman" w:cs="Times New Roman"/>
          <w:lang w:val="en-US"/>
        </w:rPr>
        <w:t>,</w:t>
      </w:r>
      <w:r w:rsidRPr="00A83629">
        <w:rPr>
          <w:rFonts w:ascii="Times New Roman" w:hAnsi="Times New Roman" w:cs="Times New Roman"/>
          <w:lang w:val="en-US"/>
        </w:rPr>
        <w:t xml:space="preserve"> </w:t>
      </w:r>
      <w:r w:rsidR="00371669">
        <w:rPr>
          <w:rFonts w:ascii="Times New Roman" w:hAnsi="Times New Roman" w:cs="Times New Roman"/>
          <w:lang w:val="en-US"/>
        </w:rPr>
        <w:t>because</w:t>
      </w:r>
      <w:r w:rsidR="00A83629">
        <w:rPr>
          <w:rFonts w:ascii="Times New Roman" w:hAnsi="Times New Roman" w:cs="Times New Roman"/>
          <w:lang w:val="en-US"/>
        </w:rPr>
        <w:t xml:space="preserve"> </w:t>
      </w:r>
      <w:r w:rsidR="00AA1CF7">
        <w:rPr>
          <w:rFonts w:ascii="Times New Roman" w:hAnsi="Times New Roman" w:cs="Times New Roman"/>
          <w:lang w:val="en-US"/>
        </w:rPr>
        <w:t>the power</w:t>
      </w:r>
      <w:r w:rsidR="00A83629">
        <w:rPr>
          <w:rFonts w:ascii="Times New Roman" w:hAnsi="Times New Roman" w:cs="Times New Roman"/>
          <w:lang w:val="en-US"/>
        </w:rPr>
        <w:t xml:space="preserve"> was not</w:t>
      </w:r>
      <w:r w:rsidRPr="00A83629">
        <w:rPr>
          <w:rFonts w:ascii="Times New Roman" w:hAnsi="Times New Roman" w:cs="Times New Roman"/>
          <w:lang w:val="en-US"/>
        </w:rPr>
        <w:t xml:space="preserve"> unconstrained, </w:t>
      </w:r>
      <w:r w:rsidR="00A83629">
        <w:rPr>
          <w:rFonts w:ascii="Times New Roman" w:hAnsi="Times New Roman" w:cs="Times New Roman"/>
          <w:lang w:val="en-US"/>
        </w:rPr>
        <w:t xml:space="preserve">otherwise it might had </w:t>
      </w:r>
      <w:r w:rsidR="00371669">
        <w:rPr>
          <w:rFonts w:ascii="Times New Roman" w:hAnsi="Times New Roman" w:cs="Times New Roman"/>
          <w:lang w:val="en-US"/>
        </w:rPr>
        <w:t>“</w:t>
      </w:r>
      <w:r w:rsidRPr="00A83629">
        <w:rPr>
          <w:rFonts w:ascii="Times New Roman" w:hAnsi="Times New Roman" w:cs="Times New Roman"/>
          <w:lang w:val="en-US"/>
        </w:rPr>
        <w:t>the same damaging effect on the rule of law.</w:t>
      </w:r>
      <w:r w:rsidR="00371669">
        <w:rPr>
          <w:rFonts w:ascii="Times New Roman" w:hAnsi="Times New Roman" w:cs="Times New Roman"/>
          <w:lang w:val="en-US"/>
        </w:rPr>
        <w:t>”</w:t>
      </w:r>
    </w:p>
    <w:p w:rsidR="00AA1CF7" w:rsidRDefault="00AA1CF7" w:rsidP="00AA1CF7">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297B79" w:rsidRPr="00AA1CF7" w:rsidRDefault="00A83629" w:rsidP="00297B79">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The apparent saving grace for the provision in terms of constitutionality and the rule of law was the requirement for any such statutory override decision to be laid before Parliament</w:t>
      </w:r>
      <w:r w:rsidR="00371669">
        <w:rPr>
          <w:rFonts w:ascii="Times New Roman" w:hAnsi="Times New Roman" w:cs="Times New Roman"/>
          <w:lang w:val="en-US"/>
        </w:rPr>
        <w:t>,</w:t>
      </w:r>
      <w:r>
        <w:rPr>
          <w:rFonts w:ascii="Times New Roman" w:hAnsi="Times New Roman" w:cs="Times New Roman"/>
          <w:lang w:val="en-US"/>
        </w:rPr>
        <w:t xml:space="preserve"> and for it to be accompanied by reasons which themselves must demonstrate “reasonable grounds” for the exercise of the veto.  </w:t>
      </w:r>
    </w:p>
    <w:p w:rsidR="00AA1CF7" w:rsidRDefault="00AA1CF7" w:rsidP="00AA1CF7">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297B79" w:rsidRPr="00297B79" w:rsidRDefault="00297B79" w:rsidP="00297B79">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As a matter of statutory construction, notwithstanding the language of section 53(2)</w:t>
      </w:r>
      <w:r w:rsidR="00371669">
        <w:rPr>
          <w:rFonts w:ascii="Times New Roman" w:hAnsi="Times New Roman" w:cs="Times New Roman"/>
          <w:lang w:val="en-US"/>
        </w:rPr>
        <w:t xml:space="preserve"> itself which suggested otherwise</w:t>
      </w:r>
      <w:r>
        <w:rPr>
          <w:rFonts w:ascii="Times New Roman" w:hAnsi="Times New Roman" w:cs="Times New Roman"/>
          <w:lang w:val="en-US"/>
        </w:rPr>
        <w:t>, the Court concluded that “reasonable grounds” was not a matter of self-certification</w:t>
      </w:r>
      <w:r w:rsidR="00371669">
        <w:rPr>
          <w:rFonts w:ascii="Times New Roman" w:hAnsi="Times New Roman" w:cs="Times New Roman"/>
          <w:lang w:val="en-US"/>
        </w:rPr>
        <w:t>,</w:t>
      </w:r>
      <w:r>
        <w:rPr>
          <w:rFonts w:ascii="Times New Roman" w:hAnsi="Times New Roman" w:cs="Times New Roman"/>
          <w:lang w:val="en-US"/>
        </w:rPr>
        <w:t xml:space="preserve"> but in fact a jurisdictional condition precedent.  It was concluded that the</w:t>
      </w:r>
      <w:r w:rsidRPr="00297B79">
        <w:rPr>
          <w:rFonts w:ascii="Times New Roman" w:hAnsi="Times New Roman" w:cs="Times New Roman"/>
          <w:lang w:val="en-US"/>
        </w:rPr>
        <w:t xml:space="preserve"> reasonable grounds for the certificate must exist; and if reasonable grounds d</w:t>
      </w:r>
      <w:r>
        <w:rPr>
          <w:rFonts w:ascii="Times New Roman" w:hAnsi="Times New Roman" w:cs="Times New Roman"/>
          <w:lang w:val="en-US"/>
        </w:rPr>
        <w:t>id</w:t>
      </w:r>
      <w:r w:rsidRPr="00297B79">
        <w:rPr>
          <w:rFonts w:ascii="Times New Roman" w:hAnsi="Times New Roman" w:cs="Times New Roman"/>
          <w:lang w:val="en-US"/>
        </w:rPr>
        <w:t xml:space="preserve"> not exist the certificate </w:t>
      </w:r>
      <w:r>
        <w:rPr>
          <w:rFonts w:ascii="Times New Roman" w:hAnsi="Times New Roman" w:cs="Times New Roman"/>
          <w:lang w:val="en-US"/>
        </w:rPr>
        <w:t>would be</w:t>
      </w:r>
      <w:r w:rsidRPr="00297B79">
        <w:rPr>
          <w:rFonts w:ascii="Times New Roman" w:hAnsi="Times New Roman" w:cs="Times New Roman"/>
          <w:lang w:val="en-US"/>
        </w:rPr>
        <w:t xml:space="preserve"> invalid and of no effect.</w:t>
      </w:r>
    </w:p>
    <w:p w:rsidR="00297B79" w:rsidRDefault="00297B79" w:rsidP="00297B79">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A83629" w:rsidRDefault="00AA1CF7" w:rsidP="00A83629">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The</w:t>
      </w:r>
      <w:r w:rsidR="00A83629">
        <w:rPr>
          <w:rFonts w:ascii="Times New Roman" w:hAnsi="Times New Roman" w:cs="Times New Roman"/>
          <w:lang w:val="en-US"/>
        </w:rPr>
        <w:t xml:space="preserve"> Court </w:t>
      </w:r>
      <w:r>
        <w:rPr>
          <w:rFonts w:ascii="Times New Roman" w:hAnsi="Times New Roman" w:cs="Times New Roman"/>
          <w:lang w:val="en-US"/>
        </w:rPr>
        <w:t>placed particular reliance on the fact</w:t>
      </w:r>
      <w:r w:rsidR="00A83629">
        <w:rPr>
          <w:rFonts w:ascii="Times New Roman" w:hAnsi="Times New Roman" w:cs="Times New Roman"/>
          <w:lang w:val="en-US"/>
        </w:rPr>
        <w:t xml:space="preserve"> that the exercise of the veto remained subject to judicial scrutiny by way of judicial review. The Court considered that this process was not confined or constrained by “artificial rules”. As the Lord Chief Justice put it:</w:t>
      </w:r>
    </w:p>
    <w:p w:rsidR="006D4E6B" w:rsidRPr="005A7EC4" w:rsidRDefault="00A83629" w:rsidP="00A83629">
      <w:pPr>
        <w:widowControl w:val="0"/>
        <w:tabs>
          <w:tab w:val="left" w:pos="220"/>
          <w:tab w:val="left" w:pos="720"/>
        </w:tabs>
        <w:autoSpaceDE w:val="0"/>
        <w:autoSpaceDN w:val="0"/>
        <w:adjustRightInd w:val="0"/>
        <w:spacing w:after="0"/>
        <w:ind w:left="1440"/>
        <w:jc w:val="both"/>
        <w:rPr>
          <w:rFonts w:ascii="Times New Roman" w:hAnsi="Times New Roman" w:cs="Times New Roman"/>
          <w:lang w:val="en-US"/>
        </w:rPr>
      </w:pPr>
      <w:r w:rsidRPr="00371669">
        <w:rPr>
          <w:rFonts w:ascii="Times New Roman" w:hAnsi="Times New Roman" w:cs="Times New Roman"/>
          <w:sz w:val="20"/>
          <w:lang w:val="en-US"/>
        </w:rPr>
        <w:t xml:space="preserve"> </w:t>
      </w:r>
      <w:proofErr w:type="gramStart"/>
      <w:r w:rsidRPr="00371669">
        <w:rPr>
          <w:rFonts w:ascii="Times New Roman" w:hAnsi="Times New Roman" w:cs="Times New Roman"/>
          <w:sz w:val="20"/>
          <w:lang w:val="en-US"/>
        </w:rPr>
        <w:t>“ …</w:t>
      </w:r>
      <w:proofErr w:type="gramEnd"/>
      <w:r w:rsidRPr="00371669">
        <w:rPr>
          <w:rFonts w:ascii="Times New Roman" w:hAnsi="Times New Roman" w:cs="Times New Roman"/>
          <w:sz w:val="20"/>
          <w:lang w:val="en-US"/>
        </w:rPr>
        <w:t xml:space="preserve"> </w:t>
      </w:r>
      <w:r w:rsidR="006D4E6B" w:rsidRPr="00371669">
        <w:rPr>
          <w:rFonts w:ascii="Times New Roman" w:hAnsi="Times New Roman" w:cs="Times New Roman"/>
          <w:sz w:val="20"/>
          <w:lang w:val="en-US"/>
        </w:rPr>
        <w:t xml:space="preserve">unless, before exercising the executive override, the minister has given full weight to the decision of the court, he will not have acted reasonably, and the override will be set aside. Beyond the language of s.53 itself, there are no inhibitions on the court's approach to the problem, and given the delicate constitutional circumstances in which the jurisdiction falls to be exercised, it is clear that the aggrieved applicant is not required to go so far as to demonstrate that the minister's decision is "unreasonable" in the familiar but narrow "Wednesbury" sense. Rather, the principle of constitutionality requires the minister to address the decision of the Upper Tribunal (or whichever court it may be) head on, and explain in clear and unequivocal terms the reasons why, notwithstanding the decision of the court, the </w:t>
      </w:r>
      <w:r w:rsidR="006D4E6B" w:rsidRPr="00371669">
        <w:rPr>
          <w:rFonts w:ascii="Times New Roman" w:hAnsi="Times New Roman" w:cs="Times New Roman"/>
          <w:sz w:val="20"/>
          <w:lang w:val="en-US"/>
        </w:rPr>
        <w:lastRenderedPageBreak/>
        <w:t xml:space="preserve">executive override has been exercised on public interest grounds. That provides the essential context in which the reasonableness of the grounds for the minister's opinion must be examined. As this close judicial scrutiny is available the legislative provision in </w:t>
      </w:r>
      <w:proofErr w:type="gramStart"/>
      <w:r w:rsidR="006D4E6B" w:rsidRPr="00371669">
        <w:rPr>
          <w:rFonts w:ascii="Times New Roman" w:hAnsi="Times New Roman" w:cs="Times New Roman"/>
          <w:sz w:val="20"/>
          <w:lang w:val="en-US"/>
        </w:rPr>
        <w:t>s.53(</w:t>
      </w:r>
      <w:proofErr w:type="gramEnd"/>
      <w:r w:rsidR="006D4E6B" w:rsidRPr="00371669">
        <w:rPr>
          <w:rFonts w:ascii="Times New Roman" w:hAnsi="Times New Roman" w:cs="Times New Roman"/>
          <w:sz w:val="20"/>
          <w:lang w:val="en-US"/>
        </w:rPr>
        <w:t>2) provides the necessary safeguard for the constitutionality of the process.</w:t>
      </w:r>
      <w:r w:rsidRPr="00371669">
        <w:rPr>
          <w:rFonts w:ascii="Times New Roman" w:hAnsi="Times New Roman" w:cs="Times New Roman"/>
          <w:sz w:val="20"/>
          <w:lang w:val="en-US"/>
        </w:rPr>
        <w:t>”</w:t>
      </w:r>
    </w:p>
    <w:p w:rsidR="006D4E6B" w:rsidRPr="005A7EC4" w:rsidRDefault="006D4E6B" w:rsidP="00A83629">
      <w:pPr>
        <w:widowControl w:val="0"/>
        <w:tabs>
          <w:tab w:val="left" w:pos="220"/>
          <w:tab w:val="left" w:pos="720"/>
        </w:tabs>
        <w:autoSpaceDE w:val="0"/>
        <w:autoSpaceDN w:val="0"/>
        <w:adjustRightInd w:val="0"/>
        <w:spacing w:after="0"/>
        <w:ind w:left="720"/>
        <w:jc w:val="both"/>
        <w:rPr>
          <w:rFonts w:ascii="Times New Roman" w:hAnsi="Times New Roman" w:cs="Times New Roman"/>
          <w:lang w:val="en-US"/>
        </w:rPr>
      </w:pPr>
    </w:p>
    <w:p w:rsidR="00297B79" w:rsidRDefault="00AA1CF7" w:rsidP="00297B79">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For</w:t>
      </w:r>
      <w:r w:rsidR="00A83629">
        <w:rPr>
          <w:rFonts w:ascii="Times New Roman" w:hAnsi="Times New Roman" w:cs="Times New Roman"/>
          <w:lang w:val="en-US"/>
        </w:rPr>
        <w:t xml:space="preserve"> reasons given by Davis LJ, </w:t>
      </w:r>
      <w:r>
        <w:rPr>
          <w:rFonts w:ascii="Times New Roman" w:hAnsi="Times New Roman" w:cs="Times New Roman"/>
          <w:lang w:val="en-US"/>
        </w:rPr>
        <w:t xml:space="preserve">the Court decided that </w:t>
      </w:r>
      <w:r w:rsidR="00A83629">
        <w:rPr>
          <w:rFonts w:ascii="Times New Roman" w:hAnsi="Times New Roman" w:cs="Times New Roman"/>
          <w:lang w:val="en-US"/>
        </w:rPr>
        <w:t>the decision of the Attorney General in respect of the Prince of Wales’ correspondence had satisfied this critical reasonableness requirement.</w:t>
      </w:r>
      <w:r w:rsidR="00297B79">
        <w:rPr>
          <w:rFonts w:ascii="Times New Roman" w:hAnsi="Times New Roman" w:cs="Times New Roman"/>
          <w:lang w:val="en-US"/>
        </w:rPr>
        <w:t xml:space="preserve"> Davis LJ</w:t>
      </w:r>
      <w:r>
        <w:rPr>
          <w:rFonts w:ascii="Times New Roman" w:hAnsi="Times New Roman" w:cs="Times New Roman"/>
          <w:lang w:val="en-US"/>
        </w:rPr>
        <w:t xml:space="preserve"> was of the </w:t>
      </w:r>
      <w:r w:rsidR="00297B79">
        <w:rPr>
          <w:rFonts w:ascii="Times New Roman" w:hAnsi="Times New Roman" w:cs="Times New Roman"/>
          <w:lang w:val="en-US"/>
        </w:rPr>
        <w:t xml:space="preserve">opinion that </w:t>
      </w:r>
      <w:r w:rsidR="006D4E6B" w:rsidRPr="00297B79">
        <w:rPr>
          <w:rFonts w:ascii="Times New Roman" w:hAnsi="Times New Roman" w:cs="Times New Roman"/>
          <w:lang w:val="en-US"/>
        </w:rPr>
        <w:t xml:space="preserve">in a case of this kind such a certificate, with Statement of Reasons, should receive as much </w:t>
      </w:r>
      <w:r w:rsidR="00297B79">
        <w:rPr>
          <w:rFonts w:ascii="Times New Roman" w:hAnsi="Times New Roman" w:cs="Times New Roman"/>
          <w:lang w:val="en-US"/>
        </w:rPr>
        <w:t>“</w:t>
      </w:r>
      <w:r w:rsidR="006D4E6B" w:rsidRPr="00297B79">
        <w:rPr>
          <w:rFonts w:ascii="Times New Roman" w:hAnsi="Times New Roman" w:cs="Times New Roman"/>
          <w:lang w:val="en-US"/>
        </w:rPr>
        <w:t>light of day</w:t>
      </w:r>
      <w:r w:rsidR="00297B79">
        <w:rPr>
          <w:rFonts w:ascii="Times New Roman" w:hAnsi="Times New Roman" w:cs="Times New Roman"/>
          <w:lang w:val="en-US"/>
        </w:rPr>
        <w:t>”</w:t>
      </w:r>
      <w:r w:rsidR="006D4E6B" w:rsidRPr="00297B79">
        <w:rPr>
          <w:rFonts w:ascii="Times New Roman" w:hAnsi="Times New Roman" w:cs="Times New Roman"/>
          <w:lang w:val="en-US"/>
        </w:rPr>
        <w:t xml:space="preserve"> as possible</w:t>
      </w:r>
      <w:r>
        <w:rPr>
          <w:rFonts w:ascii="Times New Roman" w:hAnsi="Times New Roman" w:cs="Times New Roman"/>
          <w:lang w:val="en-US"/>
        </w:rPr>
        <w:t>. B</w:t>
      </w:r>
      <w:r w:rsidR="00297B79">
        <w:rPr>
          <w:rFonts w:ascii="Times New Roman" w:hAnsi="Times New Roman" w:cs="Times New Roman"/>
          <w:lang w:val="en-US"/>
        </w:rPr>
        <w:t>oth t</w:t>
      </w:r>
      <w:r w:rsidR="006D4E6B" w:rsidRPr="00297B79">
        <w:rPr>
          <w:rFonts w:ascii="Times New Roman" w:hAnsi="Times New Roman" w:cs="Times New Roman"/>
          <w:lang w:val="en-US"/>
        </w:rPr>
        <w:t>he Certificate and Statement of Reasons</w:t>
      </w:r>
      <w:r w:rsidR="00297B79">
        <w:rPr>
          <w:rFonts w:ascii="Times New Roman" w:hAnsi="Times New Roman" w:cs="Times New Roman"/>
          <w:lang w:val="en-US"/>
        </w:rPr>
        <w:t xml:space="preserve"> were appended to the Judgment.</w:t>
      </w:r>
    </w:p>
    <w:p w:rsidR="00297B79" w:rsidRDefault="00297B79" w:rsidP="00297B79">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6E25B7" w:rsidRPr="00B06E78" w:rsidRDefault="00B06E78" w:rsidP="006E25B7">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The </w:t>
      </w:r>
      <w:r w:rsidR="00375D07">
        <w:rPr>
          <w:rFonts w:ascii="Times New Roman" w:hAnsi="Times New Roman" w:cs="Times New Roman"/>
          <w:lang w:val="en-US"/>
        </w:rPr>
        <w:t>debate on how the Court was to adjudicate on “reasonable grounds” is particularly</w:t>
      </w:r>
      <w:r>
        <w:rPr>
          <w:rFonts w:ascii="Times New Roman" w:hAnsi="Times New Roman" w:cs="Times New Roman"/>
          <w:lang w:val="en-US"/>
        </w:rPr>
        <w:t xml:space="preserve"> interesting</w:t>
      </w:r>
      <w:r w:rsidR="00375D07">
        <w:rPr>
          <w:rFonts w:ascii="Times New Roman" w:hAnsi="Times New Roman" w:cs="Times New Roman"/>
          <w:lang w:val="en-US"/>
        </w:rPr>
        <w:t xml:space="preserve">. Davis LJ regarded </w:t>
      </w:r>
      <w:r w:rsidR="006D4E6B" w:rsidRPr="00375D07">
        <w:rPr>
          <w:rFonts w:ascii="Times New Roman" w:hAnsi="Times New Roman" w:cs="Times New Roman"/>
          <w:lang w:val="en-US"/>
        </w:rPr>
        <w:t>the bright-line classification of the issues as either issues of fact or issues of law or issues of mixed fact and law</w:t>
      </w:r>
      <w:r>
        <w:rPr>
          <w:rFonts w:ascii="Times New Roman" w:hAnsi="Times New Roman" w:cs="Times New Roman"/>
          <w:lang w:val="en-US"/>
        </w:rPr>
        <w:t xml:space="preserve"> as not helpful. H</w:t>
      </w:r>
      <w:r w:rsidR="00375D07">
        <w:rPr>
          <w:rFonts w:ascii="Times New Roman" w:hAnsi="Times New Roman" w:cs="Times New Roman"/>
          <w:lang w:val="en-US"/>
        </w:rPr>
        <w:t>e considered it did</w:t>
      </w:r>
      <w:r>
        <w:rPr>
          <w:rFonts w:ascii="Times New Roman" w:hAnsi="Times New Roman" w:cs="Times New Roman"/>
          <w:lang w:val="en-US"/>
        </w:rPr>
        <w:t xml:space="preserve"> not reflect the reality</w:t>
      </w:r>
      <w:r w:rsidR="006D4E6B" w:rsidRPr="00375D07">
        <w:rPr>
          <w:rFonts w:ascii="Times New Roman" w:hAnsi="Times New Roman" w:cs="Times New Roman"/>
          <w:lang w:val="en-US"/>
        </w:rPr>
        <w:t xml:space="preserve">. </w:t>
      </w:r>
      <w:r>
        <w:rPr>
          <w:rFonts w:ascii="Times New Roman" w:hAnsi="Times New Roman" w:cs="Times New Roman"/>
          <w:lang w:val="en-US"/>
        </w:rPr>
        <w:t xml:space="preserve">The thought </w:t>
      </w:r>
      <w:r w:rsidR="00375D07">
        <w:rPr>
          <w:rFonts w:ascii="Times New Roman" w:hAnsi="Times New Roman" w:cs="Times New Roman"/>
          <w:lang w:val="en-US"/>
        </w:rPr>
        <w:t xml:space="preserve">that it did not involve a dispute based on a </w:t>
      </w:r>
      <w:r w:rsidR="006D4E6B" w:rsidRPr="00375D07">
        <w:rPr>
          <w:rFonts w:ascii="Times New Roman" w:hAnsi="Times New Roman" w:cs="Times New Roman"/>
          <w:lang w:val="en-US"/>
        </w:rPr>
        <w:t>challenge to a primary finding of fact</w:t>
      </w:r>
      <w:r w:rsidR="00375D07">
        <w:rPr>
          <w:rFonts w:ascii="Times New Roman" w:hAnsi="Times New Roman" w:cs="Times New Roman"/>
          <w:lang w:val="en-US"/>
        </w:rPr>
        <w:t xml:space="preserve"> or a </w:t>
      </w:r>
      <w:r w:rsidR="006D4E6B" w:rsidRPr="00375D07">
        <w:rPr>
          <w:rFonts w:ascii="Times New Roman" w:hAnsi="Times New Roman" w:cs="Times New Roman"/>
          <w:lang w:val="en-US"/>
        </w:rPr>
        <w:t>challenge to a ruling of law</w:t>
      </w:r>
      <w:r w:rsidR="00375D07">
        <w:rPr>
          <w:rFonts w:ascii="Times New Roman" w:hAnsi="Times New Roman" w:cs="Times New Roman"/>
          <w:lang w:val="en-US"/>
        </w:rPr>
        <w:t>, but a difficult exercise in evaluation, ultimately depending on the weight to be accorded to the various competing factors.</w:t>
      </w:r>
    </w:p>
    <w:p w:rsidR="00B06E78" w:rsidRDefault="00B06E78" w:rsidP="00B06E78">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6D4E6B" w:rsidRPr="006E25B7" w:rsidRDefault="006E25B7" w:rsidP="006E25B7">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The Court also rejected an argument that the power under s.53 of FOIA </w:t>
      </w:r>
      <w:r w:rsidR="006D4E6B" w:rsidRPr="006E25B7">
        <w:rPr>
          <w:rFonts w:ascii="Times New Roman" w:hAnsi="Times New Roman" w:cs="Times New Roman"/>
          <w:lang w:val="en-US"/>
        </w:rPr>
        <w:t xml:space="preserve">was not compatible with the </w:t>
      </w:r>
      <w:r>
        <w:rPr>
          <w:rFonts w:ascii="Times New Roman" w:hAnsi="Times New Roman" w:cs="Times New Roman"/>
          <w:lang w:val="en-US"/>
        </w:rPr>
        <w:t xml:space="preserve">Council </w:t>
      </w:r>
      <w:r w:rsidR="006D4E6B" w:rsidRPr="006E25B7">
        <w:rPr>
          <w:rFonts w:ascii="Times New Roman" w:hAnsi="Times New Roman" w:cs="Times New Roman"/>
          <w:lang w:val="en-US"/>
        </w:rPr>
        <w:t>Directive</w:t>
      </w:r>
      <w:r>
        <w:rPr>
          <w:rFonts w:ascii="Times New Roman" w:hAnsi="Times New Roman" w:cs="Times New Roman"/>
          <w:lang w:val="en-US"/>
        </w:rPr>
        <w:t xml:space="preserve"> 2003/4/EC on public access to environmental information</w:t>
      </w:r>
      <w:r w:rsidR="00B06E78">
        <w:rPr>
          <w:rFonts w:ascii="Times New Roman" w:hAnsi="Times New Roman" w:cs="Times New Roman"/>
          <w:lang w:val="en-US"/>
        </w:rPr>
        <w:t xml:space="preserve">, </w:t>
      </w:r>
      <w:r w:rsidR="006D4E6B" w:rsidRPr="006E25B7">
        <w:rPr>
          <w:rFonts w:ascii="Times New Roman" w:hAnsi="Times New Roman" w:cs="Times New Roman"/>
          <w:lang w:val="en-US"/>
        </w:rPr>
        <w:t>or with Article 47 of the EU Charter of Funda</w:t>
      </w:r>
      <w:r w:rsidR="00B06E78">
        <w:rPr>
          <w:rFonts w:ascii="Times New Roman" w:hAnsi="Times New Roman" w:cs="Times New Roman"/>
          <w:lang w:val="en-US"/>
        </w:rPr>
        <w:t>mental Rights.  These arguments had been made</w:t>
      </w:r>
      <w:r>
        <w:rPr>
          <w:rFonts w:ascii="Times New Roman" w:hAnsi="Times New Roman" w:cs="Times New Roman"/>
          <w:lang w:val="en-US"/>
        </w:rPr>
        <w:t xml:space="preserve"> having regard to </w:t>
      </w:r>
      <w:r w:rsidR="006D4E6B" w:rsidRPr="006E25B7">
        <w:rPr>
          <w:rFonts w:ascii="Times New Roman" w:hAnsi="Times New Roman" w:cs="Times New Roman"/>
          <w:lang w:val="en-US"/>
        </w:rPr>
        <w:t xml:space="preserve">the Implementation Guide to the Aarhus Convention and to the recommendations of the Aarhus Convention Compliance Committee (ACCC/C/2008/33) published in 2011 relating to compliance by the United Kingdom with the Aarhus Convention in respect of a licence issued concerning the Port of Tyne. In the course of such recommendations the Committee </w:t>
      </w:r>
      <w:r>
        <w:rPr>
          <w:rFonts w:ascii="Times New Roman" w:hAnsi="Times New Roman" w:cs="Times New Roman"/>
          <w:lang w:val="en-US"/>
        </w:rPr>
        <w:t xml:space="preserve">had </w:t>
      </w:r>
      <w:r w:rsidR="006D4E6B" w:rsidRPr="006E25B7">
        <w:rPr>
          <w:rFonts w:ascii="Times New Roman" w:hAnsi="Times New Roman" w:cs="Times New Roman"/>
          <w:lang w:val="en-US"/>
        </w:rPr>
        <w:t>queried whether judicial review met the standards required for review by the Aarhus Convention with regard to "substantive legality".</w:t>
      </w:r>
      <w:r w:rsidR="00B06E78">
        <w:rPr>
          <w:rFonts w:ascii="Times New Roman" w:hAnsi="Times New Roman" w:cs="Times New Roman"/>
          <w:lang w:val="en-US"/>
        </w:rPr>
        <w:t xml:space="preserve">  The Court rejected concerns of this kind.</w:t>
      </w:r>
    </w:p>
    <w:p w:rsidR="006D4E6B" w:rsidRDefault="006D4E6B" w:rsidP="00177D42">
      <w:pPr>
        <w:pStyle w:val="ListParagraph"/>
        <w:jc w:val="both"/>
        <w:rPr>
          <w:rFonts w:ascii="Times New Roman" w:hAnsi="Times New Roman" w:cs="Times New Roman"/>
          <w:lang w:val="en-US"/>
        </w:rPr>
      </w:pPr>
    </w:p>
    <w:p w:rsidR="009C028F" w:rsidRPr="00DE1E50" w:rsidRDefault="009C028F" w:rsidP="009C028F">
      <w:pPr>
        <w:pStyle w:val="ListParagraph"/>
        <w:jc w:val="both"/>
        <w:rPr>
          <w:rFonts w:ascii="Times New Roman" w:hAnsi="Times New Roman" w:cs="Times New Roman"/>
          <w:i/>
          <w:lang w:val="en-US"/>
        </w:rPr>
      </w:pPr>
      <w:r>
        <w:rPr>
          <w:rFonts w:ascii="Times New Roman" w:hAnsi="Times New Roman" w:cs="Times New Roman"/>
          <w:i/>
          <w:lang w:val="en-US"/>
        </w:rPr>
        <w:t>Bank Mellat</w:t>
      </w:r>
      <w:r>
        <w:rPr>
          <w:rFonts w:ascii="Times New Roman" w:hAnsi="Times New Roman" w:cs="Times New Roman"/>
          <w:lang w:val="en-US"/>
        </w:rPr>
        <w:t xml:space="preserve"> </w:t>
      </w:r>
      <w:r w:rsidR="00DE1E50">
        <w:rPr>
          <w:rFonts w:ascii="Times New Roman" w:hAnsi="Times New Roman" w:cs="Times New Roman"/>
          <w:lang w:val="en-US"/>
        </w:rPr>
        <w:t xml:space="preserve">v </w:t>
      </w:r>
      <w:r w:rsidR="00DE1E50">
        <w:rPr>
          <w:rFonts w:ascii="Times New Roman" w:hAnsi="Times New Roman" w:cs="Times New Roman"/>
          <w:i/>
          <w:lang w:val="en-US"/>
        </w:rPr>
        <w:t xml:space="preserve">(No.1) </w:t>
      </w:r>
    </w:p>
    <w:p w:rsidR="009C028F" w:rsidRDefault="006E25B7" w:rsidP="009C028F">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Questions of secrecy in terms of the use of closed procedures in </w:t>
      </w:r>
      <w:r w:rsidR="00371669">
        <w:rPr>
          <w:rFonts w:ascii="Times New Roman" w:hAnsi="Times New Roman" w:cs="Times New Roman"/>
          <w:lang w:val="en-US"/>
        </w:rPr>
        <w:t>c</w:t>
      </w:r>
      <w:r>
        <w:rPr>
          <w:rFonts w:ascii="Times New Roman" w:hAnsi="Times New Roman" w:cs="Times New Roman"/>
          <w:lang w:val="en-US"/>
        </w:rPr>
        <w:t>ourt proceedings ha</w:t>
      </w:r>
      <w:r w:rsidR="00371669">
        <w:rPr>
          <w:rFonts w:ascii="Times New Roman" w:hAnsi="Times New Roman" w:cs="Times New Roman"/>
          <w:lang w:val="en-US"/>
        </w:rPr>
        <w:t>ve</w:t>
      </w:r>
      <w:r>
        <w:rPr>
          <w:rFonts w:ascii="Times New Roman" w:hAnsi="Times New Roman" w:cs="Times New Roman"/>
          <w:lang w:val="en-US"/>
        </w:rPr>
        <w:t xml:space="preserve"> continued to </w:t>
      </w:r>
      <w:r w:rsidR="00DE1E50">
        <w:rPr>
          <w:rFonts w:ascii="Times New Roman" w:hAnsi="Times New Roman" w:cs="Times New Roman"/>
          <w:lang w:val="en-US"/>
        </w:rPr>
        <w:t>pose difficult questions</w:t>
      </w:r>
      <w:r w:rsidR="00371669">
        <w:rPr>
          <w:rFonts w:ascii="Times New Roman" w:hAnsi="Times New Roman" w:cs="Times New Roman"/>
          <w:lang w:val="en-US"/>
        </w:rPr>
        <w:t xml:space="preserve">, even now for the highest court in the land.  Each time it raises </w:t>
      </w:r>
      <w:r w:rsidR="00B06E78">
        <w:rPr>
          <w:rFonts w:ascii="Times New Roman" w:hAnsi="Times New Roman" w:cs="Times New Roman"/>
          <w:lang w:val="en-US"/>
        </w:rPr>
        <w:t xml:space="preserve">the basic tension between the </w:t>
      </w:r>
      <w:r w:rsidR="00DE1E50">
        <w:rPr>
          <w:rFonts w:ascii="Times New Roman" w:hAnsi="Times New Roman" w:cs="Times New Roman"/>
          <w:lang w:val="en-US"/>
        </w:rPr>
        <w:t>fundamental principles of a fair justice system</w:t>
      </w:r>
      <w:r w:rsidR="00B06E78">
        <w:rPr>
          <w:rFonts w:ascii="Times New Roman" w:hAnsi="Times New Roman" w:cs="Times New Roman"/>
          <w:lang w:val="en-US"/>
        </w:rPr>
        <w:t xml:space="preserve"> a</w:t>
      </w:r>
      <w:r w:rsidR="00371669">
        <w:rPr>
          <w:rFonts w:ascii="Times New Roman" w:hAnsi="Times New Roman" w:cs="Times New Roman"/>
          <w:lang w:val="en-US"/>
        </w:rPr>
        <w:t>nd</w:t>
      </w:r>
      <w:r w:rsidR="00DE1E50">
        <w:rPr>
          <w:rFonts w:ascii="Times New Roman" w:hAnsi="Times New Roman" w:cs="Times New Roman"/>
          <w:lang w:val="en-US"/>
        </w:rPr>
        <w:t xml:space="preserve"> the problem of </w:t>
      </w:r>
      <w:r w:rsidR="00371669">
        <w:rPr>
          <w:rFonts w:ascii="Times New Roman" w:hAnsi="Times New Roman" w:cs="Times New Roman"/>
          <w:lang w:val="en-US"/>
        </w:rPr>
        <w:t>non-</w:t>
      </w:r>
      <w:r w:rsidR="00DE1E50">
        <w:rPr>
          <w:rFonts w:ascii="Times New Roman" w:hAnsi="Times New Roman" w:cs="Times New Roman"/>
          <w:lang w:val="en-US"/>
        </w:rPr>
        <w:t>disclosure of sensitive material.</w:t>
      </w:r>
    </w:p>
    <w:p w:rsidR="00DE1E50" w:rsidRDefault="00DE1E50" w:rsidP="00DE1E50">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530CA9" w:rsidRPr="00530CA9" w:rsidRDefault="00B06E78" w:rsidP="00530CA9">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By way of background, it will be recalled</w:t>
      </w:r>
      <w:r w:rsidR="00DE1E50">
        <w:rPr>
          <w:rFonts w:ascii="Times New Roman" w:hAnsi="Times New Roman" w:cs="Times New Roman"/>
          <w:lang w:val="en-US"/>
        </w:rPr>
        <w:t xml:space="preserve"> that in </w:t>
      </w:r>
      <w:r w:rsidR="00DE1E50">
        <w:rPr>
          <w:rFonts w:ascii="Times New Roman" w:hAnsi="Times New Roman" w:cs="Times New Roman"/>
          <w:i/>
          <w:lang w:val="en-US"/>
        </w:rPr>
        <w:t xml:space="preserve">Al Rawi v The Security Service and others </w:t>
      </w:r>
      <w:r w:rsidR="00DE1E50">
        <w:rPr>
          <w:rFonts w:ascii="Times New Roman" w:hAnsi="Times New Roman" w:cs="Times New Roman"/>
          <w:lang w:val="en-US"/>
        </w:rPr>
        <w:t>[2011] UKSC 34, the Supreme Court seem</w:t>
      </w:r>
      <w:r w:rsidR="00530CA9">
        <w:rPr>
          <w:rFonts w:ascii="Times New Roman" w:hAnsi="Times New Roman" w:cs="Times New Roman"/>
          <w:lang w:val="en-US"/>
        </w:rPr>
        <w:t xml:space="preserve">ingly conclusively rejected any development of the common law to enable </w:t>
      </w:r>
      <w:r w:rsidR="00DE1E50">
        <w:rPr>
          <w:rFonts w:ascii="Times New Roman" w:hAnsi="Times New Roman" w:cs="Times New Roman"/>
          <w:lang w:val="en-US"/>
        </w:rPr>
        <w:t>use of a “closed material procedure” in the whole</w:t>
      </w:r>
      <w:r>
        <w:rPr>
          <w:rFonts w:ascii="Times New Roman" w:hAnsi="Times New Roman" w:cs="Times New Roman"/>
          <w:lang w:val="en-US"/>
        </w:rPr>
        <w:t>,</w:t>
      </w:r>
      <w:r w:rsidR="00DE1E50">
        <w:rPr>
          <w:rFonts w:ascii="Times New Roman" w:hAnsi="Times New Roman" w:cs="Times New Roman"/>
          <w:lang w:val="en-US"/>
        </w:rPr>
        <w:t xml:space="preserve"> or part</w:t>
      </w:r>
      <w:r>
        <w:rPr>
          <w:rFonts w:ascii="Times New Roman" w:hAnsi="Times New Roman" w:cs="Times New Roman"/>
          <w:lang w:val="en-US"/>
        </w:rPr>
        <w:t>,</w:t>
      </w:r>
      <w:r w:rsidR="00DE1E50">
        <w:rPr>
          <w:rFonts w:ascii="Times New Roman" w:hAnsi="Times New Roman" w:cs="Times New Roman"/>
          <w:lang w:val="en-US"/>
        </w:rPr>
        <w:t xml:space="preserve"> of the trial of a civil claim </w:t>
      </w:r>
      <w:r>
        <w:rPr>
          <w:rFonts w:ascii="Times New Roman" w:hAnsi="Times New Roman" w:cs="Times New Roman"/>
          <w:lang w:val="en-US"/>
        </w:rPr>
        <w:t>absent</w:t>
      </w:r>
      <w:r w:rsidR="00DE1E50">
        <w:rPr>
          <w:rFonts w:ascii="Times New Roman" w:hAnsi="Times New Roman" w:cs="Times New Roman"/>
          <w:lang w:val="en-US"/>
        </w:rPr>
        <w:t xml:space="preserve"> specific legislation permitting such a procedure.</w:t>
      </w:r>
    </w:p>
    <w:p w:rsidR="00530CA9" w:rsidRDefault="00530CA9" w:rsidP="00530CA9">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5A2020" w:rsidRPr="00B06E78" w:rsidRDefault="00530CA9" w:rsidP="005A2020">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In so doing, the Supreme Court recognised that the absence of such a procedure might mean it would still be necessary to strike out a claim such as that which arose in </w:t>
      </w:r>
      <w:r>
        <w:rPr>
          <w:rFonts w:ascii="Times New Roman" w:hAnsi="Times New Roman" w:cs="Times New Roman"/>
          <w:i/>
          <w:lang w:val="en-US"/>
        </w:rPr>
        <w:t xml:space="preserve">Carnduff v Rock </w:t>
      </w:r>
      <w:r>
        <w:rPr>
          <w:rFonts w:ascii="Times New Roman" w:hAnsi="Times New Roman" w:cs="Times New Roman"/>
          <w:lang w:val="en-US"/>
        </w:rPr>
        <w:t xml:space="preserve">[2001] EWCA Civ 680; [2001] 1 WLR 1786.  </w:t>
      </w:r>
      <w:r w:rsidR="00B06E78">
        <w:rPr>
          <w:rFonts w:ascii="Times New Roman" w:hAnsi="Times New Roman" w:cs="Times New Roman"/>
          <w:lang w:val="en-US"/>
        </w:rPr>
        <w:t>There</w:t>
      </w:r>
      <w:r w:rsidR="00371669">
        <w:rPr>
          <w:rFonts w:ascii="Times New Roman" w:hAnsi="Times New Roman" w:cs="Times New Roman"/>
          <w:lang w:val="en-US"/>
        </w:rPr>
        <w:t>,</w:t>
      </w:r>
      <w:r w:rsidR="00B06E78">
        <w:rPr>
          <w:rFonts w:ascii="Times New Roman" w:hAnsi="Times New Roman" w:cs="Times New Roman"/>
          <w:lang w:val="en-US"/>
        </w:rPr>
        <w:t xml:space="preserve"> a</w:t>
      </w:r>
      <w:r w:rsidRPr="00530CA9">
        <w:rPr>
          <w:rFonts w:ascii="Times New Roman" w:hAnsi="Times New Roman" w:cs="Times New Roman"/>
          <w:lang w:val="en-US"/>
        </w:rPr>
        <w:t xml:space="preserve"> registered police informer </w:t>
      </w:r>
      <w:r w:rsidR="00B06E78">
        <w:rPr>
          <w:rFonts w:ascii="Times New Roman" w:hAnsi="Times New Roman" w:cs="Times New Roman"/>
          <w:lang w:val="en-US"/>
        </w:rPr>
        <w:t>sought</w:t>
      </w:r>
      <w:r>
        <w:rPr>
          <w:rFonts w:ascii="Times New Roman" w:hAnsi="Times New Roman" w:cs="Times New Roman"/>
          <w:lang w:val="en-US"/>
        </w:rPr>
        <w:t xml:space="preserve"> to </w:t>
      </w:r>
      <w:r w:rsidRPr="00530CA9">
        <w:rPr>
          <w:rFonts w:ascii="Times New Roman" w:hAnsi="Times New Roman" w:cs="Times New Roman"/>
          <w:lang w:val="en-US"/>
        </w:rPr>
        <w:t xml:space="preserve">recover payment for </w:t>
      </w:r>
      <w:r w:rsidRPr="00530CA9">
        <w:rPr>
          <w:rFonts w:ascii="Times New Roman" w:hAnsi="Times New Roman" w:cs="Times New Roman"/>
          <w:lang w:val="en-US"/>
        </w:rPr>
        <w:lastRenderedPageBreak/>
        <w:t>information and assistance provided to the police. The defendants denied any contractual liability to make such payments or that any information or assistance provided by the plaintiff had led to the arrests or th</w:t>
      </w:r>
      <w:r w:rsidR="005A2020">
        <w:rPr>
          <w:rFonts w:ascii="Times New Roman" w:hAnsi="Times New Roman" w:cs="Times New Roman"/>
          <w:lang w:val="en-US"/>
        </w:rPr>
        <w:t xml:space="preserve">e prosecutions alleged. The </w:t>
      </w:r>
      <w:r w:rsidRPr="00530CA9">
        <w:rPr>
          <w:rFonts w:ascii="Times New Roman" w:hAnsi="Times New Roman" w:cs="Times New Roman"/>
          <w:lang w:val="en-US"/>
        </w:rPr>
        <w:t xml:space="preserve">Court of Appeal </w:t>
      </w:r>
      <w:r>
        <w:rPr>
          <w:rFonts w:ascii="Times New Roman" w:hAnsi="Times New Roman" w:cs="Times New Roman"/>
          <w:lang w:val="en-US"/>
        </w:rPr>
        <w:t xml:space="preserve">concluded </w:t>
      </w:r>
      <w:r w:rsidRPr="00530CA9">
        <w:rPr>
          <w:rFonts w:ascii="Times New Roman" w:hAnsi="Times New Roman" w:cs="Times New Roman"/>
          <w:lang w:val="en-US"/>
        </w:rPr>
        <w:t>that a fair trial of the issues raised by the pleadings would require the police to disclose, and the court to investigate and adjudicate upon, sensitive information which should in the public interest remain confidential to the police.</w:t>
      </w:r>
      <w:r w:rsidR="00B06E78">
        <w:rPr>
          <w:rFonts w:ascii="Times New Roman" w:hAnsi="Times New Roman" w:cs="Times New Roman"/>
          <w:lang w:val="en-US"/>
        </w:rPr>
        <w:t xml:space="preserve">  It therefore struck out the claim.</w:t>
      </w:r>
    </w:p>
    <w:p w:rsidR="00B06E78" w:rsidRDefault="00B06E78" w:rsidP="00B06E78">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5A2020" w:rsidRPr="00B06E78" w:rsidRDefault="00B06E78" w:rsidP="005A2020">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In </w:t>
      </w:r>
      <w:r>
        <w:rPr>
          <w:rFonts w:ascii="Times New Roman" w:hAnsi="Times New Roman" w:cs="Times New Roman"/>
          <w:i/>
          <w:lang w:val="en-US"/>
        </w:rPr>
        <w:t xml:space="preserve">Al Rawi </w:t>
      </w:r>
      <w:r>
        <w:rPr>
          <w:rFonts w:ascii="Times New Roman" w:hAnsi="Times New Roman" w:cs="Times New Roman"/>
          <w:lang w:val="en-US"/>
        </w:rPr>
        <w:t>t</w:t>
      </w:r>
      <w:r w:rsidR="00530CA9" w:rsidRPr="005A2020">
        <w:rPr>
          <w:rFonts w:ascii="Times New Roman" w:hAnsi="Times New Roman" w:cs="Times New Roman"/>
          <w:lang w:val="en-US"/>
        </w:rPr>
        <w:t>he Supreme Court considered such cases were a rarity, but not ones which justified extending the common law in the way suggested.</w:t>
      </w:r>
    </w:p>
    <w:p w:rsidR="00B06E78" w:rsidRDefault="00B06E78" w:rsidP="00B06E78">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B06E78" w:rsidRPr="00B06E78" w:rsidRDefault="005A2020" w:rsidP="00B06E78">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In </w:t>
      </w:r>
      <w:proofErr w:type="gramStart"/>
      <w:r w:rsidRPr="00162014">
        <w:rPr>
          <w:rFonts w:ascii="Times New Roman" w:hAnsi="Times New Roman" w:cs="Times New Roman"/>
          <w:i/>
          <w:lang w:val="en-US"/>
        </w:rPr>
        <w:t>R(</w:t>
      </w:r>
      <w:proofErr w:type="gramEnd"/>
      <w:r w:rsidRPr="00162014">
        <w:rPr>
          <w:rFonts w:ascii="Times New Roman" w:hAnsi="Times New Roman" w:cs="Times New Roman"/>
          <w:i/>
          <w:lang w:val="en-US"/>
        </w:rPr>
        <w:t>Mohammed) v Secretary of State for Defence</w:t>
      </w:r>
      <w:r>
        <w:rPr>
          <w:rFonts w:ascii="Times New Roman" w:hAnsi="Times New Roman" w:cs="Times New Roman"/>
          <w:lang w:val="en-US"/>
        </w:rPr>
        <w:t xml:space="preserve"> [2012] EWHC 3454, Moses LJ revisited the principles established in </w:t>
      </w:r>
      <w:r>
        <w:rPr>
          <w:rFonts w:ascii="Times New Roman" w:hAnsi="Times New Roman" w:cs="Times New Roman"/>
          <w:i/>
          <w:lang w:val="en-US"/>
        </w:rPr>
        <w:t xml:space="preserve">Al Rawi </w:t>
      </w:r>
      <w:r>
        <w:rPr>
          <w:rFonts w:ascii="Times New Roman" w:hAnsi="Times New Roman" w:cs="Times New Roman"/>
          <w:lang w:val="en-US"/>
        </w:rPr>
        <w:t>in adopting a “confidentiality ring” procedure</w:t>
      </w:r>
      <w:r w:rsidR="00B06E78">
        <w:rPr>
          <w:rFonts w:ascii="Times New Roman" w:hAnsi="Times New Roman" w:cs="Times New Roman"/>
          <w:lang w:val="en-US"/>
        </w:rPr>
        <w:t xml:space="preserve">.  Under this process, </w:t>
      </w:r>
      <w:r w:rsidR="0039319D">
        <w:rPr>
          <w:rFonts w:ascii="Times New Roman" w:hAnsi="Times New Roman" w:cs="Times New Roman"/>
          <w:lang w:val="en-US"/>
        </w:rPr>
        <w:t xml:space="preserve">information for which PII had been claimed could, as a matter of principle, be provided to the Claimant’s lawyers only and considered </w:t>
      </w:r>
      <w:r w:rsidR="0039319D">
        <w:rPr>
          <w:rFonts w:ascii="Times New Roman" w:hAnsi="Times New Roman" w:cs="Times New Roman"/>
          <w:i/>
          <w:lang w:val="en-US"/>
        </w:rPr>
        <w:t>in camera</w:t>
      </w:r>
      <w:r w:rsidR="0039319D">
        <w:rPr>
          <w:rFonts w:ascii="Times New Roman" w:hAnsi="Times New Roman" w:cs="Times New Roman"/>
          <w:lang w:val="en-US"/>
        </w:rPr>
        <w:t xml:space="preserve">. </w:t>
      </w:r>
    </w:p>
    <w:p w:rsidR="00B06E78" w:rsidRDefault="00B06E78" w:rsidP="00B06E78">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B06E78" w:rsidRPr="00B06E78" w:rsidRDefault="0039319D" w:rsidP="00B06E78">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In </w:t>
      </w:r>
      <w:r w:rsidR="00B06E78">
        <w:rPr>
          <w:rFonts w:ascii="Times New Roman" w:hAnsi="Times New Roman" w:cs="Times New Roman"/>
          <w:lang w:val="en-US"/>
        </w:rPr>
        <w:t>using this procedure</w:t>
      </w:r>
      <w:r>
        <w:rPr>
          <w:rFonts w:ascii="Times New Roman" w:hAnsi="Times New Roman" w:cs="Times New Roman"/>
          <w:lang w:val="en-US"/>
        </w:rPr>
        <w:t xml:space="preserve">, Moses LJ rejected the notion that this practice had been </w:t>
      </w:r>
      <w:r w:rsidR="00530CA9" w:rsidRPr="0039319D">
        <w:rPr>
          <w:rFonts w:ascii="Times New Roman" w:hAnsi="Times New Roman" w:cs="Times New Roman"/>
          <w:lang w:val="en-US"/>
        </w:rPr>
        <w:t xml:space="preserve">ruled impermissible </w:t>
      </w:r>
      <w:r>
        <w:rPr>
          <w:rFonts w:ascii="Times New Roman" w:hAnsi="Times New Roman" w:cs="Times New Roman"/>
          <w:lang w:val="en-US"/>
        </w:rPr>
        <w:t xml:space="preserve">by </w:t>
      </w:r>
      <w:r w:rsidR="00530CA9" w:rsidRPr="0039319D">
        <w:rPr>
          <w:rFonts w:ascii="Times New Roman" w:hAnsi="Times New Roman" w:cs="Times New Roman"/>
          <w:lang w:val="en-US"/>
        </w:rPr>
        <w:t xml:space="preserve">the House of Lords in </w:t>
      </w:r>
      <w:r w:rsidR="00530CA9" w:rsidRPr="0039319D">
        <w:rPr>
          <w:rFonts w:ascii="Times New Roman" w:hAnsi="Times New Roman" w:cs="Times New Roman"/>
          <w:i/>
          <w:iCs/>
          <w:lang w:val="en-US"/>
        </w:rPr>
        <w:t>Somerville v Scottish Ministers</w:t>
      </w:r>
      <w:r>
        <w:rPr>
          <w:rFonts w:ascii="Times New Roman" w:hAnsi="Times New Roman" w:cs="Times New Roman"/>
          <w:i/>
          <w:iCs/>
          <w:lang w:val="en-US"/>
        </w:rPr>
        <w:t xml:space="preserve"> </w:t>
      </w:r>
      <w:r>
        <w:rPr>
          <w:rFonts w:ascii="Times New Roman" w:hAnsi="Times New Roman" w:cs="Times New Roman"/>
          <w:iCs/>
          <w:lang w:val="en-US"/>
        </w:rPr>
        <w:t xml:space="preserve">[2007] 1 WLR 2734 or by </w:t>
      </w:r>
      <w:r>
        <w:rPr>
          <w:rFonts w:ascii="Times New Roman" w:hAnsi="Times New Roman" w:cs="Times New Roman"/>
          <w:i/>
          <w:iCs/>
          <w:lang w:val="en-US"/>
        </w:rPr>
        <w:t>Al Rawi</w:t>
      </w:r>
      <w:r>
        <w:rPr>
          <w:rFonts w:ascii="Times New Roman" w:hAnsi="Times New Roman" w:cs="Times New Roman"/>
          <w:iCs/>
          <w:lang w:val="en-US"/>
        </w:rPr>
        <w:t>.  Moses LJ considered that a confidentiality ring of the typ</w:t>
      </w:r>
      <w:r w:rsidR="00B06E78">
        <w:rPr>
          <w:rFonts w:ascii="Times New Roman" w:hAnsi="Times New Roman" w:cs="Times New Roman"/>
          <w:iCs/>
          <w:lang w:val="en-US"/>
        </w:rPr>
        <w:t>e proposed avoided the difficul</w:t>
      </w:r>
      <w:r>
        <w:rPr>
          <w:rFonts w:ascii="Times New Roman" w:hAnsi="Times New Roman" w:cs="Times New Roman"/>
          <w:iCs/>
          <w:lang w:val="en-US"/>
        </w:rPr>
        <w:t xml:space="preserve">ties identified in those other cases, and </w:t>
      </w:r>
      <w:r>
        <w:rPr>
          <w:rFonts w:ascii="Times New Roman" w:hAnsi="Times New Roman" w:cs="Times New Roman"/>
          <w:lang w:val="en-US"/>
        </w:rPr>
        <w:t xml:space="preserve">it </w:t>
      </w:r>
      <w:r w:rsidR="00530CA9" w:rsidRPr="0039319D">
        <w:rPr>
          <w:rFonts w:ascii="Times New Roman" w:hAnsi="Times New Roman" w:cs="Times New Roman"/>
          <w:lang w:val="en-US"/>
        </w:rPr>
        <w:t xml:space="preserve">would only be put in place </w:t>
      </w:r>
      <w:r w:rsidR="00530CA9" w:rsidRPr="0039319D">
        <w:rPr>
          <w:rFonts w:ascii="Times New Roman" w:hAnsi="Times New Roman" w:cs="Times New Roman"/>
          <w:i/>
          <w:iCs/>
          <w:lang w:val="en-US"/>
        </w:rPr>
        <w:t xml:space="preserve">after </w:t>
      </w:r>
      <w:r w:rsidR="00B06E78">
        <w:rPr>
          <w:rFonts w:ascii="Times New Roman" w:hAnsi="Times New Roman" w:cs="Times New Roman"/>
          <w:lang w:val="en-US"/>
        </w:rPr>
        <w:t xml:space="preserve">the court had </w:t>
      </w:r>
      <w:r w:rsidR="00530CA9" w:rsidRPr="0039319D">
        <w:rPr>
          <w:rFonts w:ascii="Times New Roman" w:hAnsi="Times New Roman" w:cs="Times New Roman"/>
          <w:lang w:val="en-US"/>
        </w:rPr>
        <w:t>considered the documents in respect</w:t>
      </w:r>
      <w:r>
        <w:rPr>
          <w:rFonts w:ascii="Times New Roman" w:hAnsi="Times New Roman" w:cs="Times New Roman"/>
          <w:lang w:val="en-US"/>
        </w:rPr>
        <w:t xml:space="preserve"> of which immunity is claimed. He considered it </w:t>
      </w:r>
      <w:r w:rsidR="00530CA9" w:rsidRPr="0039319D">
        <w:rPr>
          <w:rFonts w:ascii="Times New Roman" w:hAnsi="Times New Roman" w:cs="Times New Roman"/>
          <w:lang w:val="en-US"/>
        </w:rPr>
        <w:t>provide</w:t>
      </w:r>
      <w:r>
        <w:rPr>
          <w:rFonts w:ascii="Times New Roman" w:hAnsi="Times New Roman" w:cs="Times New Roman"/>
          <w:lang w:val="en-US"/>
        </w:rPr>
        <w:t>d</w:t>
      </w:r>
      <w:r w:rsidR="00530CA9" w:rsidRPr="0039319D">
        <w:rPr>
          <w:rFonts w:ascii="Times New Roman" w:hAnsi="Times New Roman" w:cs="Times New Roman"/>
          <w:lang w:val="en-US"/>
        </w:rPr>
        <w:t xml:space="preserve"> an alternative to a ruling either to u</w:t>
      </w:r>
      <w:r>
        <w:rPr>
          <w:rFonts w:ascii="Times New Roman" w:hAnsi="Times New Roman" w:cs="Times New Roman"/>
          <w:lang w:val="en-US"/>
        </w:rPr>
        <w:t>phold or reject the claim, whereas the</w:t>
      </w:r>
      <w:r w:rsidR="00B06E78">
        <w:rPr>
          <w:rFonts w:ascii="Times New Roman" w:hAnsi="Times New Roman" w:cs="Times New Roman"/>
          <w:lang w:val="en-US"/>
        </w:rPr>
        <w:t xml:space="preserve"> problem with the</w:t>
      </w:r>
      <w:r w:rsidR="00530CA9" w:rsidRPr="0039319D">
        <w:rPr>
          <w:rFonts w:ascii="Times New Roman" w:hAnsi="Times New Roman" w:cs="Times New Roman"/>
          <w:lang w:val="en-US"/>
        </w:rPr>
        <w:t xml:space="preserve"> procedure adopted in </w:t>
      </w:r>
      <w:r w:rsidR="00530CA9" w:rsidRPr="0039319D">
        <w:rPr>
          <w:rFonts w:ascii="Times New Roman" w:hAnsi="Times New Roman" w:cs="Times New Roman"/>
          <w:i/>
          <w:iCs/>
          <w:lang w:val="en-US"/>
        </w:rPr>
        <w:t xml:space="preserve">Somerville </w:t>
      </w:r>
      <w:r w:rsidRPr="00B06E78">
        <w:rPr>
          <w:rFonts w:ascii="Times New Roman" w:hAnsi="Times New Roman" w:cs="Times New Roman"/>
          <w:iCs/>
          <w:lang w:val="en-US"/>
        </w:rPr>
        <w:t>had</w:t>
      </w:r>
      <w:r w:rsidR="00B06E78">
        <w:rPr>
          <w:rFonts w:ascii="Times New Roman" w:hAnsi="Times New Roman" w:cs="Times New Roman"/>
          <w:iCs/>
          <w:lang w:val="en-US"/>
        </w:rPr>
        <w:t xml:space="preserve"> been that it had</w:t>
      </w:r>
      <w:r>
        <w:rPr>
          <w:rFonts w:ascii="Times New Roman" w:hAnsi="Times New Roman" w:cs="Times New Roman"/>
          <w:i/>
          <w:iCs/>
          <w:lang w:val="en-US"/>
        </w:rPr>
        <w:t xml:space="preserve"> </w:t>
      </w:r>
      <w:r w:rsidR="00530CA9" w:rsidRPr="0039319D">
        <w:rPr>
          <w:rFonts w:ascii="Times New Roman" w:hAnsi="Times New Roman" w:cs="Times New Roman"/>
          <w:lang w:val="en-US"/>
        </w:rPr>
        <w:t xml:space="preserve">breached the very protection which was sought by the Executive. </w:t>
      </w:r>
    </w:p>
    <w:p w:rsidR="00B06E78" w:rsidRDefault="00B06E78" w:rsidP="00B06E78">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162014" w:rsidRDefault="00B06E78" w:rsidP="00162014">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Moses LJ </w:t>
      </w:r>
      <w:r w:rsidR="0039319D">
        <w:rPr>
          <w:rFonts w:ascii="Times New Roman" w:hAnsi="Times New Roman" w:cs="Times New Roman"/>
          <w:lang w:val="en-US"/>
        </w:rPr>
        <w:t>considered that if</w:t>
      </w:r>
      <w:r w:rsidR="00530CA9" w:rsidRPr="0039319D">
        <w:rPr>
          <w:rFonts w:ascii="Times New Roman" w:hAnsi="Times New Roman" w:cs="Times New Roman"/>
          <w:lang w:val="en-US"/>
        </w:rPr>
        <w:t xml:space="preserve"> a court rule</w:t>
      </w:r>
      <w:r w:rsidR="0039319D">
        <w:rPr>
          <w:rFonts w:ascii="Times New Roman" w:hAnsi="Times New Roman" w:cs="Times New Roman"/>
          <w:lang w:val="en-US"/>
        </w:rPr>
        <w:t>d</w:t>
      </w:r>
      <w:r w:rsidR="00530CA9" w:rsidRPr="0039319D">
        <w:rPr>
          <w:rFonts w:ascii="Times New Roman" w:hAnsi="Times New Roman" w:cs="Times New Roman"/>
          <w:lang w:val="en-US"/>
        </w:rPr>
        <w:t xml:space="preserve"> in favour of a confidentiality ring, it </w:t>
      </w:r>
      <w:r w:rsidR="0039319D">
        <w:rPr>
          <w:rFonts w:ascii="Times New Roman" w:hAnsi="Times New Roman" w:cs="Times New Roman"/>
          <w:lang w:val="en-US"/>
        </w:rPr>
        <w:t>would be</w:t>
      </w:r>
      <w:r w:rsidR="00530CA9" w:rsidRPr="0039319D">
        <w:rPr>
          <w:rFonts w:ascii="Times New Roman" w:hAnsi="Times New Roman" w:cs="Times New Roman"/>
          <w:lang w:val="en-US"/>
        </w:rPr>
        <w:t xml:space="preserve"> deciding that the public interest demand</w:t>
      </w:r>
      <w:r w:rsidR="0039319D">
        <w:rPr>
          <w:rFonts w:ascii="Times New Roman" w:hAnsi="Times New Roman" w:cs="Times New Roman"/>
          <w:lang w:val="en-US"/>
        </w:rPr>
        <w:t>ed</w:t>
      </w:r>
      <w:r w:rsidR="00530CA9" w:rsidRPr="0039319D">
        <w:rPr>
          <w:rFonts w:ascii="Times New Roman" w:hAnsi="Times New Roman" w:cs="Times New Roman"/>
          <w:lang w:val="en-US"/>
        </w:rPr>
        <w:t xml:space="preserve"> not complete immunity but rather </w:t>
      </w:r>
      <w:r w:rsidR="0039319D">
        <w:rPr>
          <w:rFonts w:ascii="Times New Roman" w:hAnsi="Times New Roman" w:cs="Times New Roman"/>
          <w:lang w:val="en-US"/>
        </w:rPr>
        <w:t>it could</w:t>
      </w:r>
      <w:r w:rsidR="00530CA9" w:rsidRPr="0039319D">
        <w:rPr>
          <w:rFonts w:ascii="Times New Roman" w:hAnsi="Times New Roman" w:cs="Times New Roman"/>
          <w:lang w:val="en-US"/>
        </w:rPr>
        <w:t xml:space="preserve"> be protected by a more limited form of confidentiality.</w:t>
      </w:r>
      <w:r w:rsidR="00162014">
        <w:rPr>
          <w:rFonts w:ascii="Times New Roman" w:hAnsi="Times New Roman" w:cs="Times New Roman"/>
          <w:lang w:val="en-US"/>
        </w:rPr>
        <w:t xml:space="preserve"> </w:t>
      </w:r>
      <w:r w:rsidR="00B22F66">
        <w:rPr>
          <w:rFonts w:ascii="Times New Roman" w:hAnsi="Times New Roman" w:cs="Times New Roman"/>
          <w:lang w:val="en-US"/>
        </w:rPr>
        <w:t xml:space="preserve">He </w:t>
      </w:r>
      <w:r w:rsidR="00162014">
        <w:rPr>
          <w:rFonts w:ascii="Times New Roman" w:hAnsi="Times New Roman" w:cs="Times New Roman"/>
          <w:lang w:val="en-US"/>
        </w:rPr>
        <w:t>concluded that a</w:t>
      </w:r>
      <w:r w:rsidR="00530CA9" w:rsidRPr="00162014">
        <w:rPr>
          <w:rFonts w:ascii="Times New Roman" w:hAnsi="Times New Roman" w:cs="Times New Roman"/>
          <w:lang w:val="en-US"/>
        </w:rPr>
        <w:t xml:space="preserve"> confidentiality ring c</w:t>
      </w:r>
      <w:r w:rsidR="00162014">
        <w:rPr>
          <w:rFonts w:ascii="Times New Roman" w:hAnsi="Times New Roman" w:cs="Times New Roman"/>
          <w:lang w:val="en-US"/>
        </w:rPr>
        <w:t>ould</w:t>
      </w:r>
      <w:r w:rsidR="00530CA9" w:rsidRPr="00162014">
        <w:rPr>
          <w:rFonts w:ascii="Times New Roman" w:hAnsi="Times New Roman" w:cs="Times New Roman"/>
          <w:lang w:val="en-US"/>
        </w:rPr>
        <w:t xml:space="preserve"> only exist where the client's legal team consent</w:t>
      </w:r>
      <w:r w:rsidR="00B22F66">
        <w:rPr>
          <w:rFonts w:ascii="Times New Roman" w:hAnsi="Times New Roman" w:cs="Times New Roman"/>
          <w:lang w:val="en-US"/>
        </w:rPr>
        <w:t>ed</w:t>
      </w:r>
      <w:r w:rsidR="00530CA9" w:rsidRPr="00162014">
        <w:rPr>
          <w:rFonts w:ascii="Times New Roman" w:hAnsi="Times New Roman" w:cs="Times New Roman"/>
          <w:lang w:val="en-US"/>
        </w:rPr>
        <w:t xml:space="preserve"> and </w:t>
      </w:r>
      <w:r w:rsidR="00162014">
        <w:rPr>
          <w:rFonts w:ascii="Times New Roman" w:hAnsi="Times New Roman" w:cs="Times New Roman"/>
          <w:lang w:val="en-US"/>
        </w:rPr>
        <w:t>was</w:t>
      </w:r>
      <w:r w:rsidR="00530CA9" w:rsidRPr="00162014">
        <w:rPr>
          <w:rFonts w:ascii="Times New Roman" w:hAnsi="Times New Roman" w:cs="Times New Roman"/>
          <w:lang w:val="en-US"/>
        </w:rPr>
        <w:t xml:space="preserve"> of the view that it w</w:t>
      </w:r>
      <w:r w:rsidR="00162014">
        <w:rPr>
          <w:rFonts w:ascii="Times New Roman" w:hAnsi="Times New Roman" w:cs="Times New Roman"/>
          <w:lang w:val="en-US"/>
        </w:rPr>
        <w:t>ould</w:t>
      </w:r>
      <w:r w:rsidR="00530CA9" w:rsidRPr="00162014">
        <w:rPr>
          <w:rFonts w:ascii="Times New Roman" w:hAnsi="Times New Roman" w:cs="Times New Roman"/>
          <w:lang w:val="en-US"/>
        </w:rPr>
        <w:t xml:space="preserve"> not damage their client's interests.</w:t>
      </w:r>
      <w:r w:rsidR="00B22F66">
        <w:rPr>
          <w:rFonts w:ascii="Times New Roman" w:hAnsi="Times New Roman" w:cs="Times New Roman"/>
          <w:lang w:val="en-US"/>
        </w:rPr>
        <w:t xml:space="preserve"> He also considered </w:t>
      </w:r>
      <w:r w:rsidR="00162014">
        <w:rPr>
          <w:rFonts w:ascii="Times New Roman" w:hAnsi="Times New Roman" w:cs="Times New Roman"/>
          <w:lang w:val="en-US"/>
        </w:rPr>
        <w:t>that i</w:t>
      </w:r>
      <w:r w:rsidR="00530CA9" w:rsidRPr="00162014">
        <w:rPr>
          <w:rFonts w:ascii="Times New Roman" w:hAnsi="Times New Roman" w:cs="Times New Roman"/>
          <w:lang w:val="en-US"/>
        </w:rPr>
        <w:t xml:space="preserve">n </w:t>
      </w:r>
      <w:r w:rsidR="00530CA9" w:rsidRPr="00162014">
        <w:rPr>
          <w:rFonts w:ascii="Times New Roman" w:hAnsi="Times New Roman" w:cs="Times New Roman"/>
          <w:i/>
          <w:iCs/>
          <w:lang w:val="en-US"/>
        </w:rPr>
        <w:t>Al Rawi</w:t>
      </w:r>
      <w:r w:rsidR="00B22F66">
        <w:rPr>
          <w:rFonts w:ascii="Times New Roman" w:hAnsi="Times New Roman" w:cs="Times New Roman"/>
          <w:iCs/>
          <w:lang w:val="en-US"/>
        </w:rPr>
        <w:t>,</w:t>
      </w:r>
      <w:r w:rsidR="00530CA9" w:rsidRPr="00162014">
        <w:rPr>
          <w:rFonts w:ascii="Times New Roman" w:hAnsi="Times New Roman" w:cs="Times New Roman"/>
          <w:lang w:val="en-US"/>
        </w:rPr>
        <w:t xml:space="preserve"> the question </w:t>
      </w:r>
      <w:r w:rsidR="00162014">
        <w:rPr>
          <w:rFonts w:ascii="Times New Roman" w:hAnsi="Times New Roman" w:cs="Times New Roman"/>
          <w:lang w:val="en-US"/>
        </w:rPr>
        <w:t xml:space="preserve">as to </w:t>
      </w:r>
      <w:r w:rsidR="00530CA9" w:rsidRPr="00162014">
        <w:rPr>
          <w:rFonts w:ascii="Times New Roman" w:hAnsi="Times New Roman" w:cs="Times New Roman"/>
          <w:lang w:val="en-US"/>
        </w:rPr>
        <w:t>whether the parties could agree to a closed hearing was not for determination, and no argument was heard</w:t>
      </w:r>
      <w:r w:rsidR="00B22F66">
        <w:rPr>
          <w:rFonts w:ascii="Times New Roman" w:hAnsi="Times New Roman" w:cs="Times New Roman"/>
          <w:lang w:val="en-US"/>
        </w:rPr>
        <w:t>,</w:t>
      </w:r>
      <w:r w:rsidR="00530CA9" w:rsidRPr="00162014">
        <w:rPr>
          <w:rFonts w:ascii="Times New Roman" w:hAnsi="Times New Roman" w:cs="Times New Roman"/>
          <w:lang w:val="en-US"/>
        </w:rPr>
        <w:t xml:space="preserve"> although some of the Justices expressed doubt as to whether consent provided a solution</w:t>
      </w:r>
    </w:p>
    <w:p w:rsidR="00530CA9" w:rsidRDefault="00162014" w:rsidP="00162014">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B22F66" w:rsidRPr="00B22F66" w:rsidRDefault="007C681F" w:rsidP="00B22F66">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In </w:t>
      </w:r>
      <w:r>
        <w:rPr>
          <w:rFonts w:ascii="Times New Roman" w:hAnsi="Times New Roman" w:cs="Times New Roman"/>
          <w:i/>
          <w:lang w:val="en-US"/>
        </w:rPr>
        <w:t>AHK and others v Secretary of State for the Home Department</w:t>
      </w:r>
      <w:r w:rsidR="00371669">
        <w:rPr>
          <w:rFonts w:ascii="Times New Roman" w:hAnsi="Times New Roman" w:cs="Times New Roman"/>
          <w:lang w:val="en-US"/>
        </w:rPr>
        <w:t xml:space="preserve"> [2013] EWHC 1426 (Admin)</w:t>
      </w:r>
      <w:r>
        <w:rPr>
          <w:rFonts w:ascii="Times New Roman" w:hAnsi="Times New Roman" w:cs="Times New Roman"/>
          <w:lang w:val="en-US"/>
        </w:rPr>
        <w:t>, Ouseley J</w:t>
      </w:r>
      <w:r w:rsidR="00371669">
        <w:rPr>
          <w:rFonts w:ascii="Times New Roman" w:hAnsi="Times New Roman" w:cs="Times New Roman"/>
          <w:lang w:val="en-US"/>
        </w:rPr>
        <w:t xml:space="preserve"> had to</w:t>
      </w:r>
      <w:r>
        <w:rPr>
          <w:rFonts w:ascii="Times New Roman" w:hAnsi="Times New Roman" w:cs="Times New Roman"/>
          <w:lang w:val="en-US"/>
        </w:rPr>
        <w:t xml:space="preserve"> examine </w:t>
      </w:r>
      <w:r w:rsidR="007F7EE7">
        <w:rPr>
          <w:rFonts w:ascii="Times New Roman" w:hAnsi="Times New Roman" w:cs="Times New Roman"/>
          <w:lang w:val="en-US"/>
        </w:rPr>
        <w:t>th</w:t>
      </w:r>
      <w:r w:rsidR="00B22F66">
        <w:rPr>
          <w:rFonts w:ascii="Times New Roman" w:hAnsi="Times New Roman" w:cs="Times New Roman"/>
          <w:lang w:val="en-US"/>
        </w:rPr>
        <w:t>is issue again. This was</w:t>
      </w:r>
      <w:r w:rsidR="007F7EE7">
        <w:rPr>
          <w:rFonts w:ascii="Times New Roman" w:hAnsi="Times New Roman" w:cs="Times New Roman"/>
          <w:lang w:val="en-US"/>
        </w:rPr>
        <w:t xml:space="preserve"> in the context of cases of judicial review of decisions of the Secretary of State to refuse to grant naturalisation as a British Citizen under section 6 of the British Nationality Act 1981</w:t>
      </w:r>
      <w:r w:rsidR="00B22F66">
        <w:rPr>
          <w:rFonts w:ascii="Times New Roman" w:hAnsi="Times New Roman" w:cs="Times New Roman"/>
          <w:lang w:val="en-US"/>
        </w:rPr>
        <w:t>. The refusals were</w:t>
      </w:r>
      <w:r w:rsidR="007F7EE7">
        <w:rPr>
          <w:rFonts w:ascii="Times New Roman" w:hAnsi="Times New Roman" w:cs="Times New Roman"/>
          <w:lang w:val="en-US"/>
        </w:rPr>
        <w:t xml:space="preserve"> on the basis that the persons were not of good character, but where the Secretary of State was not willing to disclose documents upon which she relied in making her decisions because of harm to national security. </w:t>
      </w:r>
    </w:p>
    <w:p w:rsidR="00B22F66" w:rsidRDefault="00B22F66" w:rsidP="00B22F66">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B22F66" w:rsidRPr="00B22F66" w:rsidRDefault="007F7EE7" w:rsidP="00B22F66">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 The Court rejected the ability to adopt a closed material procedure in light of </w:t>
      </w:r>
      <w:r>
        <w:rPr>
          <w:rFonts w:ascii="Times New Roman" w:hAnsi="Times New Roman" w:cs="Times New Roman"/>
          <w:i/>
          <w:lang w:val="en-US"/>
        </w:rPr>
        <w:t>Al Rawi</w:t>
      </w:r>
      <w:r w:rsidR="00B22F66">
        <w:rPr>
          <w:rFonts w:ascii="Times New Roman" w:hAnsi="Times New Roman" w:cs="Times New Roman"/>
          <w:lang w:val="en-US"/>
        </w:rPr>
        <w:t>. It</w:t>
      </w:r>
      <w:r>
        <w:rPr>
          <w:rFonts w:ascii="Times New Roman" w:hAnsi="Times New Roman" w:cs="Times New Roman"/>
          <w:lang w:val="en-US"/>
        </w:rPr>
        <w:t xml:space="preserve"> considered that this was the case even if the consent of the parties were given.</w:t>
      </w:r>
    </w:p>
    <w:p w:rsidR="00B22F66" w:rsidRDefault="00B22F66" w:rsidP="00B22F66">
      <w:pPr>
        <w:pStyle w:val="ListParagraph"/>
        <w:jc w:val="both"/>
        <w:rPr>
          <w:rFonts w:ascii="Times New Roman" w:hAnsi="Times New Roman" w:cs="Times New Roman"/>
          <w:lang w:val="en-US"/>
        </w:rPr>
      </w:pPr>
      <w:r>
        <w:rPr>
          <w:rFonts w:ascii="Times New Roman" w:hAnsi="Times New Roman" w:cs="Times New Roman"/>
          <w:lang w:val="en-US"/>
        </w:rPr>
        <w:lastRenderedPageBreak/>
        <w:t xml:space="preserve"> </w:t>
      </w:r>
    </w:p>
    <w:p w:rsidR="007C681F" w:rsidRPr="00B22F66" w:rsidRDefault="007F7EE7" w:rsidP="007C681F">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 The Court considered what the potential outcome of the PII process </w:t>
      </w:r>
      <w:r w:rsidR="00371669">
        <w:rPr>
          <w:rFonts w:ascii="Times New Roman" w:hAnsi="Times New Roman" w:cs="Times New Roman"/>
          <w:lang w:val="en-US"/>
        </w:rPr>
        <w:t xml:space="preserve">would be </w:t>
      </w:r>
      <w:r>
        <w:rPr>
          <w:rFonts w:ascii="Times New Roman" w:hAnsi="Times New Roman" w:cs="Times New Roman"/>
          <w:lang w:val="en-US"/>
        </w:rPr>
        <w:t>if the claim for PII were upheld.  The Court was of the view that if the Secretary of State gave evidence that there were good reasons and a sound and relevant basis for her decision, it would be impossible for the Court to hold that she was wrong in</w:t>
      </w:r>
      <w:r w:rsidR="00B22F66">
        <w:rPr>
          <w:rFonts w:ascii="Times New Roman" w:hAnsi="Times New Roman" w:cs="Times New Roman"/>
          <w:lang w:val="en-US"/>
        </w:rPr>
        <w:t xml:space="preserve"> her substantive decision and the claims would fail.  The Court concluded that the</w:t>
      </w:r>
      <w:r w:rsidR="00024813">
        <w:rPr>
          <w:rFonts w:ascii="Times New Roman" w:hAnsi="Times New Roman" w:cs="Times New Roman"/>
          <w:lang w:val="en-US"/>
        </w:rPr>
        <w:t xml:space="preserve"> position was akin to </w:t>
      </w:r>
      <w:r w:rsidR="00024813">
        <w:rPr>
          <w:rFonts w:ascii="Times New Roman" w:hAnsi="Times New Roman" w:cs="Times New Roman"/>
          <w:i/>
          <w:lang w:val="en-US"/>
        </w:rPr>
        <w:t>Carnduff</w:t>
      </w:r>
      <w:r w:rsidR="00024813">
        <w:rPr>
          <w:rFonts w:ascii="Times New Roman" w:hAnsi="Times New Roman" w:cs="Times New Roman"/>
          <w:lang w:val="en-US"/>
        </w:rPr>
        <w:t xml:space="preserve">.  Ouseley J disagreed with the principle of </w:t>
      </w:r>
      <w:r w:rsidR="00371669">
        <w:rPr>
          <w:rFonts w:ascii="Times New Roman" w:hAnsi="Times New Roman" w:cs="Times New Roman"/>
          <w:lang w:val="en-US"/>
        </w:rPr>
        <w:t xml:space="preserve">using </w:t>
      </w:r>
      <w:r w:rsidR="00024813">
        <w:rPr>
          <w:rFonts w:ascii="Times New Roman" w:hAnsi="Times New Roman" w:cs="Times New Roman"/>
          <w:lang w:val="en-US"/>
        </w:rPr>
        <w:t>a confidentiality ring for the reasons he had given in a previous SIAC judgment.  However, Ouseley J was prepared to contemplate staying the proceedings</w:t>
      </w:r>
      <w:r w:rsidR="00371669">
        <w:rPr>
          <w:rFonts w:ascii="Times New Roman" w:hAnsi="Times New Roman" w:cs="Times New Roman"/>
          <w:lang w:val="en-US"/>
        </w:rPr>
        <w:t>,</w:t>
      </w:r>
      <w:r w:rsidR="00024813">
        <w:rPr>
          <w:rFonts w:ascii="Times New Roman" w:hAnsi="Times New Roman" w:cs="Times New Roman"/>
          <w:lang w:val="en-US"/>
        </w:rPr>
        <w:t xml:space="preserve"> pending the outcome of the</w:t>
      </w:r>
      <w:r w:rsidR="003D6EFA">
        <w:rPr>
          <w:rFonts w:ascii="Times New Roman" w:hAnsi="Times New Roman" w:cs="Times New Roman"/>
          <w:lang w:val="en-US"/>
        </w:rPr>
        <w:t xml:space="preserve"> then pending</w:t>
      </w:r>
      <w:r w:rsidR="00024813">
        <w:rPr>
          <w:rFonts w:ascii="Times New Roman" w:hAnsi="Times New Roman" w:cs="Times New Roman"/>
          <w:lang w:val="en-US"/>
        </w:rPr>
        <w:t xml:space="preserve"> enactement of the Justice and Security Bill</w:t>
      </w:r>
      <w:r w:rsidR="003D6EFA">
        <w:rPr>
          <w:rFonts w:ascii="Times New Roman" w:hAnsi="Times New Roman" w:cs="Times New Roman"/>
          <w:lang w:val="en-US"/>
        </w:rPr>
        <w:t>.</w:t>
      </w:r>
    </w:p>
    <w:p w:rsidR="00B22F66" w:rsidRDefault="00B22F66" w:rsidP="00B22F66">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A902CA" w:rsidRPr="00B22F66" w:rsidRDefault="00162014" w:rsidP="00A902CA">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The issue of closed procedures </w:t>
      </w:r>
      <w:r w:rsidR="00B22F66">
        <w:rPr>
          <w:rFonts w:ascii="Times New Roman" w:hAnsi="Times New Roman" w:cs="Times New Roman"/>
          <w:lang w:val="en-US"/>
        </w:rPr>
        <w:t>has now arisen</w:t>
      </w:r>
      <w:r>
        <w:rPr>
          <w:rFonts w:ascii="Times New Roman" w:hAnsi="Times New Roman" w:cs="Times New Roman"/>
          <w:lang w:val="en-US"/>
        </w:rPr>
        <w:t xml:space="preserve"> again in the recent decision of the Supreme Court</w:t>
      </w:r>
      <w:r w:rsidR="00B22F66">
        <w:rPr>
          <w:rFonts w:ascii="Times New Roman" w:hAnsi="Times New Roman" w:cs="Times New Roman"/>
          <w:lang w:val="en-US"/>
        </w:rPr>
        <w:t xml:space="preserve"> in </w:t>
      </w:r>
      <w:r w:rsidR="00B22F66">
        <w:rPr>
          <w:rFonts w:ascii="Times New Roman" w:hAnsi="Times New Roman" w:cs="Times New Roman"/>
          <w:i/>
          <w:lang w:val="en-US"/>
        </w:rPr>
        <w:t xml:space="preserve">Bank Mellat. </w:t>
      </w:r>
      <w:r w:rsidR="00B22F66">
        <w:rPr>
          <w:rFonts w:ascii="Times New Roman" w:hAnsi="Times New Roman" w:cs="Times New Roman"/>
          <w:lang w:val="en-US"/>
        </w:rPr>
        <w:t>The case</w:t>
      </w:r>
      <w:r>
        <w:rPr>
          <w:rFonts w:ascii="Times New Roman" w:hAnsi="Times New Roman" w:cs="Times New Roman"/>
          <w:lang w:val="en-US"/>
        </w:rPr>
        <w:t xml:space="preserve"> result</w:t>
      </w:r>
      <w:r w:rsidR="00B22F66">
        <w:rPr>
          <w:rFonts w:ascii="Times New Roman" w:hAnsi="Times New Roman" w:cs="Times New Roman"/>
          <w:lang w:val="en-US"/>
        </w:rPr>
        <w:t>ed</w:t>
      </w:r>
      <w:r>
        <w:rPr>
          <w:rFonts w:ascii="Times New Roman" w:hAnsi="Times New Roman" w:cs="Times New Roman"/>
          <w:lang w:val="en-US"/>
        </w:rPr>
        <w:t xml:space="preserve"> in two significa</w:t>
      </w:r>
      <w:r w:rsidR="00B22F66">
        <w:rPr>
          <w:rFonts w:ascii="Times New Roman" w:hAnsi="Times New Roman" w:cs="Times New Roman"/>
          <w:lang w:val="en-US"/>
        </w:rPr>
        <w:t xml:space="preserve">nt judgment, but the first deals with the </w:t>
      </w:r>
      <w:r>
        <w:rPr>
          <w:rFonts w:ascii="Times New Roman" w:hAnsi="Times New Roman" w:cs="Times New Roman"/>
          <w:lang w:val="en-US"/>
        </w:rPr>
        <w:t xml:space="preserve">closed procedure issue: </w:t>
      </w:r>
      <w:r w:rsidR="00C60A88" w:rsidRPr="003D6EFA">
        <w:rPr>
          <w:rFonts w:ascii="Times New Roman" w:hAnsi="Times New Roman" w:cs="Times New Roman"/>
          <w:i/>
        </w:rPr>
        <w:t>Bank Mellat v Her Majesty’s Treasury (No.1)</w:t>
      </w:r>
      <w:r w:rsidR="000514D3" w:rsidRPr="00162014">
        <w:rPr>
          <w:rFonts w:ascii="Times New Roman" w:hAnsi="Times New Roman" w:cs="Times New Roman"/>
        </w:rPr>
        <w:t xml:space="preserve"> [2013] UKSC 38</w:t>
      </w:r>
    </w:p>
    <w:p w:rsidR="00B22F66" w:rsidRDefault="00B22F66" w:rsidP="00B22F66">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A902CA" w:rsidRPr="00B22F66" w:rsidRDefault="00A902CA" w:rsidP="00A902CA">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Under</w:t>
      </w:r>
      <w:r w:rsidR="00073EFB" w:rsidRPr="00A902CA">
        <w:rPr>
          <w:rFonts w:ascii="Times New Roman" w:hAnsi="Times New Roman" w:cs="Times New Roman"/>
          <w:lang w:val="en-US"/>
        </w:rPr>
        <w:t xml:space="preserve"> the Counter-Terrorism Act 2008, the Treasury </w:t>
      </w:r>
      <w:r>
        <w:rPr>
          <w:rFonts w:ascii="Times New Roman" w:hAnsi="Times New Roman" w:cs="Times New Roman"/>
          <w:lang w:val="en-US"/>
        </w:rPr>
        <w:t xml:space="preserve">had </w:t>
      </w:r>
      <w:r w:rsidR="00073EFB" w:rsidRPr="00A902CA">
        <w:rPr>
          <w:rFonts w:ascii="Times New Roman" w:hAnsi="Times New Roman" w:cs="Times New Roman"/>
          <w:lang w:val="en-US"/>
        </w:rPr>
        <w:t xml:space="preserve">made the Financial Restrictions (Iran) Order 2009 (“the 2009 Order”), which Parliament subsequently approved. The 2009 Order effectively shut down the United Kingdom operations of Bank </w:t>
      </w:r>
      <w:proofErr w:type="gramStart"/>
      <w:r w:rsidR="00073EFB" w:rsidRPr="00A902CA">
        <w:rPr>
          <w:rFonts w:ascii="Times New Roman" w:hAnsi="Times New Roman" w:cs="Times New Roman"/>
          <w:lang w:val="en-US"/>
        </w:rPr>
        <w:t>Mellat  and</w:t>
      </w:r>
      <w:proofErr w:type="gramEnd"/>
      <w:r w:rsidR="00073EFB" w:rsidRPr="00A902CA">
        <w:rPr>
          <w:rFonts w:ascii="Times New Roman" w:hAnsi="Times New Roman" w:cs="Times New Roman"/>
          <w:lang w:val="en-US"/>
        </w:rPr>
        <w:t xml:space="preserve"> its subsidiary</w:t>
      </w:r>
      <w:r>
        <w:rPr>
          <w:rFonts w:ascii="Times New Roman" w:hAnsi="Times New Roman" w:cs="Times New Roman"/>
          <w:lang w:val="en-US"/>
        </w:rPr>
        <w:t>. Section 63 of the 2008 Act gave</w:t>
      </w:r>
      <w:r w:rsidR="00073EFB" w:rsidRPr="00A902CA">
        <w:rPr>
          <w:rFonts w:ascii="Times New Roman" w:hAnsi="Times New Roman" w:cs="Times New Roman"/>
          <w:lang w:val="en-US"/>
        </w:rPr>
        <w:t xml:space="preserve"> any party affected by such an order the right to apply to the High Court to set it aside. The Bank made such an application</w:t>
      </w:r>
      <w:r>
        <w:rPr>
          <w:rFonts w:ascii="Times New Roman" w:hAnsi="Times New Roman" w:cs="Times New Roman"/>
          <w:lang w:val="en-US"/>
        </w:rPr>
        <w:t xml:space="preserve"> and t</w:t>
      </w:r>
      <w:r w:rsidR="00073EFB" w:rsidRPr="00A902CA">
        <w:rPr>
          <w:rFonts w:ascii="Times New Roman" w:hAnsi="Times New Roman" w:cs="Times New Roman"/>
          <w:lang w:val="en-US"/>
        </w:rPr>
        <w:t>he Government took the view that some of the evidence relied on by the Treasury to justify the 2009 Order was of such sensitivity that it could not be shown to the Bank or its representatives.</w:t>
      </w:r>
    </w:p>
    <w:p w:rsidR="00B22F66" w:rsidRDefault="00B22F66" w:rsidP="00B22F66">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A902CA" w:rsidRPr="00B22F66" w:rsidRDefault="00073EFB" w:rsidP="00A902CA">
      <w:pPr>
        <w:pStyle w:val="ListParagraph"/>
        <w:numPr>
          <w:ilvl w:val="0"/>
          <w:numId w:val="2"/>
        </w:numPr>
        <w:jc w:val="both"/>
        <w:rPr>
          <w:rFonts w:ascii="Times New Roman" w:hAnsi="Times New Roman" w:cs="Times New Roman"/>
          <w:lang w:val="en-US"/>
        </w:rPr>
      </w:pPr>
      <w:r w:rsidRPr="00A902CA">
        <w:rPr>
          <w:rFonts w:ascii="Times New Roman" w:hAnsi="Times New Roman" w:cs="Times New Roman"/>
          <w:lang w:val="en-US"/>
        </w:rPr>
        <w:t>In the High Court, Mitting J accepted the Government’s case that justice required that the evidence in question be put before the court and that it had to be dealt with by a</w:t>
      </w:r>
      <w:r w:rsidR="00A902CA">
        <w:rPr>
          <w:rFonts w:ascii="Times New Roman" w:hAnsi="Times New Roman" w:cs="Times New Roman"/>
          <w:lang w:val="en-US"/>
        </w:rPr>
        <w:t xml:space="preserve"> closed material procedure</w:t>
      </w:r>
      <w:r w:rsidR="00B22F66">
        <w:rPr>
          <w:rFonts w:ascii="Times New Roman" w:hAnsi="Times New Roman" w:cs="Times New Roman"/>
          <w:lang w:val="en-US"/>
        </w:rPr>
        <w:t>. T</w:t>
      </w:r>
      <w:r w:rsidRPr="00A902CA">
        <w:rPr>
          <w:rFonts w:ascii="Times New Roman" w:hAnsi="Times New Roman" w:cs="Times New Roman"/>
          <w:lang w:val="en-US"/>
        </w:rPr>
        <w:t xml:space="preserve">he hearing before him was partly in open court and partly at a closed hearing. Mitting J handed down an open judgment, in which he dismissed the Bank’s application, and a shorter closed judgment, which was seen by the Treasury, but not by the Bank, and </w:t>
      </w:r>
      <w:r w:rsidR="00A902CA">
        <w:rPr>
          <w:rFonts w:ascii="Times New Roman" w:hAnsi="Times New Roman" w:cs="Times New Roman"/>
          <w:lang w:val="en-US"/>
        </w:rPr>
        <w:t>was</w:t>
      </w:r>
      <w:r w:rsidRPr="00A902CA">
        <w:rPr>
          <w:rFonts w:ascii="Times New Roman" w:hAnsi="Times New Roman" w:cs="Times New Roman"/>
          <w:lang w:val="en-US"/>
        </w:rPr>
        <w:t xml:space="preserve"> not publicly available. In the Court of Appeal, the appeal was heard la</w:t>
      </w:r>
      <w:r w:rsidR="00A902CA">
        <w:rPr>
          <w:rFonts w:ascii="Times New Roman" w:hAnsi="Times New Roman" w:cs="Times New Roman"/>
          <w:lang w:val="en-US"/>
        </w:rPr>
        <w:t>rgely by way of an open hearing, but</w:t>
      </w:r>
      <w:r w:rsidRPr="00A902CA">
        <w:rPr>
          <w:rFonts w:ascii="Times New Roman" w:hAnsi="Times New Roman" w:cs="Times New Roman"/>
          <w:lang w:val="en-US"/>
        </w:rPr>
        <w:t xml:space="preserve"> there was a short closed hearing </w:t>
      </w:r>
      <w:r w:rsidR="00A902CA">
        <w:rPr>
          <w:rFonts w:ascii="Times New Roman" w:hAnsi="Times New Roman" w:cs="Times New Roman"/>
          <w:lang w:val="en-US"/>
        </w:rPr>
        <w:t xml:space="preserve">to consider </w:t>
      </w:r>
      <w:r w:rsidRPr="00A902CA">
        <w:rPr>
          <w:rFonts w:ascii="Times New Roman" w:hAnsi="Times New Roman" w:cs="Times New Roman"/>
          <w:lang w:val="en-US"/>
        </w:rPr>
        <w:t>the closed judgment of Mitting J. The Court of Appeal dismissed the Bank’s appeal in an open judgment, and while it referred in general terms to the closed material in that open judgment, the Court of Appeal found it unnecessary to give a closed judgment.</w:t>
      </w:r>
    </w:p>
    <w:p w:rsidR="00B22F66" w:rsidRDefault="00B22F66" w:rsidP="00B22F66">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A902CA" w:rsidRPr="00B22F66" w:rsidRDefault="00073EFB" w:rsidP="00A902CA">
      <w:pPr>
        <w:pStyle w:val="ListParagraph"/>
        <w:numPr>
          <w:ilvl w:val="0"/>
          <w:numId w:val="2"/>
        </w:numPr>
        <w:jc w:val="both"/>
        <w:rPr>
          <w:rFonts w:ascii="Times New Roman" w:hAnsi="Times New Roman" w:cs="Times New Roman"/>
          <w:lang w:val="en-US"/>
        </w:rPr>
      </w:pPr>
      <w:r w:rsidRPr="00A902CA">
        <w:rPr>
          <w:rFonts w:ascii="Times New Roman" w:hAnsi="Times New Roman" w:cs="Times New Roman"/>
          <w:lang w:val="en-US"/>
        </w:rPr>
        <w:t>The Supreme Court decide</w:t>
      </w:r>
      <w:r w:rsidR="00A902CA">
        <w:rPr>
          <w:rFonts w:ascii="Times New Roman" w:hAnsi="Times New Roman" w:cs="Times New Roman"/>
          <w:lang w:val="en-US"/>
        </w:rPr>
        <w:t>d</w:t>
      </w:r>
      <w:r w:rsidRPr="00A902CA">
        <w:rPr>
          <w:rFonts w:ascii="Times New Roman" w:hAnsi="Times New Roman" w:cs="Times New Roman"/>
          <w:lang w:val="en-US"/>
        </w:rPr>
        <w:t xml:space="preserve"> (i) by a majority of six</w:t>
      </w:r>
      <w:r w:rsidR="00371669">
        <w:rPr>
          <w:rFonts w:ascii="Times New Roman" w:hAnsi="Times New Roman" w:cs="Times New Roman"/>
          <w:lang w:val="en-US"/>
        </w:rPr>
        <w:t xml:space="preserve"> (Lord Neuberger, Lady Hale, Lord Clarke, Lord Dyson and Lord Sumption)</w:t>
      </w:r>
      <w:r w:rsidRPr="00A902CA">
        <w:rPr>
          <w:rFonts w:ascii="Times New Roman" w:hAnsi="Times New Roman" w:cs="Times New Roman"/>
          <w:lang w:val="en-US"/>
        </w:rPr>
        <w:t xml:space="preserve"> to three (Lord Hope, Lord Kerr and Lord Reed dissenting), that it </w:t>
      </w:r>
      <w:r w:rsidR="00A902CA">
        <w:rPr>
          <w:rFonts w:ascii="Times New Roman" w:hAnsi="Times New Roman" w:cs="Times New Roman"/>
          <w:lang w:val="en-US"/>
        </w:rPr>
        <w:t>was</w:t>
      </w:r>
      <w:r w:rsidRPr="00A902CA">
        <w:rPr>
          <w:rFonts w:ascii="Times New Roman" w:hAnsi="Times New Roman" w:cs="Times New Roman"/>
          <w:lang w:val="en-US"/>
        </w:rPr>
        <w:t xml:space="preserve"> possible for the Supreme Court to adopt a </w:t>
      </w:r>
      <w:r w:rsidR="00A902CA">
        <w:rPr>
          <w:rFonts w:ascii="Times New Roman" w:hAnsi="Times New Roman" w:cs="Times New Roman"/>
          <w:lang w:val="en-US"/>
        </w:rPr>
        <w:t xml:space="preserve">closed material procedure </w:t>
      </w:r>
      <w:r w:rsidRPr="00A902CA">
        <w:rPr>
          <w:rFonts w:ascii="Times New Roman" w:hAnsi="Times New Roman" w:cs="Times New Roman"/>
          <w:lang w:val="en-US"/>
        </w:rPr>
        <w:t xml:space="preserve">on an appeal, </w:t>
      </w:r>
      <w:r w:rsidR="00A902CA">
        <w:rPr>
          <w:rFonts w:ascii="Times New Roman" w:hAnsi="Times New Roman" w:cs="Times New Roman"/>
          <w:lang w:val="en-US"/>
        </w:rPr>
        <w:t xml:space="preserve">and </w:t>
      </w:r>
      <w:r w:rsidRPr="00A902CA">
        <w:rPr>
          <w:rFonts w:ascii="Times New Roman" w:hAnsi="Times New Roman" w:cs="Times New Roman"/>
          <w:lang w:val="en-US"/>
        </w:rPr>
        <w:t xml:space="preserve">(ii) by a majority of five to four (Lord Hope, Lord Kerr, Lord Dyson, and Lord Reed dissenting), that it was appropriate to adopt a </w:t>
      </w:r>
      <w:r w:rsidR="00A902CA">
        <w:rPr>
          <w:rFonts w:ascii="Times New Roman" w:hAnsi="Times New Roman" w:cs="Times New Roman"/>
          <w:lang w:val="en-US"/>
        </w:rPr>
        <w:t xml:space="preserve">closed material procedure on the </w:t>
      </w:r>
      <w:r w:rsidRPr="00A902CA">
        <w:rPr>
          <w:rFonts w:ascii="Times New Roman" w:hAnsi="Times New Roman" w:cs="Times New Roman"/>
          <w:lang w:val="en-US"/>
        </w:rPr>
        <w:t xml:space="preserve">appeal. </w:t>
      </w:r>
    </w:p>
    <w:p w:rsidR="00B22F66" w:rsidRDefault="00B22F66" w:rsidP="00B22F66">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B22F66" w:rsidRPr="00B22F66" w:rsidRDefault="00A902CA" w:rsidP="00B22F66">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Lord Neuberger gave</w:t>
      </w:r>
      <w:r w:rsidR="00073EFB" w:rsidRPr="00A902CA">
        <w:rPr>
          <w:rFonts w:ascii="Times New Roman" w:hAnsi="Times New Roman" w:cs="Times New Roman"/>
          <w:lang w:val="en-US"/>
        </w:rPr>
        <w:t xml:space="preserve"> the judgment of the majority on both</w:t>
      </w:r>
      <w:r>
        <w:rPr>
          <w:rFonts w:ascii="Times New Roman" w:hAnsi="Times New Roman" w:cs="Times New Roman"/>
          <w:lang w:val="en-US"/>
        </w:rPr>
        <w:t xml:space="preserve"> those issues</w:t>
      </w:r>
      <w:r w:rsidR="00B22F66">
        <w:rPr>
          <w:rFonts w:ascii="Times New Roman" w:hAnsi="Times New Roman" w:cs="Times New Roman"/>
          <w:lang w:val="en-US"/>
        </w:rPr>
        <w:t>. The majority decided</w:t>
      </w:r>
      <w:r>
        <w:rPr>
          <w:rFonts w:ascii="Times New Roman" w:hAnsi="Times New Roman" w:cs="Times New Roman"/>
          <w:lang w:val="en-US"/>
        </w:rPr>
        <w:t xml:space="preserve"> that </w:t>
      </w:r>
      <w:r w:rsidRPr="00A902CA">
        <w:rPr>
          <w:rFonts w:ascii="Times New Roman" w:hAnsi="Times New Roman" w:cs="Times New Roman"/>
          <w:bCs/>
          <w:lang w:val="en-US"/>
        </w:rPr>
        <w:t>s</w:t>
      </w:r>
      <w:r w:rsidR="00073EFB" w:rsidRPr="00A902CA">
        <w:rPr>
          <w:rFonts w:ascii="Times New Roman" w:hAnsi="Times New Roman" w:cs="Times New Roman"/>
          <w:lang w:val="en-US"/>
        </w:rPr>
        <w:t xml:space="preserve">ection 40(2) of the Constitutional Reform Act 2005 </w:t>
      </w:r>
      <w:r>
        <w:rPr>
          <w:rFonts w:ascii="Times New Roman" w:hAnsi="Times New Roman" w:cs="Times New Roman"/>
          <w:lang w:val="en-US"/>
        </w:rPr>
        <w:t>giving the right of appeal to t</w:t>
      </w:r>
      <w:r w:rsidR="00073EFB" w:rsidRPr="00A902CA">
        <w:rPr>
          <w:rFonts w:ascii="Times New Roman" w:hAnsi="Times New Roman" w:cs="Times New Roman"/>
          <w:lang w:val="en-US"/>
        </w:rPr>
        <w:t xml:space="preserve">he Supreme Court against any judgment of the </w:t>
      </w:r>
      <w:r w:rsidR="00073EFB" w:rsidRPr="00A902CA">
        <w:rPr>
          <w:rFonts w:ascii="Times New Roman" w:hAnsi="Times New Roman" w:cs="Times New Roman"/>
          <w:lang w:val="en-US"/>
        </w:rPr>
        <w:lastRenderedPageBreak/>
        <w:t>Court of Appeal</w:t>
      </w:r>
      <w:r>
        <w:rPr>
          <w:rFonts w:ascii="Times New Roman" w:hAnsi="Times New Roman" w:cs="Times New Roman"/>
          <w:lang w:val="en-US"/>
        </w:rPr>
        <w:t xml:space="preserve"> must extend to a judgment which was</w:t>
      </w:r>
      <w:r w:rsidR="00073EFB" w:rsidRPr="00A902CA">
        <w:rPr>
          <w:rFonts w:ascii="Times New Roman" w:hAnsi="Times New Roman" w:cs="Times New Roman"/>
          <w:lang w:val="en-US"/>
        </w:rPr>
        <w:t xml:space="preserve"> wholly or partially closed.</w:t>
      </w:r>
      <w:r>
        <w:rPr>
          <w:rFonts w:ascii="Times New Roman" w:hAnsi="Times New Roman" w:cs="Times New Roman"/>
          <w:lang w:val="en-US"/>
        </w:rPr>
        <w:t xml:space="preserve"> </w:t>
      </w:r>
    </w:p>
    <w:p w:rsidR="00B22F66" w:rsidRDefault="00B22F66" w:rsidP="00B22F66">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C3524C" w:rsidRPr="00B22F66" w:rsidRDefault="00A902CA" w:rsidP="00C3524C">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It is clear that the majority view was reached in light of the unattractiveness of the alternative courses of action if no such procedure were accepted.  </w:t>
      </w:r>
      <w:r w:rsidR="00B22F66">
        <w:rPr>
          <w:rFonts w:ascii="Times New Roman" w:hAnsi="Times New Roman" w:cs="Times New Roman"/>
          <w:lang w:val="en-US"/>
        </w:rPr>
        <w:t>W</w:t>
      </w:r>
      <w:r w:rsidR="00073EFB" w:rsidRPr="00A902CA">
        <w:rPr>
          <w:rFonts w:ascii="Times New Roman" w:hAnsi="Times New Roman" w:cs="Times New Roman"/>
          <w:lang w:val="en-US"/>
        </w:rPr>
        <w:t xml:space="preserve">here a </w:t>
      </w:r>
      <w:r>
        <w:rPr>
          <w:rFonts w:ascii="Times New Roman" w:hAnsi="Times New Roman" w:cs="Times New Roman"/>
          <w:lang w:val="en-US"/>
        </w:rPr>
        <w:t xml:space="preserve">closed material procedure </w:t>
      </w:r>
      <w:r w:rsidR="00073EFB" w:rsidRPr="00A902CA">
        <w:rPr>
          <w:rFonts w:ascii="Times New Roman" w:hAnsi="Times New Roman" w:cs="Times New Roman"/>
          <w:lang w:val="en-US"/>
        </w:rPr>
        <w:t>ha</w:t>
      </w:r>
      <w:r>
        <w:rPr>
          <w:rFonts w:ascii="Times New Roman" w:hAnsi="Times New Roman" w:cs="Times New Roman"/>
          <w:lang w:val="en-US"/>
        </w:rPr>
        <w:t>d</w:t>
      </w:r>
      <w:r w:rsidR="00073EFB" w:rsidRPr="00A902CA">
        <w:rPr>
          <w:rFonts w:ascii="Times New Roman" w:hAnsi="Times New Roman" w:cs="Times New Roman"/>
          <w:lang w:val="en-US"/>
        </w:rPr>
        <w:t xml:space="preserve"> been adopted at first instance and in the Court of Appeal, for the Supreme Court to entertain an appeal without considering the closed material </w:t>
      </w:r>
      <w:r w:rsidR="00B22F66">
        <w:rPr>
          <w:rFonts w:ascii="Times New Roman" w:hAnsi="Times New Roman" w:cs="Times New Roman"/>
          <w:lang w:val="en-US"/>
        </w:rPr>
        <w:t xml:space="preserve">it was considered </w:t>
      </w:r>
      <w:r w:rsidR="00073EFB" w:rsidRPr="00A902CA">
        <w:rPr>
          <w:rFonts w:ascii="Times New Roman" w:hAnsi="Times New Roman" w:cs="Times New Roman"/>
          <w:lang w:val="en-US"/>
        </w:rPr>
        <w:t>would, at least in many cases, not be doing justice, either in the sense of fairly determining the appeal, or in the sense of being seen fairly to determine the appeal</w:t>
      </w:r>
    </w:p>
    <w:p w:rsidR="00B22F66" w:rsidRDefault="00073EFB" w:rsidP="00B22F66">
      <w:pPr>
        <w:pStyle w:val="ListParagraph"/>
        <w:jc w:val="both"/>
        <w:rPr>
          <w:rFonts w:ascii="Times New Roman" w:hAnsi="Times New Roman" w:cs="Times New Roman"/>
          <w:lang w:val="en-US"/>
        </w:rPr>
      </w:pPr>
      <w:r w:rsidRPr="00A902CA">
        <w:rPr>
          <w:rFonts w:ascii="Times New Roman" w:hAnsi="Times New Roman" w:cs="Times New Roman"/>
          <w:lang w:val="en-US"/>
        </w:rPr>
        <w:t xml:space="preserve"> </w:t>
      </w:r>
      <w:r w:rsidR="00B22F66">
        <w:rPr>
          <w:rFonts w:ascii="Times New Roman" w:hAnsi="Times New Roman" w:cs="Times New Roman"/>
          <w:lang w:val="en-US"/>
        </w:rPr>
        <w:t xml:space="preserve"> </w:t>
      </w:r>
    </w:p>
    <w:p w:rsidR="00C3524C" w:rsidRPr="00B22F66" w:rsidRDefault="00073EFB" w:rsidP="00C3524C">
      <w:pPr>
        <w:pStyle w:val="ListParagraph"/>
        <w:numPr>
          <w:ilvl w:val="0"/>
          <w:numId w:val="2"/>
        </w:numPr>
        <w:jc w:val="both"/>
        <w:rPr>
          <w:rFonts w:ascii="Times New Roman" w:hAnsi="Times New Roman" w:cs="Times New Roman"/>
          <w:lang w:val="en-US"/>
        </w:rPr>
      </w:pPr>
      <w:r w:rsidRPr="00C3524C">
        <w:rPr>
          <w:rFonts w:ascii="Times New Roman" w:hAnsi="Times New Roman" w:cs="Times New Roman"/>
          <w:lang w:val="en-US"/>
        </w:rPr>
        <w:t>The minority consider</w:t>
      </w:r>
      <w:r w:rsidR="00C3524C">
        <w:rPr>
          <w:rFonts w:ascii="Times New Roman" w:hAnsi="Times New Roman" w:cs="Times New Roman"/>
          <w:lang w:val="en-US"/>
        </w:rPr>
        <w:t>ed</w:t>
      </w:r>
      <w:r w:rsidRPr="00C3524C">
        <w:rPr>
          <w:rFonts w:ascii="Times New Roman" w:hAnsi="Times New Roman" w:cs="Times New Roman"/>
          <w:lang w:val="en-US"/>
        </w:rPr>
        <w:t xml:space="preserve"> that Parliament ha</w:t>
      </w:r>
      <w:r w:rsidR="00C3524C">
        <w:rPr>
          <w:rFonts w:ascii="Times New Roman" w:hAnsi="Times New Roman" w:cs="Times New Roman"/>
          <w:lang w:val="en-US"/>
        </w:rPr>
        <w:t>d</w:t>
      </w:r>
      <w:r w:rsidRPr="00C3524C">
        <w:rPr>
          <w:rFonts w:ascii="Times New Roman" w:hAnsi="Times New Roman" w:cs="Times New Roman"/>
          <w:lang w:val="en-US"/>
        </w:rPr>
        <w:t xml:space="preserve"> not </w:t>
      </w:r>
      <w:r w:rsidR="00C3524C">
        <w:rPr>
          <w:rFonts w:ascii="Times New Roman" w:hAnsi="Times New Roman" w:cs="Times New Roman"/>
          <w:lang w:val="en-US"/>
        </w:rPr>
        <w:t xml:space="preserve">conferred the power to conduct such a procedure </w:t>
      </w:r>
      <w:r w:rsidRPr="00C3524C">
        <w:rPr>
          <w:rFonts w:ascii="Times New Roman" w:hAnsi="Times New Roman" w:cs="Times New Roman"/>
          <w:lang w:val="en-US"/>
        </w:rPr>
        <w:t>on the Supreme Court</w:t>
      </w:r>
      <w:r w:rsidR="00C3524C">
        <w:rPr>
          <w:rFonts w:ascii="Times New Roman" w:hAnsi="Times New Roman" w:cs="Times New Roman"/>
          <w:lang w:val="en-US"/>
        </w:rPr>
        <w:t xml:space="preserve"> (as opposed to the High Court, the Court of Session and the Court of Appeal) and such a procedure </w:t>
      </w:r>
      <w:r w:rsidRPr="00C3524C">
        <w:rPr>
          <w:rFonts w:ascii="Times New Roman" w:hAnsi="Times New Roman" w:cs="Times New Roman"/>
          <w:lang w:val="en-US"/>
        </w:rPr>
        <w:t>would be contrary to the fundamental principle of the common law right to a fair trial</w:t>
      </w:r>
      <w:r w:rsidR="00C3524C">
        <w:rPr>
          <w:rFonts w:ascii="Times New Roman" w:hAnsi="Times New Roman" w:cs="Times New Roman"/>
          <w:lang w:val="en-US"/>
        </w:rPr>
        <w:t>.</w:t>
      </w:r>
    </w:p>
    <w:p w:rsidR="00B22F66" w:rsidRDefault="00B22F66" w:rsidP="00B22F66">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CF38CC" w:rsidRPr="00CF38CC" w:rsidRDefault="00B22F66" w:rsidP="00CF38CC">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Despite accepting the principle of such a procedure, s</w:t>
      </w:r>
      <w:r w:rsidR="00C3524C">
        <w:rPr>
          <w:rFonts w:ascii="Times New Roman" w:hAnsi="Times New Roman" w:cs="Times New Roman"/>
          <w:lang w:val="en-US"/>
        </w:rPr>
        <w:t xml:space="preserve">trong warnings were given as to the invocation of the closed material procedure at the appellate level.  The </w:t>
      </w:r>
      <w:r>
        <w:rPr>
          <w:rFonts w:ascii="Times New Roman" w:hAnsi="Times New Roman" w:cs="Times New Roman"/>
          <w:lang w:val="en-US"/>
        </w:rPr>
        <w:t xml:space="preserve">Supreme </w:t>
      </w:r>
      <w:r w:rsidR="00C3524C">
        <w:rPr>
          <w:rFonts w:ascii="Times New Roman" w:hAnsi="Times New Roman" w:cs="Times New Roman"/>
          <w:lang w:val="en-US"/>
        </w:rPr>
        <w:t>Court stated that it had voiced</w:t>
      </w:r>
      <w:r w:rsidR="00073EFB" w:rsidRPr="00C3524C">
        <w:rPr>
          <w:rFonts w:ascii="Times New Roman" w:hAnsi="Times New Roman" w:cs="Times New Roman"/>
          <w:lang w:val="en-US"/>
        </w:rPr>
        <w:t xml:space="preserve"> strong suspicions </w:t>
      </w:r>
      <w:r>
        <w:rPr>
          <w:rFonts w:ascii="Times New Roman" w:hAnsi="Times New Roman" w:cs="Times New Roman"/>
          <w:lang w:val="en-US"/>
        </w:rPr>
        <w:t xml:space="preserve">at the time </w:t>
      </w:r>
      <w:r w:rsidR="00073EFB" w:rsidRPr="00C3524C">
        <w:rPr>
          <w:rFonts w:ascii="Times New Roman" w:hAnsi="Times New Roman" w:cs="Times New Roman"/>
          <w:lang w:val="en-US"/>
        </w:rPr>
        <w:t xml:space="preserve">that nothing in Mitting J’s closed judgment would have any effect on the outcome of the appeal, </w:t>
      </w:r>
      <w:r w:rsidR="00C3524C">
        <w:rPr>
          <w:rFonts w:ascii="Times New Roman" w:hAnsi="Times New Roman" w:cs="Times New Roman"/>
          <w:lang w:val="en-US"/>
        </w:rPr>
        <w:t xml:space="preserve">but </w:t>
      </w:r>
      <w:r w:rsidR="00073EFB" w:rsidRPr="00C3524C">
        <w:rPr>
          <w:rFonts w:ascii="Times New Roman" w:hAnsi="Times New Roman" w:cs="Times New Roman"/>
          <w:lang w:val="en-US"/>
        </w:rPr>
        <w:t xml:space="preserve">the </w:t>
      </w:r>
      <w:r w:rsidR="00C3524C">
        <w:rPr>
          <w:rFonts w:ascii="Times New Roman" w:hAnsi="Times New Roman" w:cs="Times New Roman"/>
          <w:lang w:val="en-US"/>
        </w:rPr>
        <w:t xml:space="preserve">bare </w:t>
      </w:r>
      <w:r w:rsidR="00073EFB" w:rsidRPr="00C3524C">
        <w:rPr>
          <w:rFonts w:ascii="Times New Roman" w:hAnsi="Times New Roman" w:cs="Times New Roman"/>
          <w:lang w:val="en-US"/>
        </w:rPr>
        <w:t xml:space="preserve">majority </w:t>
      </w:r>
      <w:r w:rsidR="00C3524C">
        <w:rPr>
          <w:rFonts w:ascii="Times New Roman" w:hAnsi="Times New Roman" w:cs="Times New Roman"/>
          <w:lang w:val="en-US"/>
        </w:rPr>
        <w:t xml:space="preserve">had </w:t>
      </w:r>
      <w:r w:rsidR="00073EFB" w:rsidRPr="00C3524C">
        <w:rPr>
          <w:rFonts w:ascii="Times New Roman" w:hAnsi="Times New Roman" w:cs="Times New Roman"/>
          <w:lang w:val="en-US"/>
        </w:rPr>
        <w:t xml:space="preserve">decided to grant the Treasury’s request to hold </w:t>
      </w:r>
      <w:r w:rsidR="00CF38CC">
        <w:rPr>
          <w:rFonts w:ascii="Times New Roman" w:hAnsi="Times New Roman" w:cs="Times New Roman"/>
          <w:lang w:val="en-US"/>
        </w:rPr>
        <w:t>a closed material procedure.  This was</w:t>
      </w:r>
      <w:r w:rsidR="00C3524C">
        <w:rPr>
          <w:rFonts w:ascii="Times New Roman" w:hAnsi="Times New Roman" w:cs="Times New Roman"/>
          <w:lang w:val="en-US"/>
        </w:rPr>
        <w:t xml:space="preserve"> because they </w:t>
      </w:r>
      <w:r w:rsidR="00073EFB" w:rsidRPr="00C3524C">
        <w:rPr>
          <w:rFonts w:ascii="Times New Roman" w:hAnsi="Times New Roman" w:cs="Times New Roman"/>
          <w:lang w:val="en-US"/>
        </w:rPr>
        <w:t>could not be sure, without seeing the closed judgment and listening to submissions on it, whether the closed judgment would have any effe</w:t>
      </w:r>
      <w:r w:rsidR="00CF38CC">
        <w:rPr>
          <w:rFonts w:ascii="Times New Roman" w:hAnsi="Times New Roman" w:cs="Times New Roman"/>
          <w:lang w:val="en-US"/>
        </w:rPr>
        <w:t>ct on the outcome of the appeal. T</w:t>
      </w:r>
      <w:r w:rsidR="00073EFB" w:rsidRPr="00C3524C">
        <w:rPr>
          <w:rFonts w:ascii="Times New Roman" w:hAnsi="Times New Roman" w:cs="Times New Roman"/>
          <w:lang w:val="en-US"/>
        </w:rPr>
        <w:t>here seemed to be a real risk of justice not being seen to be done to the Treasury if the Supreme Court did not proceed to hold a closed hearing</w:t>
      </w:r>
      <w:r w:rsidR="00C3524C">
        <w:rPr>
          <w:rFonts w:ascii="Times New Roman" w:hAnsi="Times New Roman" w:cs="Times New Roman"/>
          <w:lang w:val="en-US"/>
        </w:rPr>
        <w:t>.  However, after</w:t>
      </w:r>
      <w:r w:rsidR="00C3524C">
        <w:rPr>
          <w:rFonts w:ascii="Times New Roman" w:hAnsi="Times New Roman" w:cs="Times New Roman"/>
          <w:b/>
          <w:bCs/>
          <w:lang w:val="en-US"/>
        </w:rPr>
        <w:t xml:space="preserve"> </w:t>
      </w:r>
      <w:r w:rsidR="00C3524C">
        <w:rPr>
          <w:rFonts w:ascii="Times New Roman" w:hAnsi="Times New Roman" w:cs="Times New Roman"/>
          <w:bCs/>
          <w:lang w:val="en-US"/>
        </w:rPr>
        <w:t xml:space="preserve">holding a </w:t>
      </w:r>
      <w:r w:rsidR="00C3524C">
        <w:rPr>
          <w:rFonts w:ascii="Times New Roman" w:hAnsi="Times New Roman" w:cs="Times New Roman"/>
          <w:lang w:val="en-US"/>
        </w:rPr>
        <w:t>closed hearing, they concluded</w:t>
      </w:r>
      <w:r w:rsidR="00073EFB" w:rsidRPr="00C3524C">
        <w:rPr>
          <w:rFonts w:ascii="Times New Roman" w:hAnsi="Times New Roman" w:cs="Times New Roman"/>
          <w:lang w:val="en-US"/>
        </w:rPr>
        <w:t xml:space="preserve"> that there had been no point in the Supreme Court seeing the closed judgment, because there was nothing in it which could have affecte</w:t>
      </w:r>
      <w:r w:rsidR="00C3524C">
        <w:rPr>
          <w:rFonts w:ascii="Times New Roman" w:hAnsi="Times New Roman" w:cs="Times New Roman"/>
          <w:lang w:val="en-US"/>
        </w:rPr>
        <w:t>d the Supreme Court’s reasoning.</w:t>
      </w:r>
    </w:p>
    <w:p w:rsidR="00CF38CC" w:rsidRDefault="00CF38CC" w:rsidP="00CF38CC">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CF38CC" w:rsidRPr="00CF38CC" w:rsidRDefault="00CF38CC" w:rsidP="00CF38CC">
      <w:pPr>
        <w:pStyle w:val="ListParagraph"/>
        <w:numPr>
          <w:ilvl w:val="0"/>
          <w:numId w:val="2"/>
        </w:numPr>
        <w:jc w:val="both"/>
        <w:rPr>
          <w:rFonts w:ascii="Times New Roman" w:hAnsi="Times New Roman" w:cs="Times New Roman"/>
          <w:lang w:val="en-US"/>
        </w:rPr>
      </w:pPr>
      <w:r w:rsidRPr="00CF38CC">
        <w:rPr>
          <w:rFonts w:ascii="Times New Roman" w:hAnsi="Times New Roman" w:cs="Times New Roman"/>
          <w:lang w:val="en-US"/>
        </w:rPr>
        <w:t>Lord Neuberger drew seven conclusions from the experience</w:t>
      </w:r>
      <w:r w:rsidR="00352CC6">
        <w:rPr>
          <w:rFonts w:ascii="Times New Roman" w:hAnsi="Times New Roman" w:cs="Times New Roman"/>
          <w:lang w:val="en-US"/>
        </w:rPr>
        <w:t>,</w:t>
      </w:r>
      <w:r>
        <w:rPr>
          <w:rFonts w:ascii="Times New Roman" w:hAnsi="Times New Roman" w:cs="Times New Roman"/>
          <w:lang w:val="en-US"/>
        </w:rPr>
        <w:t xml:space="preserve"> summarised as follows</w:t>
      </w:r>
      <w:r w:rsidRPr="00CF38CC">
        <w:rPr>
          <w:rFonts w:ascii="Times New Roman" w:hAnsi="Times New Roman" w:cs="Times New Roman"/>
          <w:lang w:val="en-US"/>
        </w:rPr>
        <w:t>:</w:t>
      </w:r>
    </w:p>
    <w:p w:rsidR="00CF38CC" w:rsidRDefault="00CF38CC" w:rsidP="00CF38CC">
      <w:pPr>
        <w:pStyle w:val="ListParagraph"/>
        <w:widowControl w:val="0"/>
        <w:numPr>
          <w:ilvl w:val="0"/>
          <w:numId w:val="4"/>
        </w:numPr>
        <w:tabs>
          <w:tab w:val="left" w:pos="220"/>
          <w:tab w:val="left" w:pos="720"/>
        </w:tabs>
        <w:autoSpaceDE w:val="0"/>
        <w:autoSpaceDN w:val="0"/>
        <w:adjustRightInd w:val="0"/>
        <w:spacing w:after="0"/>
        <w:jc w:val="both"/>
        <w:rPr>
          <w:rFonts w:ascii="Times New Roman" w:hAnsi="Times New Roman" w:cs="Times New Roman"/>
          <w:lang w:val="en-US"/>
        </w:rPr>
      </w:pPr>
      <w:r>
        <w:rPr>
          <w:rFonts w:ascii="Times New Roman" w:hAnsi="Times New Roman" w:cs="Times New Roman"/>
          <w:lang w:val="en-US"/>
        </w:rPr>
        <w:t>if there is an open and closed judgment, the open judgment should identify every conclusion reached in whole or in part in light of points made or evidence in the closed judgment and the judge states what has been done;</w:t>
      </w:r>
    </w:p>
    <w:p w:rsidR="00CF38CC" w:rsidRDefault="00CF38CC" w:rsidP="00CF38CC">
      <w:pPr>
        <w:pStyle w:val="ListParagraph"/>
        <w:widowControl w:val="0"/>
        <w:numPr>
          <w:ilvl w:val="0"/>
          <w:numId w:val="4"/>
        </w:numPr>
        <w:tabs>
          <w:tab w:val="left" w:pos="220"/>
          <w:tab w:val="left" w:pos="720"/>
        </w:tabs>
        <w:autoSpaceDE w:val="0"/>
        <w:autoSpaceDN w:val="0"/>
        <w:adjustRightInd w:val="0"/>
        <w:spacing w:after="0"/>
        <w:jc w:val="both"/>
        <w:rPr>
          <w:rFonts w:ascii="Times New Roman" w:hAnsi="Times New Roman" w:cs="Times New Roman"/>
          <w:lang w:val="en-US"/>
        </w:rPr>
      </w:pPr>
      <w:r>
        <w:rPr>
          <w:rFonts w:ascii="Times New Roman" w:hAnsi="Times New Roman" w:cs="Times New Roman"/>
          <w:lang w:val="en-US"/>
        </w:rPr>
        <w:t>as much should be said in the open judgment about the closed material relied on in the closed judgment as possible;</w:t>
      </w:r>
    </w:p>
    <w:p w:rsidR="00CF38CC" w:rsidRDefault="00CF38CC" w:rsidP="00CF38CC">
      <w:pPr>
        <w:pStyle w:val="ListParagraph"/>
        <w:widowControl w:val="0"/>
        <w:numPr>
          <w:ilvl w:val="0"/>
          <w:numId w:val="4"/>
        </w:numPr>
        <w:tabs>
          <w:tab w:val="left" w:pos="220"/>
          <w:tab w:val="left" w:pos="720"/>
        </w:tabs>
        <w:autoSpaceDE w:val="0"/>
        <w:autoSpaceDN w:val="0"/>
        <w:adjustRightInd w:val="0"/>
        <w:spacing w:after="0"/>
        <w:jc w:val="both"/>
        <w:rPr>
          <w:rFonts w:ascii="Times New Roman" w:hAnsi="Times New Roman" w:cs="Times New Roman"/>
          <w:lang w:val="en-US"/>
        </w:rPr>
      </w:pPr>
      <w:r>
        <w:rPr>
          <w:rFonts w:ascii="Times New Roman" w:hAnsi="Times New Roman" w:cs="Times New Roman"/>
          <w:lang w:val="en-US"/>
        </w:rPr>
        <w:t>on appeal</w:t>
      </w:r>
      <w:r w:rsidRPr="00CF38CC">
        <w:rPr>
          <w:rFonts w:ascii="Times New Roman" w:hAnsi="Times New Roman" w:cs="Times New Roman"/>
          <w:lang w:val="en-US"/>
        </w:rPr>
        <w:t xml:space="preserve"> against an open and closed judgment, an appellate court should, of course, only be asked to conduct a closed hearing if it is strictly necessary fo</w:t>
      </w:r>
      <w:r>
        <w:rPr>
          <w:rFonts w:ascii="Times New Roman" w:hAnsi="Times New Roman" w:cs="Times New Roman"/>
          <w:lang w:val="en-US"/>
        </w:rPr>
        <w:t>r fairly determining the appeal and the advocate should considered very carefully whether to make such a request;</w:t>
      </w:r>
    </w:p>
    <w:p w:rsidR="00CF38CC" w:rsidRDefault="00CF38CC" w:rsidP="00CF38CC">
      <w:pPr>
        <w:pStyle w:val="ListParagraph"/>
        <w:widowControl w:val="0"/>
        <w:numPr>
          <w:ilvl w:val="0"/>
          <w:numId w:val="4"/>
        </w:numPr>
        <w:tabs>
          <w:tab w:val="left" w:pos="220"/>
          <w:tab w:val="left" w:pos="720"/>
        </w:tabs>
        <w:autoSpaceDE w:val="0"/>
        <w:autoSpaceDN w:val="0"/>
        <w:adjustRightInd w:val="0"/>
        <w:spacing w:after="0"/>
        <w:jc w:val="both"/>
        <w:rPr>
          <w:rFonts w:ascii="Times New Roman" w:hAnsi="Times New Roman" w:cs="Times New Roman"/>
          <w:lang w:val="en-US"/>
        </w:rPr>
      </w:pPr>
      <w:r w:rsidRPr="00CF38CC">
        <w:rPr>
          <w:rFonts w:ascii="Times New Roman" w:hAnsi="Times New Roman" w:cs="Times New Roman"/>
          <w:lang w:val="en-US"/>
        </w:rPr>
        <w:t>if the appellate court decides that it should look at closed material, careful consideration should be given by the advocates, and indeed by the court, to the question whether it would nonetheless be possible to avoi</w:t>
      </w:r>
      <w:r>
        <w:rPr>
          <w:rFonts w:ascii="Times New Roman" w:hAnsi="Times New Roman" w:cs="Times New Roman"/>
          <w:lang w:val="en-US"/>
        </w:rPr>
        <w:t>d a closed substantive hearing;</w:t>
      </w:r>
    </w:p>
    <w:p w:rsidR="001F2024" w:rsidRDefault="00CF38CC" w:rsidP="001F2024">
      <w:pPr>
        <w:pStyle w:val="ListParagraph"/>
        <w:widowControl w:val="0"/>
        <w:numPr>
          <w:ilvl w:val="0"/>
          <w:numId w:val="4"/>
        </w:numPr>
        <w:tabs>
          <w:tab w:val="left" w:pos="220"/>
          <w:tab w:val="left" w:pos="720"/>
        </w:tabs>
        <w:autoSpaceDE w:val="0"/>
        <w:autoSpaceDN w:val="0"/>
        <w:adjustRightInd w:val="0"/>
        <w:spacing w:after="0"/>
        <w:jc w:val="both"/>
        <w:rPr>
          <w:rFonts w:ascii="Times New Roman" w:hAnsi="Times New Roman" w:cs="Times New Roman"/>
          <w:lang w:val="en-US"/>
        </w:rPr>
      </w:pPr>
      <w:r w:rsidRPr="00CF38CC">
        <w:rPr>
          <w:rFonts w:ascii="Times New Roman" w:hAnsi="Times New Roman" w:cs="Times New Roman"/>
          <w:lang w:val="en-US"/>
        </w:rPr>
        <w:t xml:space="preserve">if the court decides that a closed material procedure appears to be necessary, the parties should try and agree a way of avoiding, or minimising </w:t>
      </w:r>
      <w:r w:rsidR="001F2024">
        <w:rPr>
          <w:rFonts w:ascii="Times New Roman" w:hAnsi="Times New Roman" w:cs="Times New Roman"/>
          <w:lang w:val="en-US"/>
        </w:rPr>
        <w:t>the extent of, a closed hearing;</w:t>
      </w:r>
    </w:p>
    <w:p w:rsidR="001F2024" w:rsidRDefault="00CF38CC" w:rsidP="001F2024">
      <w:pPr>
        <w:pStyle w:val="ListParagraph"/>
        <w:widowControl w:val="0"/>
        <w:numPr>
          <w:ilvl w:val="0"/>
          <w:numId w:val="4"/>
        </w:numPr>
        <w:tabs>
          <w:tab w:val="left" w:pos="220"/>
          <w:tab w:val="left" w:pos="720"/>
        </w:tabs>
        <w:autoSpaceDE w:val="0"/>
        <w:autoSpaceDN w:val="0"/>
        <w:adjustRightInd w:val="0"/>
        <w:spacing w:after="0"/>
        <w:jc w:val="both"/>
        <w:rPr>
          <w:rFonts w:ascii="Times New Roman" w:hAnsi="Times New Roman" w:cs="Times New Roman"/>
          <w:lang w:val="en-US"/>
        </w:rPr>
      </w:pPr>
      <w:r w:rsidRPr="001F2024">
        <w:rPr>
          <w:rFonts w:ascii="Times New Roman" w:hAnsi="Times New Roman" w:cs="Times New Roman"/>
          <w:lang w:val="en-US"/>
        </w:rPr>
        <w:lastRenderedPageBreak/>
        <w:t xml:space="preserve">if there is a closed hearing, the lawyers representing the party who is relying on the closed material, as well as that party itself, should ensure that, well in advance of the hearing of the appeal, (i) the excluded party is given as much information as possible about any closed documents (including any closed judgment) relied on, and (ii) the special advocates are given as full information as possible as to the nature of the passages relied on in such closed documents and the arguments which will </w:t>
      </w:r>
      <w:r w:rsidR="001F2024">
        <w:rPr>
          <w:rFonts w:ascii="Times New Roman" w:hAnsi="Times New Roman" w:cs="Times New Roman"/>
          <w:lang w:val="en-US"/>
        </w:rPr>
        <w:t>be advanced in relation thereto;</w:t>
      </w:r>
    </w:p>
    <w:p w:rsidR="001F2024" w:rsidRPr="00CF38CC" w:rsidRDefault="001F2024" w:rsidP="001F2024">
      <w:pPr>
        <w:pStyle w:val="ListParagraph"/>
        <w:widowControl w:val="0"/>
        <w:numPr>
          <w:ilvl w:val="0"/>
          <w:numId w:val="4"/>
        </w:numPr>
        <w:tabs>
          <w:tab w:val="left" w:pos="220"/>
          <w:tab w:val="left" w:pos="720"/>
        </w:tabs>
        <w:autoSpaceDE w:val="0"/>
        <w:autoSpaceDN w:val="0"/>
        <w:adjustRightInd w:val="0"/>
        <w:spacing w:after="0"/>
        <w:jc w:val="both"/>
        <w:rPr>
          <w:rFonts w:ascii="Times New Roman" w:hAnsi="Times New Roman" w:cs="Times New Roman"/>
          <w:lang w:val="en-US"/>
        </w:rPr>
      </w:pPr>
      <w:proofErr w:type="gramStart"/>
      <w:r>
        <w:rPr>
          <w:rFonts w:ascii="Times New Roman" w:hAnsi="Times New Roman" w:cs="Times New Roman"/>
          <w:lang w:val="en-US"/>
        </w:rPr>
        <w:t>the</w:t>
      </w:r>
      <w:proofErr w:type="gramEnd"/>
      <w:r>
        <w:rPr>
          <w:rFonts w:ascii="Times New Roman" w:hAnsi="Times New Roman" w:cs="Times New Roman"/>
          <w:lang w:val="en-US"/>
        </w:rPr>
        <w:t xml:space="preserve"> </w:t>
      </w:r>
      <w:r w:rsidR="00CF38CC" w:rsidRPr="001F2024">
        <w:rPr>
          <w:rFonts w:ascii="Times New Roman" w:hAnsi="Times New Roman" w:cs="Times New Roman"/>
          <w:lang w:val="en-US"/>
        </w:rPr>
        <w:t xml:space="preserve">appellate courts should be robust about acceding to applications to go into closed session or even to look at closed material. </w:t>
      </w:r>
    </w:p>
    <w:p w:rsidR="00C3524C" w:rsidRPr="001F2024" w:rsidRDefault="00C3524C" w:rsidP="001F2024">
      <w:pPr>
        <w:jc w:val="both"/>
        <w:rPr>
          <w:rFonts w:ascii="Times New Roman" w:hAnsi="Times New Roman" w:cs="Times New Roman"/>
          <w:lang w:val="en-US"/>
        </w:rPr>
      </w:pPr>
    </w:p>
    <w:p w:rsidR="00C3524C" w:rsidRDefault="00C3524C" w:rsidP="00C3524C">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Much of the debate about the ability to conduct closed material procedures </w:t>
      </w:r>
      <w:r w:rsidR="001F2024">
        <w:rPr>
          <w:rFonts w:ascii="Times New Roman" w:hAnsi="Times New Roman" w:cs="Times New Roman"/>
          <w:lang w:val="en-US"/>
        </w:rPr>
        <w:t xml:space="preserve">at the first stage of litigation </w:t>
      </w:r>
      <w:r>
        <w:rPr>
          <w:rFonts w:ascii="Times New Roman" w:hAnsi="Times New Roman" w:cs="Times New Roman"/>
          <w:lang w:val="en-US"/>
        </w:rPr>
        <w:t>has now been rendered academic in light of Parliamentary intervention in the form of</w:t>
      </w:r>
      <w:r w:rsidR="003D6EFA">
        <w:rPr>
          <w:rFonts w:ascii="Times New Roman" w:hAnsi="Times New Roman" w:cs="Times New Roman"/>
          <w:lang w:val="en-US"/>
        </w:rPr>
        <w:t xml:space="preserve"> Justice and Security Act 2013</w:t>
      </w:r>
      <w:r w:rsidR="001F2024">
        <w:rPr>
          <w:rFonts w:ascii="Times New Roman" w:hAnsi="Times New Roman" w:cs="Times New Roman"/>
          <w:lang w:val="en-US"/>
        </w:rPr>
        <w:t>.  This</w:t>
      </w:r>
      <w:r w:rsidR="003D6EFA">
        <w:rPr>
          <w:rFonts w:ascii="Times New Roman" w:hAnsi="Times New Roman" w:cs="Times New Roman"/>
          <w:lang w:val="en-US"/>
        </w:rPr>
        <w:t xml:space="preserve"> enables closed material procedures to be carried out in civil litigation.</w:t>
      </w:r>
      <w:r>
        <w:rPr>
          <w:rFonts w:ascii="Times New Roman" w:hAnsi="Times New Roman" w:cs="Times New Roman"/>
          <w:lang w:val="en-US"/>
        </w:rPr>
        <w:t xml:space="preserve"> </w:t>
      </w:r>
    </w:p>
    <w:p w:rsidR="00C3524C" w:rsidRDefault="00C3524C" w:rsidP="00C3524C">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C3524C" w:rsidRPr="003D6EFA" w:rsidRDefault="00C3524C" w:rsidP="00C3524C">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However, it seems likely that the </w:t>
      </w:r>
      <w:r w:rsidR="00BC3EDB">
        <w:rPr>
          <w:rFonts w:ascii="Times New Roman" w:hAnsi="Times New Roman" w:cs="Times New Roman"/>
          <w:lang w:val="en-US"/>
        </w:rPr>
        <w:t xml:space="preserve">approach of the Supreme Court in the </w:t>
      </w:r>
      <w:r w:rsidRPr="001F2024">
        <w:rPr>
          <w:rFonts w:ascii="Times New Roman" w:hAnsi="Times New Roman" w:cs="Times New Roman"/>
          <w:i/>
          <w:lang w:val="en-US"/>
        </w:rPr>
        <w:t>Bank Mellat</w:t>
      </w:r>
      <w:r w:rsidR="00352CC6">
        <w:rPr>
          <w:rFonts w:ascii="Times New Roman" w:hAnsi="Times New Roman" w:cs="Times New Roman"/>
          <w:i/>
          <w:lang w:val="en-US"/>
        </w:rPr>
        <w:t xml:space="preserve"> (No.1)</w:t>
      </w:r>
      <w:r>
        <w:rPr>
          <w:rFonts w:ascii="Times New Roman" w:hAnsi="Times New Roman" w:cs="Times New Roman"/>
          <w:lang w:val="en-US"/>
        </w:rPr>
        <w:t xml:space="preserve"> as to the general reluctance at the appellate level of resorting to a closed material procedure will continue to </w:t>
      </w:r>
      <w:r w:rsidR="001F2024">
        <w:rPr>
          <w:rFonts w:ascii="Times New Roman" w:hAnsi="Times New Roman" w:cs="Times New Roman"/>
          <w:lang w:val="en-US"/>
        </w:rPr>
        <w:t xml:space="preserve">apply </w:t>
      </w:r>
      <w:r w:rsidR="00BC3EDB">
        <w:rPr>
          <w:rFonts w:ascii="Times New Roman" w:hAnsi="Times New Roman" w:cs="Times New Roman"/>
          <w:lang w:val="en-US"/>
        </w:rPr>
        <w:t>under the new legislative provisions.</w:t>
      </w:r>
    </w:p>
    <w:p w:rsidR="00C3524C" w:rsidRDefault="00C3524C" w:rsidP="00C3524C">
      <w:pPr>
        <w:pStyle w:val="ListParagraph"/>
        <w:jc w:val="both"/>
        <w:rPr>
          <w:rFonts w:ascii="Times New Roman" w:hAnsi="Times New Roman" w:cs="Times New Roman"/>
          <w:lang w:val="en-US"/>
        </w:rPr>
      </w:pPr>
    </w:p>
    <w:p w:rsidR="00C3524C" w:rsidRDefault="00C3524C" w:rsidP="00C3524C">
      <w:pPr>
        <w:pStyle w:val="ListParagraph"/>
        <w:jc w:val="both"/>
        <w:rPr>
          <w:rFonts w:ascii="Times New Roman" w:hAnsi="Times New Roman" w:cs="Times New Roman"/>
          <w:lang w:val="en-US"/>
        </w:rPr>
      </w:pPr>
      <w:r>
        <w:rPr>
          <w:rFonts w:ascii="Times New Roman" w:hAnsi="Times New Roman" w:cs="Times New Roman"/>
          <w:u w:val="single"/>
          <w:lang w:val="en-US"/>
        </w:rPr>
        <w:t>Fair Procedures</w:t>
      </w:r>
      <w:r>
        <w:rPr>
          <w:rFonts w:ascii="Times New Roman" w:hAnsi="Times New Roman" w:cs="Times New Roman"/>
          <w:lang w:val="en-US"/>
        </w:rPr>
        <w:t xml:space="preserve"> </w:t>
      </w:r>
    </w:p>
    <w:p w:rsidR="00BC3EDB" w:rsidRDefault="00C3524C" w:rsidP="00C3524C">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The </w:t>
      </w:r>
      <w:r w:rsidRPr="001F2024">
        <w:rPr>
          <w:rFonts w:ascii="Times New Roman" w:hAnsi="Times New Roman" w:cs="Times New Roman"/>
          <w:i/>
          <w:lang w:val="en-US"/>
        </w:rPr>
        <w:t>Bank Mellat</w:t>
      </w:r>
      <w:r>
        <w:rPr>
          <w:rFonts w:ascii="Times New Roman" w:hAnsi="Times New Roman" w:cs="Times New Roman"/>
          <w:lang w:val="en-US"/>
        </w:rPr>
        <w:t xml:space="preserve"> </w:t>
      </w:r>
      <w:r w:rsidR="00352CC6">
        <w:rPr>
          <w:rFonts w:ascii="Times New Roman" w:hAnsi="Times New Roman" w:cs="Times New Roman"/>
          <w:lang w:val="en-US"/>
        </w:rPr>
        <w:t>decision</w:t>
      </w:r>
      <w:r>
        <w:rPr>
          <w:rFonts w:ascii="Times New Roman" w:hAnsi="Times New Roman" w:cs="Times New Roman"/>
          <w:lang w:val="en-US"/>
        </w:rPr>
        <w:t xml:space="preserve"> is not only significant </w:t>
      </w:r>
      <w:r w:rsidR="00BC3EDB">
        <w:rPr>
          <w:rFonts w:ascii="Times New Roman" w:hAnsi="Times New Roman" w:cs="Times New Roman"/>
          <w:lang w:val="en-US"/>
        </w:rPr>
        <w:t>for its consideration of the closed material procedure.  The second long judgment relates to the substantive appeal as to whether or not the Order in question was validly made</w:t>
      </w:r>
      <w:r w:rsidR="00352CC6">
        <w:rPr>
          <w:rFonts w:ascii="Times New Roman" w:hAnsi="Times New Roman" w:cs="Times New Roman"/>
          <w:lang w:val="en-US"/>
        </w:rPr>
        <w:t xml:space="preserve">: </w:t>
      </w:r>
      <w:r w:rsidR="00352CC6">
        <w:rPr>
          <w:rFonts w:ascii="Times New Roman" w:hAnsi="Times New Roman" w:cs="Times New Roman"/>
          <w:i/>
          <w:lang w:val="en-US"/>
        </w:rPr>
        <w:t xml:space="preserve">Bank Mellat v HM Treasury (No.2) </w:t>
      </w:r>
      <w:r w:rsidR="00352CC6">
        <w:rPr>
          <w:rFonts w:ascii="Times New Roman" w:hAnsi="Times New Roman" w:cs="Times New Roman"/>
          <w:lang w:val="en-US"/>
        </w:rPr>
        <w:t>[2013] UKSC 39</w:t>
      </w:r>
      <w:r w:rsidR="00BC3EDB">
        <w:rPr>
          <w:rFonts w:ascii="Times New Roman" w:hAnsi="Times New Roman" w:cs="Times New Roman"/>
          <w:lang w:val="en-US"/>
        </w:rPr>
        <w:t>.</w:t>
      </w:r>
    </w:p>
    <w:p w:rsidR="00BC3EDB" w:rsidRDefault="00BC3EDB" w:rsidP="00BC3EDB">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BC3EDB" w:rsidRPr="00BC3EDB" w:rsidRDefault="00BC3EDB" w:rsidP="00BC3EDB">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Bank Mellat sought to set aside t</w:t>
      </w:r>
      <w:r w:rsidR="00073EFB" w:rsidRPr="00BC3EDB">
        <w:rPr>
          <w:rFonts w:ascii="Times New Roman" w:hAnsi="Times New Roman" w:cs="Times New Roman"/>
          <w:lang w:val="en-US"/>
        </w:rPr>
        <w:t>he Treasury</w:t>
      </w:r>
      <w:r>
        <w:rPr>
          <w:rFonts w:ascii="Times New Roman" w:hAnsi="Times New Roman" w:cs="Times New Roman"/>
          <w:lang w:val="en-US"/>
        </w:rPr>
        <w:t>’s</w:t>
      </w:r>
      <w:r w:rsidR="00073EFB" w:rsidRPr="00BC3EDB">
        <w:rPr>
          <w:rFonts w:ascii="Times New Roman" w:hAnsi="Times New Roman" w:cs="Times New Roman"/>
          <w:lang w:val="en-US"/>
        </w:rPr>
        <w:t xml:space="preserve"> direction under Schedule 7 of </w:t>
      </w:r>
      <w:r w:rsidR="001F2024">
        <w:rPr>
          <w:rFonts w:ascii="Times New Roman" w:hAnsi="Times New Roman" w:cs="Times New Roman"/>
          <w:lang w:val="en-US"/>
        </w:rPr>
        <w:t>the Counter-Terrorism Act 2008</w:t>
      </w:r>
      <w:r w:rsidR="00073EFB" w:rsidRPr="00BC3EDB">
        <w:rPr>
          <w:rFonts w:ascii="Times New Roman" w:hAnsi="Times New Roman" w:cs="Times New Roman"/>
          <w:lang w:val="en-US"/>
        </w:rPr>
        <w:t xml:space="preserve"> requiring all persons operating in the financial sector not to have any commercial dealings with Bank Mellat. </w:t>
      </w:r>
    </w:p>
    <w:p w:rsidR="00BC3EDB" w:rsidRDefault="00BC3EDB" w:rsidP="00BC3EDB">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352CC6" w:rsidRDefault="00BC3EDB" w:rsidP="00BC3EDB">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T</w:t>
      </w:r>
      <w:r w:rsidR="00073EFB" w:rsidRPr="00BC3EDB">
        <w:rPr>
          <w:rFonts w:ascii="Times New Roman" w:hAnsi="Times New Roman" w:cs="Times New Roman"/>
          <w:lang w:val="en-US"/>
        </w:rPr>
        <w:t xml:space="preserve">he </w:t>
      </w:r>
      <w:r w:rsidR="001F2024">
        <w:rPr>
          <w:rFonts w:ascii="Times New Roman" w:hAnsi="Times New Roman" w:cs="Times New Roman"/>
          <w:lang w:val="en-US"/>
        </w:rPr>
        <w:t xml:space="preserve">2008 </w:t>
      </w:r>
      <w:r w:rsidR="00073EFB" w:rsidRPr="00BC3EDB">
        <w:rPr>
          <w:rFonts w:ascii="Times New Roman" w:hAnsi="Times New Roman" w:cs="Times New Roman"/>
          <w:lang w:val="en-US"/>
        </w:rPr>
        <w:t xml:space="preserve">Act </w:t>
      </w:r>
      <w:r w:rsidR="001F2024">
        <w:rPr>
          <w:rFonts w:ascii="Times New Roman" w:hAnsi="Times New Roman" w:cs="Times New Roman"/>
          <w:lang w:val="en-US"/>
        </w:rPr>
        <w:t xml:space="preserve">itself </w:t>
      </w:r>
      <w:r>
        <w:rPr>
          <w:rFonts w:ascii="Times New Roman" w:hAnsi="Times New Roman" w:cs="Times New Roman"/>
          <w:lang w:val="en-US"/>
        </w:rPr>
        <w:t>only laid dow</w:t>
      </w:r>
      <w:r w:rsidR="00073EFB" w:rsidRPr="00BC3EDB">
        <w:rPr>
          <w:rFonts w:ascii="Times New Roman" w:hAnsi="Times New Roman" w:cs="Times New Roman"/>
          <w:lang w:val="en-US"/>
        </w:rPr>
        <w:t>n three safeguards: (1) the direction must be laid before Parliament after being made and unless approved by affirmative resolution within 28 days will cease to have effect thereafter; (2) the direction must be proportionate having regard to the risk to the national interest presented by, in this case, nuclear proliferation; and (3) any person affected by the direction may apply to the High Court to set it aside.</w:t>
      </w:r>
      <w:r>
        <w:rPr>
          <w:rFonts w:ascii="Times New Roman" w:hAnsi="Times New Roman" w:cs="Times New Roman"/>
          <w:lang w:val="en-US"/>
        </w:rPr>
        <w:t xml:space="preserve"> </w:t>
      </w:r>
    </w:p>
    <w:p w:rsidR="00352CC6" w:rsidRPr="00352CC6" w:rsidRDefault="00352CC6" w:rsidP="00352CC6">
      <w:pPr>
        <w:pStyle w:val="ListParagraph"/>
        <w:rPr>
          <w:rFonts w:ascii="Times New Roman" w:hAnsi="Times New Roman" w:cs="Times New Roman"/>
          <w:lang w:val="en-US"/>
        </w:rPr>
      </w:pPr>
    </w:p>
    <w:p w:rsidR="00BC3EDB" w:rsidRPr="00BC3EDB" w:rsidRDefault="00BC3EDB" w:rsidP="00BC3EDB">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However</w:t>
      </w:r>
      <w:r w:rsidR="00352CC6">
        <w:rPr>
          <w:rFonts w:ascii="Times New Roman" w:hAnsi="Times New Roman" w:cs="Times New Roman"/>
          <w:lang w:val="en-US"/>
        </w:rPr>
        <w:t>,</w:t>
      </w:r>
      <w:r>
        <w:rPr>
          <w:rFonts w:ascii="Times New Roman" w:hAnsi="Times New Roman" w:cs="Times New Roman"/>
          <w:lang w:val="en-US"/>
        </w:rPr>
        <w:t xml:space="preserve"> the majority of the Supreme Court concluded that the order should be set aside on procedural grounds because </w:t>
      </w:r>
      <w:r w:rsidR="00073EFB" w:rsidRPr="00BC3EDB">
        <w:rPr>
          <w:rFonts w:ascii="Times New Roman" w:hAnsi="Times New Roman" w:cs="Times New Roman"/>
          <w:lang w:val="en-US"/>
        </w:rPr>
        <w:t xml:space="preserve">the Treasury </w:t>
      </w:r>
      <w:r w:rsidR="001F2024">
        <w:rPr>
          <w:rFonts w:ascii="Times New Roman" w:hAnsi="Times New Roman" w:cs="Times New Roman"/>
          <w:lang w:val="en-US"/>
        </w:rPr>
        <w:t xml:space="preserve">had </w:t>
      </w:r>
      <w:r w:rsidR="00073EFB" w:rsidRPr="00BC3EDB">
        <w:rPr>
          <w:rFonts w:ascii="Times New Roman" w:hAnsi="Times New Roman" w:cs="Times New Roman"/>
          <w:lang w:val="en-US"/>
        </w:rPr>
        <w:t xml:space="preserve">failed to give the </w:t>
      </w:r>
      <w:r>
        <w:rPr>
          <w:rFonts w:ascii="Times New Roman" w:hAnsi="Times New Roman" w:cs="Times New Roman"/>
          <w:lang w:val="en-US"/>
        </w:rPr>
        <w:t xml:space="preserve">Bank the </w:t>
      </w:r>
      <w:r w:rsidR="00073EFB" w:rsidRPr="00BC3EDB">
        <w:rPr>
          <w:rFonts w:ascii="Times New Roman" w:hAnsi="Times New Roman" w:cs="Times New Roman"/>
          <w:lang w:val="en-US"/>
        </w:rPr>
        <w:t xml:space="preserve">opportunity to make representations before making the direction. </w:t>
      </w:r>
      <w:r>
        <w:rPr>
          <w:rFonts w:ascii="Times New Roman" w:hAnsi="Times New Roman" w:cs="Times New Roman"/>
          <w:lang w:val="en-US"/>
        </w:rPr>
        <w:t>Despite the absence of any</w:t>
      </w:r>
      <w:r w:rsidR="00073EFB" w:rsidRPr="00BC3EDB">
        <w:rPr>
          <w:rFonts w:ascii="Times New Roman" w:hAnsi="Times New Roman" w:cs="Times New Roman"/>
          <w:lang w:val="en-US"/>
        </w:rPr>
        <w:t xml:space="preserve"> express statutory right to such an opportunity, </w:t>
      </w:r>
      <w:r>
        <w:rPr>
          <w:rFonts w:ascii="Times New Roman" w:hAnsi="Times New Roman" w:cs="Times New Roman"/>
          <w:lang w:val="en-US"/>
        </w:rPr>
        <w:t xml:space="preserve">the </w:t>
      </w:r>
      <w:r w:rsidR="001F2024">
        <w:rPr>
          <w:rFonts w:ascii="Times New Roman" w:hAnsi="Times New Roman" w:cs="Times New Roman"/>
          <w:lang w:val="en-US"/>
        </w:rPr>
        <w:t xml:space="preserve">Supreme </w:t>
      </w:r>
      <w:r>
        <w:rPr>
          <w:rFonts w:ascii="Times New Roman" w:hAnsi="Times New Roman" w:cs="Times New Roman"/>
          <w:lang w:val="en-US"/>
        </w:rPr>
        <w:t xml:space="preserve">Court concluded </w:t>
      </w:r>
      <w:r w:rsidR="00073EFB" w:rsidRPr="00BC3EDB">
        <w:rPr>
          <w:rFonts w:ascii="Times New Roman" w:hAnsi="Times New Roman" w:cs="Times New Roman"/>
          <w:lang w:val="en-US"/>
        </w:rPr>
        <w:t>that such an opportu</w:t>
      </w:r>
      <w:r>
        <w:rPr>
          <w:rFonts w:ascii="Times New Roman" w:hAnsi="Times New Roman" w:cs="Times New Roman"/>
          <w:lang w:val="en-US"/>
        </w:rPr>
        <w:t>nity was required at common law.  The Supreme Court also allowed the appeal on substantive grounds to the effect that the Order was not justified under the Act.</w:t>
      </w:r>
    </w:p>
    <w:p w:rsidR="00BC3EDB" w:rsidRDefault="00BC3EDB" w:rsidP="00BC3EDB">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7C681F" w:rsidRPr="001F2024" w:rsidRDefault="001F2024" w:rsidP="007C681F">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T</w:t>
      </w:r>
      <w:r w:rsidR="00BC3EDB">
        <w:rPr>
          <w:rFonts w:ascii="Times New Roman" w:hAnsi="Times New Roman" w:cs="Times New Roman"/>
          <w:lang w:val="en-US"/>
        </w:rPr>
        <w:t>he decision of the</w:t>
      </w:r>
      <w:r w:rsidR="00073EFB" w:rsidRPr="00BC3EDB">
        <w:rPr>
          <w:rFonts w:ascii="Times New Roman" w:hAnsi="Times New Roman" w:cs="Times New Roman"/>
          <w:lang w:val="en-US"/>
        </w:rPr>
        <w:t xml:space="preserve"> Supreme Court </w:t>
      </w:r>
      <w:r>
        <w:rPr>
          <w:rFonts w:ascii="Times New Roman" w:hAnsi="Times New Roman" w:cs="Times New Roman"/>
          <w:lang w:val="en-US"/>
        </w:rPr>
        <w:t>is a continuing example of</w:t>
      </w:r>
      <w:r w:rsidR="00BC3EDB">
        <w:rPr>
          <w:rFonts w:ascii="Times New Roman" w:hAnsi="Times New Roman" w:cs="Times New Roman"/>
          <w:lang w:val="en-US"/>
        </w:rPr>
        <w:t xml:space="preserve"> what appears to be an increasingly common practice of larger panels sitting on cases</w:t>
      </w:r>
      <w:r>
        <w:rPr>
          <w:rFonts w:ascii="Times New Roman" w:hAnsi="Times New Roman" w:cs="Times New Roman"/>
          <w:lang w:val="en-US"/>
        </w:rPr>
        <w:t>, with</w:t>
      </w:r>
      <w:r w:rsidR="00BC3EDB">
        <w:rPr>
          <w:rFonts w:ascii="Times New Roman" w:hAnsi="Times New Roman" w:cs="Times New Roman"/>
          <w:lang w:val="en-US"/>
        </w:rPr>
        <w:t xml:space="preserve"> </w:t>
      </w:r>
      <w:r w:rsidR="007C681F">
        <w:rPr>
          <w:rFonts w:ascii="Times New Roman" w:hAnsi="Times New Roman" w:cs="Times New Roman"/>
          <w:lang w:val="en-US"/>
        </w:rPr>
        <w:t xml:space="preserve">decisions passed by relative narrow majorities.  In this case, the appeal was </w:t>
      </w:r>
      <w:r w:rsidR="007C681F">
        <w:rPr>
          <w:rFonts w:ascii="Times New Roman" w:hAnsi="Times New Roman" w:cs="Times New Roman"/>
          <w:lang w:val="en-US"/>
        </w:rPr>
        <w:lastRenderedPageBreak/>
        <w:t>allowed on</w:t>
      </w:r>
      <w:r w:rsidR="00073EFB" w:rsidRPr="00BC3EDB">
        <w:rPr>
          <w:rFonts w:ascii="Times New Roman" w:hAnsi="Times New Roman" w:cs="Times New Roman"/>
          <w:lang w:val="en-US"/>
        </w:rPr>
        <w:t xml:space="preserve"> the procedural ground by a majority of 6 to 3 ((Lords Hope, Reed and Carnwath dissenting); and on the substantive grounds by a majority of 5 to 4 (Lords Neuberger, Hope, Dyson and Reed dissenting). </w:t>
      </w:r>
    </w:p>
    <w:p w:rsidR="001F2024" w:rsidRDefault="001F2024" w:rsidP="001F2024">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7C681F" w:rsidRPr="001F2024" w:rsidRDefault="007C681F" w:rsidP="007C681F">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Lord Sumption’s majority judgment on procedural grounds is of particular </w:t>
      </w:r>
      <w:r w:rsidR="001F2024">
        <w:rPr>
          <w:rFonts w:ascii="Times New Roman" w:hAnsi="Times New Roman" w:cs="Times New Roman"/>
          <w:lang w:val="en-US"/>
        </w:rPr>
        <w:t xml:space="preserve">wider </w:t>
      </w:r>
      <w:r>
        <w:rPr>
          <w:rFonts w:ascii="Times New Roman" w:hAnsi="Times New Roman" w:cs="Times New Roman"/>
          <w:lang w:val="en-US"/>
        </w:rPr>
        <w:t xml:space="preserve">interest in relation to </w:t>
      </w:r>
      <w:r w:rsidR="001F2024">
        <w:rPr>
          <w:rFonts w:ascii="Times New Roman" w:hAnsi="Times New Roman" w:cs="Times New Roman"/>
          <w:lang w:val="en-US"/>
        </w:rPr>
        <w:t>the</w:t>
      </w:r>
      <w:r>
        <w:rPr>
          <w:rFonts w:ascii="Times New Roman" w:hAnsi="Times New Roman" w:cs="Times New Roman"/>
          <w:lang w:val="en-US"/>
        </w:rPr>
        <w:t xml:space="preserve"> analysis of the common law requirem</w:t>
      </w:r>
      <w:r w:rsidR="001F2024">
        <w:rPr>
          <w:rFonts w:ascii="Times New Roman" w:hAnsi="Times New Roman" w:cs="Times New Roman"/>
          <w:lang w:val="en-US"/>
        </w:rPr>
        <w:t xml:space="preserve">ents of the duties of fairness, in circumstances </w:t>
      </w:r>
      <w:r>
        <w:rPr>
          <w:rFonts w:ascii="Times New Roman" w:hAnsi="Times New Roman" w:cs="Times New Roman"/>
          <w:lang w:val="en-US"/>
        </w:rPr>
        <w:t>where coercive action is taken peremptorily by the State pursuant to statutory powers.</w:t>
      </w:r>
    </w:p>
    <w:p w:rsidR="001F2024" w:rsidRDefault="001F2024" w:rsidP="001F2024">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1F2024" w:rsidRPr="001F2024" w:rsidRDefault="007C681F" w:rsidP="001F2024">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He concluded that a</w:t>
      </w:r>
      <w:r w:rsidR="00073EFB" w:rsidRPr="007C681F">
        <w:rPr>
          <w:rFonts w:ascii="Times New Roman" w:hAnsi="Times New Roman" w:cs="Times New Roman"/>
          <w:lang w:val="en-US"/>
        </w:rPr>
        <w:t xml:space="preserve"> common law duty of prior consultation depended on the particular circums</w:t>
      </w:r>
      <w:r>
        <w:rPr>
          <w:rFonts w:ascii="Times New Roman" w:hAnsi="Times New Roman" w:cs="Times New Roman"/>
          <w:lang w:val="en-US"/>
        </w:rPr>
        <w:t xml:space="preserve">tances in which each direction was </w:t>
      </w:r>
      <w:r w:rsidR="00073EFB" w:rsidRPr="007C681F">
        <w:rPr>
          <w:rFonts w:ascii="Times New Roman" w:hAnsi="Times New Roman" w:cs="Times New Roman"/>
          <w:lang w:val="en-US"/>
        </w:rPr>
        <w:t>made</w:t>
      </w:r>
      <w:r>
        <w:rPr>
          <w:rFonts w:ascii="Times New Roman" w:hAnsi="Times New Roman" w:cs="Times New Roman"/>
          <w:lang w:val="en-US"/>
        </w:rPr>
        <w:t xml:space="preserve">, but </w:t>
      </w:r>
      <w:r w:rsidR="001F2024">
        <w:rPr>
          <w:rFonts w:ascii="Times New Roman" w:hAnsi="Times New Roman" w:cs="Times New Roman"/>
          <w:lang w:val="en-US"/>
        </w:rPr>
        <w:t>that</w:t>
      </w:r>
      <w:r w:rsidR="00073EFB" w:rsidRPr="007C681F">
        <w:rPr>
          <w:rFonts w:ascii="Times New Roman" w:hAnsi="Times New Roman" w:cs="Times New Roman"/>
          <w:lang w:val="en-US"/>
        </w:rPr>
        <w:t xml:space="preserve"> </w:t>
      </w:r>
      <w:r>
        <w:rPr>
          <w:rFonts w:ascii="Times New Roman" w:hAnsi="Times New Roman" w:cs="Times New Roman"/>
          <w:lang w:val="en-US"/>
        </w:rPr>
        <w:t>u</w:t>
      </w:r>
      <w:r w:rsidR="00073EFB" w:rsidRPr="007C681F">
        <w:rPr>
          <w:rFonts w:ascii="Times New Roman" w:hAnsi="Times New Roman" w:cs="Times New Roman"/>
          <w:lang w:val="en-US"/>
        </w:rPr>
        <w:t>nless a statute expressly or impliedly excludes a duty of consultation, or in the particular case consultation would be impractical or frustrate the object of the direction, fairness required that a person specific</w:t>
      </w:r>
      <w:r w:rsidR="001F2024">
        <w:rPr>
          <w:rFonts w:ascii="Times New Roman" w:hAnsi="Times New Roman" w:cs="Times New Roman"/>
          <w:lang w:val="en-US"/>
        </w:rPr>
        <w:t xml:space="preserve">ally targeted by it should have </w:t>
      </w:r>
      <w:r w:rsidR="00073EFB" w:rsidRPr="007C681F">
        <w:rPr>
          <w:rFonts w:ascii="Times New Roman" w:hAnsi="Times New Roman" w:cs="Times New Roman"/>
          <w:lang w:val="en-US"/>
        </w:rPr>
        <w:t xml:space="preserve">an opportunity to make representations. </w:t>
      </w:r>
      <w:r>
        <w:rPr>
          <w:rFonts w:ascii="Times New Roman" w:hAnsi="Times New Roman" w:cs="Times New Roman"/>
          <w:lang w:val="en-US"/>
        </w:rPr>
        <w:t xml:space="preserve">  </w:t>
      </w:r>
    </w:p>
    <w:p w:rsidR="001F2024" w:rsidRDefault="001F2024" w:rsidP="001F2024">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7C681F" w:rsidRPr="001F2024" w:rsidRDefault="007C681F" w:rsidP="007C681F">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Because t</w:t>
      </w:r>
      <w:r w:rsidR="00073EFB" w:rsidRPr="007C681F">
        <w:rPr>
          <w:rFonts w:ascii="Times New Roman" w:hAnsi="Times New Roman" w:cs="Times New Roman"/>
          <w:lang w:val="en-US"/>
        </w:rPr>
        <w:t>he direction had serious effects on Bank Mellat’s business, came into force immediately and took effect for up to 28 days pending Parliamentary approval</w:t>
      </w:r>
      <w:r>
        <w:rPr>
          <w:rFonts w:ascii="Times New Roman" w:hAnsi="Times New Roman" w:cs="Times New Roman"/>
          <w:lang w:val="en-US"/>
        </w:rPr>
        <w:t>, and there</w:t>
      </w:r>
      <w:r w:rsidR="00073EFB" w:rsidRPr="007C681F">
        <w:rPr>
          <w:rFonts w:ascii="Times New Roman" w:hAnsi="Times New Roman" w:cs="Times New Roman"/>
          <w:lang w:val="en-US"/>
        </w:rPr>
        <w:t xml:space="preserve"> were no significant practical </w:t>
      </w:r>
      <w:r>
        <w:rPr>
          <w:rFonts w:ascii="Times New Roman" w:hAnsi="Times New Roman" w:cs="Times New Roman"/>
          <w:lang w:val="en-US"/>
        </w:rPr>
        <w:t>difficulties about consultation, the Bank should have been consulted. He also concluded that t</w:t>
      </w:r>
      <w:r w:rsidR="00073EFB" w:rsidRPr="007C681F">
        <w:rPr>
          <w:rFonts w:ascii="Times New Roman" w:hAnsi="Times New Roman" w:cs="Times New Roman"/>
          <w:lang w:val="en-US"/>
        </w:rPr>
        <w:t>he duty of fairness was not excluded by (1) the statutory right under the Act of recourse to the courts after the direction; or (2) the fact that the order was subordinate legislation</w:t>
      </w:r>
      <w:r>
        <w:rPr>
          <w:rFonts w:ascii="Times New Roman" w:hAnsi="Times New Roman" w:cs="Times New Roman"/>
          <w:lang w:val="en-US"/>
        </w:rPr>
        <w:t>.</w:t>
      </w:r>
    </w:p>
    <w:p w:rsidR="001F2024" w:rsidRDefault="001F2024" w:rsidP="001F2024">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7C681F" w:rsidRDefault="00352CC6" w:rsidP="007C681F">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He identified that t</w:t>
      </w:r>
      <w:r w:rsidR="00073EFB" w:rsidRPr="007C681F">
        <w:rPr>
          <w:rFonts w:ascii="Times New Roman" w:hAnsi="Times New Roman" w:cs="Times New Roman"/>
          <w:lang w:val="en-US"/>
        </w:rPr>
        <w:t>he statutory right substantially reproduce</w:t>
      </w:r>
      <w:r w:rsidR="007C681F">
        <w:rPr>
          <w:rFonts w:ascii="Times New Roman" w:hAnsi="Times New Roman" w:cs="Times New Roman"/>
          <w:lang w:val="en-US"/>
        </w:rPr>
        <w:t>d</w:t>
      </w:r>
      <w:r w:rsidR="00073EFB" w:rsidRPr="007C681F">
        <w:rPr>
          <w:rFonts w:ascii="Times New Roman" w:hAnsi="Times New Roman" w:cs="Times New Roman"/>
          <w:lang w:val="en-US"/>
        </w:rPr>
        <w:t xml:space="preserve"> the rights which a person affected would have anyway on judicial review. It </w:t>
      </w:r>
      <w:r w:rsidR="007C681F">
        <w:rPr>
          <w:rFonts w:ascii="Times New Roman" w:hAnsi="Times New Roman" w:cs="Times New Roman"/>
          <w:lang w:val="en-US"/>
        </w:rPr>
        <w:t xml:space="preserve">therefore </w:t>
      </w:r>
      <w:r w:rsidR="00073EFB" w:rsidRPr="007C681F">
        <w:rPr>
          <w:rFonts w:ascii="Times New Roman" w:hAnsi="Times New Roman" w:cs="Times New Roman"/>
          <w:lang w:val="en-US"/>
        </w:rPr>
        <w:t xml:space="preserve">should not limit other procedural rights. It </w:t>
      </w:r>
      <w:r w:rsidR="007C681F">
        <w:rPr>
          <w:rFonts w:ascii="Times New Roman" w:hAnsi="Times New Roman" w:cs="Times New Roman"/>
          <w:lang w:val="en-US"/>
        </w:rPr>
        <w:t>was</w:t>
      </w:r>
      <w:r w:rsidR="00073EFB" w:rsidRPr="007C681F">
        <w:rPr>
          <w:rFonts w:ascii="Times New Roman" w:hAnsi="Times New Roman" w:cs="Times New Roman"/>
          <w:lang w:val="en-US"/>
        </w:rPr>
        <w:t xml:space="preserve"> also inadequate where the effects of an order </w:t>
      </w:r>
      <w:r w:rsidR="007C681F">
        <w:rPr>
          <w:rFonts w:ascii="Times New Roman" w:hAnsi="Times New Roman" w:cs="Times New Roman"/>
          <w:lang w:val="en-US"/>
        </w:rPr>
        <w:t>we</w:t>
      </w:r>
      <w:r w:rsidR="00073EFB" w:rsidRPr="007C681F">
        <w:rPr>
          <w:rFonts w:ascii="Times New Roman" w:hAnsi="Times New Roman" w:cs="Times New Roman"/>
          <w:lang w:val="en-US"/>
        </w:rPr>
        <w:t xml:space="preserve">re immediate. </w:t>
      </w:r>
      <w:r w:rsidR="007C681F">
        <w:rPr>
          <w:rFonts w:ascii="Times New Roman" w:hAnsi="Times New Roman" w:cs="Times New Roman"/>
          <w:lang w:val="en-US"/>
        </w:rPr>
        <w:t xml:space="preserve">This analysis was not affected by the fact that the direction was made by </w:t>
      </w:r>
      <w:r w:rsidR="00073EFB" w:rsidRPr="007C681F">
        <w:rPr>
          <w:rFonts w:ascii="Times New Roman" w:hAnsi="Times New Roman" w:cs="Times New Roman"/>
          <w:lang w:val="en-US"/>
        </w:rPr>
        <w:t>statutory instrument</w:t>
      </w:r>
      <w:r w:rsidR="007C681F">
        <w:rPr>
          <w:rFonts w:ascii="Times New Roman" w:hAnsi="Times New Roman" w:cs="Times New Roman"/>
          <w:lang w:val="en-US"/>
        </w:rPr>
        <w:t>.</w:t>
      </w:r>
    </w:p>
    <w:p w:rsidR="007C681F" w:rsidRDefault="007C681F" w:rsidP="007C681F">
      <w:pPr>
        <w:jc w:val="both"/>
        <w:rPr>
          <w:rFonts w:ascii="Times New Roman" w:hAnsi="Times New Roman" w:cs="Times New Roman"/>
          <w:lang w:val="en-US"/>
        </w:rPr>
      </w:pPr>
    </w:p>
    <w:p w:rsidR="00D11CBB" w:rsidRPr="00352CC6" w:rsidRDefault="006D21DF" w:rsidP="00D11CBB">
      <w:pPr>
        <w:ind w:left="720"/>
        <w:jc w:val="both"/>
        <w:rPr>
          <w:rFonts w:ascii="Times New Roman" w:hAnsi="Times New Roman" w:cs="Times New Roman"/>
          <w:b/>
          <w:u w:val="single"/>
        </w:rPr>
      </w:pPr>
      <w:r w:rsidRPr="00352CC6">
        <w:rPr>
          <w:rFonts w:ascii="Times New Roman" w:hAnsi="Times New Roman" w:cs="Times New Roman"/>
          <w:b/>
          <w:u w:val="single"/>
        </w:rPr>
        <w:t xml:space="preserve">The Spectrum of Colours of the </w:t>
      </w:r>
      <w:r w:rsidR="00D11CBB" w:rsidRPr="00352CC6">
        <w:rPr>
          <w:rFonts w:ascii="Times New Roman" w:hAnsi="Times New Roman" w:cs="Times New Roman"/>
          <w:b/>
          <w:u w:val="single"/>
        </w:rPr>
        <w:t>Common Law and the Right to Access to Justice</w:t>
      </w:r>
    </w:p>
    <w:p w:rsidR="00D11CBB" w:rsidRDefault="001F2024" w:rsidP="00D11CBB">
      <w:pPr>
        <w:pStyle w:val="ListParagraph"/>
        <w:numPr>
          <w:ilvl w:val="0"/>
          <w:numId w:val="2"/>
        </w:numPr>
        <w:jc w:val="both"/>
        <w:rPr>
          <w:rFonts w:ascii="Times New Roman" w:hAnsi="Times New Roman" w:cs="Times New Roman"/>
        </w:rPr>
      </w:pPr>
      <w:r>
        <w:rPr>
          <w:rFonts w:ascii="Times New Roman" w:hAnsi="Times New Roman" w:cs="Times New Roman"/>
        </w:rPr>
        <w:t>The combination of a</w:t>
      </w:r>
      <w:r w:rsidR="00D11CBB">
        <w:rPr>
          <w:rFonts w:ascii="Times New Roman" w:hAnsi="Times New Roman" w:cs="Times New Roman"/>
        </w:rPr>
        <w:t xml:space="preserve"> challenge advanced under the common law and, alternatively, under the HRA 1998, also formed the focus of a somewhat different complaint in </w:t>
      </w:r>
      <w:proofErr w:type="gramStart"/>
      <w:r w:rsidR="00B572BA" w:rsidRPr="00B572BA">
        <w:rPr>
          <w:rFonts w:ascii="Times New Roman" w:hAnsi="Times New Roman" w:cs="Times New Roman"/>
          <w:i/>
        </w:rPr>
        <w:t>R(</w:t>
      </w:r>
      <w:proofErr w:type="gramEnd"/>
      <w:r w:rsidR="00B572BA" w:rsidRPr="00B572BA">
        <w:rPr>
          <w:rFonts w:ascii="Times New Roman" w:hAnsi="Times New Roman" w:cs="Times New Roman"/>
          <w:i/>
        </w:rPr>
        <w:t>Children’s Rights Alliance for England) v Secretary of State for Justice</w:t>
      </w:r>
      <w:r w:rsidR="00B572BA">
        <w:rPr>
          <w:rFonts w:ascii="Times New Roman" w:hAnsi="Times New Roman" w:cs="Times New Roman"/>
        </w:rPr>
        <w:t xml:space="preserve"> [2013] EWCA Civ 34.</w:t>
      </w:r>
    </w:p>
    <w:p w:rsidR="00B572BA" w:rsidRDefault="00B572BA" w:rsidP="00B572BA">
      <w:pPr>
        <w:pStyle w:val="ListParagraph"/>
        <w:jc w:val="both"/>
        <w:rPr>
          <w:rFonts w:ascii="Times New Roman" w:hAnsi="Times New Roman" w:cs="Times New Roman"/>
        </w:rPr>
      </w:pPr>
      <w:r>
        <w:rPr>
          <w:rFonts w:ascii="Times New Roman" w:hAnsi="Times New Roman" w:cs="Times New Roman"/>
        </w:rPr>
        <w:t xml:space="preserve"> </w:t>
      </w:r>
    </w:p>
    <w:p w:rsidR="006D21DF" w:rsidRPr="001F2024" w:rsidRDefault="00B572BA" w:rsidP="006D21DF">
      <w:pPr>
        <w:pStyle w:val="ListParagraph"/>
        <w:numPr>
          <w:ilvl w:val="0"/>
          <w:numId w:val="2"/>
        </w:numPr>
        <w:jc w:val="both"/>
        <w:rPr>
          <w:rFonts w:ascii="Times New Roman" w:hAnsi="Times New Roman" w:cs="Times New Roman"/>
        </w:rPr>
      </w:pPr>
      <w:r>
        <w:rPr>
          <w:rFonts w:ascii="Times New Roman" w:hAnsi="Times New Roman" w:cs="Times New Roman"/>
        </w:rPr>
        <w:t xml:space="preserve">On appeal from a decision of Foskett J, CRAE </w:t>
      </w:r>
      <w:r w:rsidR="00352CC6">
        <w:rPr>
          <w:rFonts w:ascii="Times New Roman" w:hAnsi="Times New Roman" w:cs="Times New Roman"/>
        </w:rPr>
        <w:t xml:space="preserve">and the EHRC </w:t>
      </w:r>
      <w:r>
        <w:rPr>
          <w:rFonts w:ascii="Times New Roman" w:hAnsi="Times New Roman" w:cs="Times New Roman"/>
        </w:rPr>
        <w:t>sought to argue that the fundamental right of access to justice required the Secretary of State to</w:t>
      </w:r>
      <w:r w:rsidR="00D11CBB" w:rsidRPr="00B572BA">
        <w:rPr>
          <w:rFonts w:ascii="Times New Roman" w:hAnsi="Times New Roman" w:cs="Times New Roman"/>
          <w:lang w:val="en-US"/>
        </w:rPr>
        <w:t xml:space="preserve"> provide</w:t>
      </w:r>
      <w:r w:rsidR="001F2024">
        <w:rPr>
          <w:rFonts w:ascii="Times New Roman" w:hAnsi="Times New Roman" w:cs="Times New Roman"/>
          <w:lang w:val="en-US"/>
        </w:rPr>
        <w:t>,</w:t>
      </w:r>
      <w:r w:rsidR="00D11CBB" w:rsidRPr="00B572BA">
        <w:rPr>
          <w:rFonts w:ascii="Times New Roman" w:hAnsi="Times New Roman" w:cs="Times New Roman"/>
          <w:lang w:val="en-US"/>
        </w:rPr>
        <w:t xml:space="preserve"> or facilitate</w:t>
      </w:r>
      <w:r w:rsidR="001F2024">
        <w:rPr>
          <w:rFonts w:ascii="Times New Roman" w:hAnsi="Times New Roman" w:cs="Times New Roman"/>
          <w:lang w:val="en-US"/>
        </w:rPr>
        <w:t>,</w:t>
      </w:r>
      <w:r w:rsidR="00D11CBB" w:rsidRPr="00B572BA">
        <w:rPr>
          <w:rFonts w:ascii="Times New Roman" w:hAnsi="Times New Roman" w:cs="Times New Roman"/>
          <w:lang w:val="en-US"/>
        </w:rPr>
        <w:t xml:space="preserve"> the provision of information to stated categories of children as to the illegal use of restraint techniques on them when they </w:t>
      </w:r>
      <w:r>
        <w:rPr>
          <w:rFonts w:ascii="Times New Roman" w:hAnsi="Times New Roman" w:cs="Times New Roman"/>
          <w:lang w:val="en-US"/>
        </w:rPr>
        <w:t xml:space="preserve">had been </w:t>
      </w:r>
      <w:r w:rsidR="00D11CBB" w:rsidRPr="00B572BA">
        <w:rPr>
          <w:rFonts w:ascii="Times New Roman" w:hAnsi="Times New Roman" w:cs="Times New Roman"/>
          <w:lang w:val="en-US"/>
        </w:rPr>
        <w:t>detained in Secure Training Centres (STCs) in the United Kingdom.</w:t>
      </w:r>
      <w:r>
        <w:rPr>
          <w:rFonts w:ascii="Times New Roman" w:hAnsi="Times New Roman" w:cs="Times New Roman"/>
          <w:lang w:val="en-US"/>
        </w:rPr>
        <w:t xml:space="preserve">  It was argued that </w:t>
      </w:r>
      <w:r w:rsidR="00D11CBB" w:rsidRPr="00B572BA">
        <w:rPr>
          <w:rFonts w:ascii="Times New Roman" w:hAnsi="Times New Roman" w:cs="Times New Roman"/>
          <w:lang w:val="en-US"/>
        </w:rPr>
        <w:t>the</w:t>
      </w:r>
      <w:r>
        <w:rPr>
          <w:rFonts w:ascii="Times New Roman" w:hAnsi="Times New Roman" w:cs="Times New Roman"/>
          <w:lang w:val="en-US"/>
        </w:rPr>
        <w:t xml:space="preserve"> common</w:t>
      </w:r>
      <w:r w:rsidR="00D11CBB" w:rsidRPr="00B572BA">
        <w:rPr>
          <w:rFonts w:ascii="Times New Roman" w:hAnsi="Times New Roman" w:cs="Times New Roman"/>
          <w:lang w:val="en-US"/>
        </w:rPr>
        <w:t xml:space="preserve"> law</w:t>
      </w:r>
      <w:r>
        <w:rPr>
          <w:rFonts w:ascii="Times New Roman" w:hAnsi="Times New Roman" w:cs="Times New Roman"/>
          <w:lang w:val="en-US"/>
        </w:rPr>
        <w:t xml:space="preserve">, or </w:t>
      </w:r>
      <w:r w:rsidR="00352CC6">
        <w:rPr>
          <w:rFonts w:ascii="Times New Roman" w:hAnsi="Times New Roman" w:cs="Times New Roman"/>
          <w:lang w:val="en-US"/>
        </w:rPr>
        <w:t>the ECHR</w:t>
      </w:r>
      <w:r>
        <w:rPr>
          <w:rFonts w:ascii="Times New Roman" w:hAnsi="Times New Roman" w:cs="Times New Roman"/>
          <w:lang w:val="en-US"/>
        </w:rPr>
        <w:t>,</w:t>
      </w:r>
      <w:r w:rsidR="00D11CBB" w:rsidRPr="00B572BA">
        <w:rPr>
          <w:rFonts w:ascii="Times New Roman" w:hAnsi="Times New Roman" w:cs="Times New Roman"/>
          <w:lang w:val="en-US"/>
        </w:rPr>
        <w:t xml:space="preserve"> required the Secretary of State to take steps which would enable the trainees to discover the wrong, and thereby realise the legal rights which they possess in consequence. </w:t>
      </w:r>
    </w:p>
    <w:p w:rsidR="001F2024" w:rsidRPr="001F2024" w:rsidRDefault="001F2024" w:rsidP="001F2024">
      <w:pPr>
        <w:pStyle w:val="ListParagraph"/>
        <w:jc w:val="both"/>
        <w:rPr>
          <w:rFonts w:ascii="Times New Roman" w:hAnsi="Times New Roman" w:cs="Times New Roman"/>
        </w:rPr>
      </w:pPr>
      <w:r>
        <w:rPr>
          <w:rFonts w:ascii="Times New Roman" w:hAnsi="Times New Roman" w:cs="Times New Roman"/>
          <w:lang w:val="en-US"/>
        </w:rPr>
        <w:t xml:space="preserve"> </w:t>
      </w:r>
    </w:p>
    <w:p w:rsidR="00352CC6" w:rsidRPr="00352CC6" w:rsidRDefault="006D21DF" w:rsidP="006D21DF">
      <w:pPr>
        <w:pStyle w:val="ListParagraph"/>
        <w:numPr>
          <w:ilvl w:val="0"/>
          <w:numId w:val="2"/>
        </w:numPr>
        <w:jc w:val="both"/>
        <w:rPr>
          <w:rFonts w:ascii="Times New Roman" w:hAnsi="Times New Roman" w:cs="Times New Roman"/>
        </w:rPr>
      </w:pPr>
      <w:r>
        <w:rPr>
          <w:rFonts w:ascii="Times New Roman" w:hAnsi="Times New Roman" w:cs="Times New Roman"/>
          <w:lang w:val="en-US"/>
        </w:rPr>
        <w:t xml:space="preserve">The contention was that </w:t>
      </w:r>
      <w:r w:rsidR="00D11CBB" w:rsidRPr="006D21DF">
        <w:rPr>
          <w:rFonts w:ascii="Times New Roman" w:hAnsi="Times New Roman" w:cs="Times New Roman"/>
          <w:lang w:val="en-US"/>
        </w:rPr>
        <w:t xml:space="preserve">the right of an individual to an effective </w:t>
      </w:r>
      <w:r>
        <w:rPr>
          <w:rFonts w:ascii="Times New Roman" w:hAnsi="Times New Roman" w:cs="Times New Roman"/>
          <w:lang w:val="en-US"/>
        </w:rPr>
        <w:t xml:space="preserve">access to justice made it </w:t>
      </w:r>
      <w:r w:rsidR="00D11CBB" w:rsidRPr="006D21DF">
        <w:rPr>
          <w:rFonts w:ascii="Times New Roman" w:hAnsi="Times New Roman" w:cs="Times New Roman"/>
          <w:lang w:val="en-US"/>
        </w:rPr>
        <w:t xml:space="preserve">a small step to conclude that there </w:t>
      </w:r>
      <w:r>
        <w:rPr>
          <w:rFonts w:ascii="Times New Roman" w:hAnsi="Times New Roman" w:cs="Times New Roman"/>
          <w:lang w:val="en-US"/>
        </w:rPr>
        <w:t>was</w:t>
      </w:r>
      <w:r w:rsidR="00D11CBB" w:rsidRPr="006D21DF">
        <w:rPr>
          <w:rFonts w:ascii="Times New Roman" w:hAnsi="Times New Roman" w:cs="Times New Roman"/>
          <w:lang w:val="en-US"/>
        </w:rPr>
        <w:t xml:space="preserve"> an obligation on the part </w:t>
      </w:r>
      <w:r w:rsidR="00D11CBB" w:rsidRPr="006D21DF">
        <w:rPr>
          <w:rFonts w:ascii="Times New Roman" w:hAnsi="Times New Roman" w:cs="Times New Roman"/>
          <w:lang w:val="en-US"/>
        </w:rPr>
        <w:lastRenderedPageBreak/>
        <w:t xml:space="preserve">of the </w:t>
      </w:r>
      <w:r>
        <w:rPr>
          <w:rFonts w:ascii="Times New Roman" w:hAnsi="Times New Roman" w:cs="Times New Roman"/>
          <w:lang w:val="en-US"/>
        </w:rPr>
        <w:t>Secretary of State</w:t>
      </w:r>
      <w:r w:rsidR="00D11CBB" w:rsidRPr="006D21DF">
        <w:rPr>
          <w:rFonts w:ascii="Times New Roman" w:hAnsi="Times New Roman" w:cs="Times New Roman"/>
          <w:lang w:val="en-US"/>
        </w:rPr>
        <w:t xml:space="preserve"> to inform those potentially affected by the unlawful use of force during the relevant period that they may have been so affected.</w:t>
      </w:r>
      <w:r>
        <w:rPr>
          <w:rFonts w:ascii="Times New Roman" w:hAnsi="Times New Roman" w:cs="Times New Roman"/>
          <w:lang w:val="en-US"/>
        </w:rPr>
        <w:t xml:space="preserve"> </w:t>
      </w:r>
    </w:p>
    <w:p w:rsidR="00352CC6" w:rsidRPr="00352CC6" w:rsidRDefault="00352CC6" w:rsidP="00352CC6">
      <w:pPr>
        <w:pStyle w:val="ListParagraph"/>
        <w:rPr>
          <w:rFonts w:ascii="Times New Roman" w:hAnsi="Times New Roman" w:cs="Times New Roman"/>
          <w:lang w:val="en-US"/>
        </w:rPr>
      </w:pPr>
    </w:p>
    <w:p w:rsidR="006D21DF" w:rsidRPr="006D21DF" w:rsidRDefault="006D21DF" w:rsidP="006D21DF">
      <w:pPr>
        <w:pStyle w:val="ListParagraph"/>
        <w:numPr>
          <w:ilvl w:val="0"/>
          <w:numId w:val="2"/>
        </w:numPr>
        <w:jc w:val="both"/>
        <w:rPr>
          <w:rFonts w:ascii="Times New Roman" w:hAnsi="Times New Roman" w:cs="Times New Roman"/>
        </w:rPr>
      </w:pPr>
      <w:r>
        <w:rPr>
          <w:rFonts w:ascii="Times New Roman" w:hAnsi="Times New Roman" w:cs="Times New Roman"/>
          <w:lang w:val="en-US"/>
        </w:rPr>
        <w:t xml:space="preserve">Although </w:t>
      </w:r>
      <w:r w:rsidR="00352CC6">
        <w:rPr>
          <w:rFonts w:ascii="Times New Roman" w:hAnsi="Times New Roman" w:cs="Times New Roman"/>
          <w:lang w:val="en-US"/>
        </w:rPr>
        <w:t xml:space="preserve">the Claimants </w:t>
      </w:r>
      <w:r>
        <w:rPr>
          <w:rFonts w:ascii="Times New Roman" w:hAnsi="Times New Roman" w:cs="Times New Roman"/>
          <w:lang w:val="en-US"/>
        </w:rPr>
        <w:t>disavow</w:t>
      </w:r>
      <w:r w:rsidR="00352CC6">
        <w:rPr>
          <w:rFonts w:ascii="Times New Roman" w:hAnsi="Times New Roman" w:cs="Times New Roman"/>
          <w:lang w:val="en-US"/>
        </w:rPr>
        <w:t>ed</w:t>
      </w:r>
      <w:r>
        <w:rPr>
          <w:rFonts w:ascii="Times New Roman" w:hAnsi="Times New Roman" w:cs="Times New Roman"/>
          <w:lang w:val="en-US"/>
        </w:rPr>
        <w:t xml:space="preserve"> any floodgates effect, the Court of Appeal was concerned with the potential effect of any such duty.  As Laws LJ stated:</w:t>
      </w:r>
    </w:p>
    <w:p w:rsidR="006D21DF" w:rsidRPr="001F2024" w:rsidRDefault="006D21DF" w:rsidP="006D21DF">
      <w:pPr>
        <w:ind w:left="1080"/>
        <w:jc w:val="both"/>
        <w:rPr>
          <w:rFonts w:ascii="Times New Roman" w:hAnsi="Times New Roman" w:cs="Times New Roman"/>
          <w:sz w:val="20"/>
        </w:rPr>
      </w:pPr>
      <w:r w:rsidRPr="001F2024">
        <w:rPr>
          <w:rFonts w:ascii="Times New Roman" w:hAnsi="Times New Roman" w:cs="Times New Roman"/>
          <w:sz w:val="20"/>
          <w:lang w:val="en-US"/>
        </w:rPr>
        <w:t xml:space="preserve">“… </w:t>
      </w:r>
      <w:proofErr w:type="gramStart"/>
      <w:r w:rsidRPr="001F2024">
        <w:rPr>
          <w:rFonts w:ascii="Times New Roman" w:hAnsi="Times New Roman" w:cs="Times New Roman"/>
          <w:sz w:val="20"/>
          <w:lang w:val="en-US"/>
        </w:rPr>
        <w:t>the</w:t>
      </w:r>
      <w:proofErr w:type="gramEnd"/>
      <w:r w:rsidRPr="001F2024">
        <w:rPr>
          <w:rFonts w:ascii="Times New Roman" w:hAnsi="Times New Roman" w:cs="Times New Roman"/>
          <w:sz w:val="20"/>
          <w:lang w:val="en-US"/>
        </w:rPr>
        <w:t xml:space="preserve"> </w:t>
      </w:r>
      <w:r w:rsidR="00D11CBB" w:rsidRPr="001F2024">
        <w:rPr>
          <w:rFonts w:ascii="Times New Roman" w:hAnsi="Times New Roman" w:cs="Times New Roman"/>
          <w:sz w:val="20"/>
          <w:lang w:val="en-US"/>
        </w:rPr>
        <w:t xml:space="preserve">submission entails a particular (and striking) view of the scope of the common law's insistence on access to justice. It means that at least in some circumstances a potential defendant to a civil suit must declare himself as such. If there is any force in such a proposition, we cannot in my judgment presume that it is uniquely applicable in this case. </w:t>
      </w:r>
    </w:p>
    <w:p w:rsidR="006D21DF" w:rsidRPr="001F2024" w:rsidRDefault="00D11CBB" w:rsidP="006D21DF">
      <w:pPr>
        <w:ind w:left="1080"/>
        <w:jc w:val="both"/>
        <w:rPr>
          <w:rFonts w:ascii="Times New Roman" w:hAnsi="Times New Roman" w:cs="Times New Roman"/>
          <w:sz w:val="20"/>
        </w:rPr>
      </w:pPr>
      <w:r w:rsidRPr="001F2024">
        <w:rPr>
          <w:rFonts w:ascii="Times New Roman" w:hAnsi="Times New Roman" w:cs="Times New Roman"/>
          <w:sz w:val="20"/>
          <w:lang w:val="en-US"/>
        </w:rPr>
        <w:t xml:space="preserve">But stated as baldly as I have stated it, the proposition cannot be right. In the first place, it could not apply to a potential defendant who is not an emanation of the State. The burden of the cases shows that the courts will not allow the State to impede the individual's right of access to justice; but there is no learning which remotely suggests that a non-State party, in any circumstances, might owe a duty to seek out or notify another of a claim which that other might have against him. Apart from anything else, the imposition of such a duty on a private litigant would be repugnant to the common law's adversarial system of justice; and if it were expressed as a duty owed in </w:t>
      </w:r>
      <w:r w:rsidRPr="001F2024">
        <w:rPr>
          <w:rFonts w:ascii="Times New Roman" w:hAnsi="Times New Roman" w:cs="Times New Roman"/>
          <w:i/>
          <w:iCs/>
          <w:sz w:val="20"/>
          <w:lang w:val="en-US"/>
        </w:rPr>
        <w:t xml:space="preserve">private </w:t>
      </w:r>
      <w:r w:rsidRPr="001F2024">
        <w:rPr>
          <w:rFonts w:ascii="Times New Roman" w:hAnsi="Times New Roman" w:cs="Times New Roman"/>
          <w:sz w:val="20"/>
          <w:lang w:val="en-US"/>
        </w:rPr>
        <w:t>law, it would be alien to every other such duty: not vouched by agreement, nor by the neighbour principle, nor the avoidance of harm to person, property or reputation. It would be like a colour not known on the spectrum.</w:t>
      </w:r>
      <w:r w:rsidR="006D21DF" w:rsidRPr="001F2024">
        <w:rPr>
          <w:rFonts w:ascii="Times New Roman" w:hAnsi="Times New Roman" w:cs="Times New Roman"/>
          <w:sz w:val="20"/>
          <w:lang w:val="en-US"/>
        </w:rPr>
        <w:t>”</w:t>
      </w:r>
    </w:p>
    <w:p w:rsidR="00B81D6C" w:rsidRDefault="006D21DF" w:rsidP="00B81D6C">
      <w:pPr>
        <w:ind w:left="1080"/>
        <w:jc w:val="both"/>
        <w:rPr>
          <w:rFonts w:ascii="Times New Roman" w:hAnsi="Times New Roman" w:cs="Times New Roman"/>
          <w:lang w:val="en-US"/>
        </w:rPr>
      </w:pPr>
      <w:r w:rsidRPr="001F2024">
        <w:rPr>
          <w:rFonts w:ascii="Times New Roman" w:hAnsi="Times New Roman" w:cs="Times New Roman"/>
          <w:sz w:val="20"/>
        </w:rPr>
        <w:t>“…</w:t>
      </w:r>
      <w:r w:rsidR="00D11CBB" w:rsidRPr="001F2024">
        <w:rPr>
          <w:rFonts w:ascii="Times New Roman" w:hAnsi="Times New Roman" w:cs="Times New Roman"/>
          <w:sz w:val="20"/>
          <w:lang w:val="en-US"/>
        </w:rPr>
        <w:t xml:space="preserve">If there were a positive duty upon the State to provide a potential claimant with the legal elements of his case, that would be as discordant with the common law's adversarial system of justice as if it were suggested that a non-State party might owe such a duty. More: unless this positive duty were owed universally, it would be to provide selected beneficiaries with a distinct advantage over other potential litigants who may one way or another lack the information required to mount a claim, but to whom, nevertheless, the duty was not owed. Such a state of affairs would be inimical to a signal feature of access to justice: that it should be even-handed. But plainly the duty could not be owed universally – to every potential litigant ignorant of his rights. That would not merely be to strike a discord with the common law's adversarial system of justice. It would be to abolish it. Equally, the duty could not in reason be owed in this single case only; if by judicial </w:t>
      </w:r>
      <w:r w:rsidR="00D11CBB" w:rsidRPr="001F2024">
        <w:rPr>
          <w:rFonts w:ascii="Times New Roman" w:hAnsi="Times New Roman" w:cs="Times New Roman"/>
          <w:i/>
          <w:iCs/>
          <w:sz w:val="20"/>
          <w:lang w:val="en-US"/>
        </w:rPr>
        <w:t xml:space="preserve">diktat </w:t>
      </w:r>
      <w:r w:rsidR="00D11CBB" w:rsidRPr="001F2024">
        <w:rPr>
          <w:rFonts w:ascii="Times New Roman" w:hAnsi="Times New Roman" w:cs="Times New Roman"/>
          <w:sz w:val="20"/>
          <w:lang w:val="en-US"/>
        </w:rPr>
        <w:t>we held that it was, that would simply be eccentric. And there is no principled basis upon which to identify a class of beneficiaries beyond these trainees but short of all potential litigants, so that the duty's reach is neither unique nor universal but somewhere in between. For these reasons the case for such a positive duty is in the end arbitrary.</w:t>
      </w:r>
      <w:r w:rsidR="00B81D6C" w:rsidRPr="001F2024">
        <w:rPr>
          <w:rFonts w:ascii="Times New Roman" w:hAnsi="Times New Roman" w:cs="Times New Roman"/>
          <w:sz w:val="20"/>
          <w:lang w:val="en-US"/>
        </w:rPr>
        <w:t>”</w:t>
      </w:r>
    </w:p>
    <w:p w:rsidR="001F2024" w:rsidRDefault="00B81D6C" w:rsidP="00B81D6C">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The Court of Appeal went on to reject a similar argument made under the ECHR, whether advanced under Article 6, or under the procedural rights contained in Articles 3 or 8.  </w:t>
      </w:r>
    </w:p>
    <w:p w:rsidR="001F2024" w:rsidRDefault="001F2024" w:rsidP="001F2024">
      <w:pPr>
        <w:pStyle w:val="ListParagraph"/>
        <w:jc w:val="both"/>
        <w:rPr>
          <w:rFonts w:ascii="Times New Roman" w:hAnsi="Times New Roman" w:cs="Times New Roman"/>
          <w:lang w:val="en-US"/>
        </w:rPr>
      </w:pPr>
    </w:p>
    <w:p w:rsidR="00B81D6C" w:rsidRDefault="00B81D6C" w:rsidP="00B81D6C">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Laws LJ went on to observe that the Court of Appeal was bound by the </w:t>
      </w:r>
      <w:r>
        <w:rPr>
          <w:rFonts w:ascii="Times New Roman" w:hAnsi="Times New Roman" w:cs="Times New Roman"/>
          <w:i/>
          <w:lang w:val="en-US"/>
        </w:rPr>
        <w:t xml:space="preserve">Ullah </w:t>
      </w:r>
      <w:r>
        <w:rPr>
          <w:rFonts w:ascii="Times New Roman" w:hAnsi="Times New Roman" w:cs="Times New Roman"/>
          <w:lang w:val="en-US"/>
        </w:rPr>
        <w:t xml:space="preserve">principle, but </w:t>
      </w:r>
      <w:r w:rsidR="001F2024">
        <w:rPr>
          <w:rFonts w:ascii="Times New Roman" w:hAnsi="Times New Roman" w:cs="Times New Roman"/>
          <w:lang w:val="en-US"/>
        </w:rPr>
        <w:t xml:space="preserve">he </w:t>
      </w:r>
      <w:r>
        <w:rPr>
          <w:rFonts w:ascii="Times New Roman" w:hAnsi="Times New Roman" w:cs="Times New Roman"/>
          <w:lang w:val="en-US"/>
        </w:rPr>
        <w:t>included a request, with deference to the House of Lords and Supreme Court, that the principle ought to be revisited:</w:t>
      </w:r>
    </w:p>
    <w:p w:rsidR="001F2024" w:rsidRDefault="001F2024" w:rsidP="00B81D6C">
      <w:pPr>
        <w:pStyle w:val="ListParagraph"/>
        <w:ind w:left="1440"/>
        <w:jc w:val="both"/>
        <w:rPr>
          <w:rFonts w:ascii="Times New Roman" w:hAnsi="Times New Roman" w:cs="Times New Roman"/>
          <w:sz w:val="20"/>
          <w:lang w:val="en-US"/>
        </w:rPr>
      </w:pPr>
    </w:p>
    <w:p w:rsidR="00D11CBB" w:rsidRPr="001F2024" w:rsidRDefault="00B81D6C" w:rsidP="00B81D6C">
      <w:pPr>
        <w:pStyle w:val="ListParagraph"/>
        <w:ind w:left="1440"/>
        <w:jc w:val="both"/>
        <w:rPr>
          <w:rFonts w:ascii="Times New Roman" w:hAnsi="Times New Roman" w:cs="Times New Roman"/>
          <w:sz w:val="20"/>
          <w:lang w:val="en-US"/>
        </w:rPr>
      </w:pPr>
      <w:r w:rsidRPr="001F2024">
        <w:rPr>
          <w:rFonts w:ascii="Times New Roman" w:hAnsi="Times New Roman" w:cs="Times New Roman"/>
          <w:sz w:val="20"/>
          <w:lang w:val="en-US"/>
        </w:rPr>
        <w:t>“</w:t>
      </w:r>
      <w:r w:rsidR="00D11CBB" w:rsidRPr="001F2024">
        <w:rPr>
          <w:rFonts w:ascii="Times New Roman" w:hAnsi="Times New Roman" w:cs="Times New Roman"/>
          <w:sz w:val="20"/>
          <w:lang w:val="en-US"/>
        </w:rPr>
        <w:t>There is a great deal to be gained from the development of a municipal jurisprudence of the Convention rights, which the Strasbourg court should respect out of its own doctrine of the margin of appreciation, and which would be perfectly consistent with our duty to take account of (not to follow) the Strasbourg cases. It is a high priority that the law of human rights should be, and be seen to be, as sure a part of our domestic law as the law of negligence. If the road to such a goal is clear, so much the better.</w:t>
      </w:r>
      <w:r w:rsidRPr="001F2024">
        <w:rPr>
          <w:rFonts w:ascii="Times New Roman" w:hAnsi="Times New Roman" w:cs="Times New Roman"/>
          <w:sz w:val="20"/>
          <w:lang w:val="en-US"/>
        </w:rPr>
        <w:t>”</w:t>
      </w:r>
    </w:p>
    <w:p w:rsidR="00D11CBB" w:rsidRDefault="00D11CBB" w:rsidP="007C681F">
      <w:pPr>
        <w:jc w:val="both"/>
        <w:rPr>
          <w:rFonts w:ascii="Times New Roman" w:hAnsi="Times New Roman" w:cs="Times New Roman"/>
          <w:lang w:val="en-US"/>
        </w:rPr>
      </w:pPr>
    </w:p>
    <w:p w:rsidR="003D6EFA" w:rsidRPr="00352CC6" w:rsidRDefault="003D6EFA" w:rsidP="003D6EFA">
      <w:pPr>
        <w:ind w:left="720"/>
        <w:jc w:val="both"/>
        <w:rPr>
          <w:rFonts w:ascii="Times New Roman" w:hAnsi="Times New Roman" w:cs="Times New Roman"/>
          <w:b/>
          <w:u w:val="single"/>
          <w:lang w:val="en-US"/>
        </w:rPr>
      </w:pPr>
      <w:r w:rsidRPr="00352CC6">
        <w:rPr>
          <w:rFonts w:ascii="Times New Roman" w:hAnsi="Times New Roman" w:cs="Times New Roman"/>
          <w:b/>
          <w:u w:val="single"/>
          <w:lang w:val="en-US"/>
        </w:rPr>
        <w:lastRenderedPageBreak/>
        <w:t>Alvi and Munir revisited: New London College Ltd &amp; West London Vocational Training</w:t>
      </w:r>
    </w:p>
    <w:p w:rsidR="00DE1E50" w:rsidRDefault="003D6EFA" w:rsidP="00DE1E50">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In two combined cases, the Supreme Court has had to give detailed consideration to the difference between rules required to be laid before Parliament under the Immigration Act 1971 and guidance which is not required to be exposed to that procedure.</w:t>
      </w:r>
    </w:p>
    <w:p w:rsidR="00B81D6C" w:rsidRPr="00B81D6C" w:rsidRDefault="00B81D6C" w:rsidP="00B81D6C">
      <w:pPr>
        <w:pStyle w:val="ListParagraph"/>
        <w:jc w:val="both"/>
        <w:rPr>
          <w:rFonts w:ascii="Times New Roman" w:hAnsi="Times New Roman" w:cs="Times New Roman"/>
          <w:lang w:val="en-US"/>
        </w:rPr>
      </w:pPr>
      <w:r>
        <w:rPr>
          <w:rFonts w:ascii="Times New Roman" w:hAnsi="Times New Roman" w:cs="Times New Roman"/>
        </w:rPr>
        <w:t xml:space="preserve"> </w:t>
      </w:r>
    </w:p>
    <w:p w:rsidR="003D6EFA" w:rsidRDefault="003D6EFA" w:rsidP="003D6EFA">
      <w:pPr>
        <w:pStyle w:val="ListParagraph"/>
        <w:numPr>
          <w:ilvl w:val="0"/>
          <w:numId w:val="2"/>
        </w:numPr>
        <w:jc w:val="both"/>
        <w:rPr>
          <w:rFonts w:ascii="Times New Roman" w:hAnsi="Times New Roman" w:cs="Times New Roman"/>
          <w:lang w:val="en-US"/>
        </w:rPr>
      </w:pPr>
      <w:r>
        <w:rPr>
          <w:rFonts w:ascii="Times New Roman" w:hAnsi="Times New Roman" w:cs="Times New Roman"/>
        </w:rPr>
        <w:t xml:space="preserve">In </w:t>
      </w:r>
      <w:r w:rsidR="00DE1E50" w:rsidRPr="00352CC6">
        <w:rPr>
          <w:rFonts w:ascii="Times New Roman" w:hAnsi="Times New Roman" w:cs="Times New Roman"/>
          <w:i/>
        </w:rPr>
        <w:t>R (New London College Ltd) v Secretary of State for the Home Department</w:t>
      </w:r>
      <w:r w:rsidRPr="00352CC6">
        <w:rPr>
          <w:rFonts w:ascii="Times New Roman" w:hAnsi="Times New Roman" w:cs="Times New Roman"/>
          <w:i/>
        </w:rPr>
        <w:t xml:space="preserve"> </w:t>
      </w:r>
      <w:proofErr w:type="gramStart"/>
      <w:r w:rsidRPr="00352CC6">
        <w:rPr>
          <w:rFonts w:ascii="Times New Roman" w:hAnsi="Times New Roman" w:cs="Times New Roman"/>
          <w:i/>
        </w:rPr>
        <w:t xml:space="preserve">and  </w:t>
      </w:r>
      <w:r w:rsidR="00DE1E50" w:rsidRPr="00352CC6">
        <w:rPr>
          <w:rFonts w:ascii="Times New Roman" w:hAnsi="Times New Roman" w:cs="Times New Roman"/>
          <w:i/>
        </w:rPr>
        <w:t>R</w:t>
      </w:r>
      <w:proofErr w:type="gramEnd"/>
      <w:r w:rsidR="00DE1E50" w:rsidRPr="00352CC6">
        <w:rPr>
          <w:rFonts w:ascii="Times New Roman" w:hAnsi="Times New Roman" w:cs="Times New Roman"/>
          <w:i/>
        </w:rPr>
        <w:t xml:space="preserve"> (West London Vocational Training College) v Secretary of State for the Home Department </w:t>
      </w:r>
      <w:r w:rsidR="00DE1E50" w:rsidRPr="003D6EFA">
        <w:rPr>
          <w:rFonts w:ascii="Times New Roman" w:hAnsi="Times New Roman" w:cs="Times New Roman"/>
        </w:rPr>
        <w:t>[2013] UKSC 51</w:t>
      </w:r>
      <w:r>
        <w:rPr>
          <w:rFonts w:ascii="Times New Roman" w:hAnsi="Times New Roman" w:cs="Times New Roman"/>
        </w:rPr>
        <w:t xml:space="preserve">, challenges were made regarding decisions on </w:t>
      </w:r>
      <w:r w:rsidR="00DE1E50" w:rsidRPr="003D6EFA">
        <w:rPr>
          <w:rFonts w:ascii="Times New Roman" w:hAnsi="Times New Roman" w:cs="Times New Roman"/>
          <w:lang w:val="en-US"/>
        </w:rPr>
        <w:t xml:space="preserve">the system for licensing educational institutions to sponsor students from outside the European Economic Area under Tier 4 of the current points-based system of immigration control. </w:t>
      </w:r>
    </w:p>
    <w:p w:rsidR="003D6EFA" w:rsidRDefault="003D6EFA" w:rsidP="003D6EFA">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3D6EFA" w:rsidRPr="00E020F4" w:rsidRDefault="00DE1E50" w:rsidP="003D6EFA">
      <w:pPr>
        <w:pStyle w:val="ListParagraph"/>
        <w:numPr>
          <w:ilvl w:val="0"/>
          <w:numId w:val="2"/>
        </w:numPr>
        <w:jc w:val="both"/>
        <w:rPr>
          <w:rFonts w:ascii="Times New Roman" w:hAnsi="Times New Roman" w:cs="Times New Roman"/>
          <w:lang w:val="en-US"/>
        </w:rPr>
      </w:pPr>
      <w:r w:rsidRPr="003D6EFA">
        <w:rPr>
          <w:rFonts w:ascii="Times New Roman" w:hAnsi="Times New Roman" w:cs="Times New Roman"/>
          <w:lang w:val="en-US"/>
        </w:rPr>
        <w:t>Tier 4 deal</w:t>
      </w:r>
      <w:r w:rsidR="003D6EFA">
        <w:rPr>
          <w:rFonts w:ascii="Times New Roman" w:hAnsi="Times New Roman" w:cs="Times New Roman"/>
          <w:lang w:val="en-US"/>
        </w:rPr>
        <w:t>t</w:t>
      </w:r>
      <w:r w:rsidRPr="003D6EFA">
        <w:rPr>
          <w:rFonts w:ascii="Times New Roman" w:hAnsi="Times New Roman" w:cs="Times New Roman"/>
          <w:lang w:val="en-US"/>
        </w:rPr>
        <w:t xml:space="preserve"> with the grant of leave to enter or remain in the United Kingdom to migrants to the UK from outside the European Economic Area for the purpose of study. The essential requirement of the Tier 4 scheme was that the migrant should have been sponsored by an educational institution holding a sponsor’s licence. Th</w:t>
      </w:r>
      <w:r w:rsidR="003D6EFA">
        <w:rPr>
          <w:rFonts w:ascii="Times New Roman" w:hAnsi="Times New Roman" w:cs="Times New Roman"/>
          <w:lang w:val="en-US"/>
        </w:rPr>
        <w:t>at</w:t>
      </w:r>
      <w:r w:rsidRPr="003D6EFA">
        <w:rPr>
          <w:rFonts w:ascii="Times New Roman" w:hAnsi="Times New Roman" w:cs="Times New Roman"/>
          <w:lang w:val="en-US"/>
        </w:rPr>
        <w:t xml:space="preserve"> requirement was laid down in Part 6A of the Immigration Rules, which dealt with the requirements to be satisfied by migrants applying for leave to enter or remain for the purpose of study. The criteria for licensing sponsors and the duties of sponsors once licensed were not prescribed in the Immigration Rules, but only in the Tier 4 Sponsor Guidance issued by the Secretary of State. </w:t>
      </w:r>
    </w:p>
    <w:p w:rsidR="00E020F4" w:rsidRDefault="00E020F4" w:rsidP="00E020F4">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3D6EFA" w:rsidRPr="00E020F4" w:rsidRDefault="00DE1E50" w:rsidP="003D6EFA">
      <w:pPr>
        <w:pStyle w:val="ListParagraph"/>
        <w:numPr>
          <w:ilvl w:val="0"/>
          <w:numId w:val="2"/>
        </w:numPr>
        <w:jc w:val="both"/>
        <w:rPr>
          <w:rFonts w:ascii="Times New Roman" w:hAnsi="Times New Roman" w:cs="Times New Roman"/>
          <w:lang w:val="en-US"/>
        </w:rPr>
      </w:pPr>
      <w:r w:rsidRPr="003D6EFA">
        <w:rPr>
          <w:rFonts w:ascii="Times New Roman" w:hAnsi="Times New Roman" w:cs="Times New Roman"/>
          <w:lang w:val="en-US"/>
        </w:rPr>
        <w:t>Section 3(2) of the Immigration Act 1971 provide</w:t>
      </w:r>
      <w:r w:rsidR="003D6EFA">
        <w:rPr>
          <w:rFonts w:ascii="Times New Roman" w:hAnsi="Times New Roman" w:cs="Times New Roman"/>
          <w:lang w:val="en-US"/>
        </w:rPr>
        <w:t>s</w:t>
      </w:r>
      <w:r w:rsidRPr="003D6EFA">
        <w:rPr>
          <w:rFonts w:ascii="Times New Roman" w:hAnsi="Times New Roman" w:cs="Times New Roman"/>
          <w:lang w:val="en-US"/>
        </w:rPr>
        <w:t xml:space="preserve"> that the Secretary of State shall lay before Parliament rules as to the practice to be followed in regulating the entry and stay in the UK of persons required under the Act to have leave to enter. Part 6A of the Immigration Rules was laid before Parliament under section 3(2) of the Act, but the Sponsor Guidance was not.</w:t>
      </w:r>
    </w:p>
    <w:p w:rsidR="00E020F4" w:rsidRDefault="00E020F4" w:rsidP="00E020F4">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A56C19" w:rsidRDefault="00DE1E50" w:rsidP="00A56C19">
      <w:pPr>
        <w:pStyle w:val="ListParagraph"/>
        <w:numPr>
          <w:ilvl w:val="0"/>
          <w:numId w:val="2"/>
        </w:numPr>
        <w:jc w:val="both"/>
        <w:rPr>
          <w:rFonts w:ascii="Times New Roman" w:hAnsi="Times New Roman" w:cs="Times New Roman"/>
          <w:lang w:val="en-US"/>
        </w:rPr>
      </w:pPr>
      <w:r w:rsidRPr="003D6EFA">
        <w:rPr>
          <w:rFonts w:ascii="Times New Roman" w:hAnsi="Times New Roman" w:cs="Times New Roman"/>
          <w:lang w:val="en-US"/>
        </w:rPr>
        <w:t>The Supreme Court unanimously dismisse</w:t>
      </w:r>
      <w:r w:rsidR="00A56C19">
        <w:rPr>
          <w:rFonts w:ascii="Times New Roman" w:hAnsi="Times New Roman" w:cs="Times New Roman"/>
          <w:lang w:val="en-US"/>
        </w:rPr>
        <w:t>d</w:t>
      </w:r>
      <w:r w:rsidRPr="003D6EFA">
        <w:rPr>
          <w:rFonts w:ascii="Times New Roman" w:hAnsi="Times New Roman" w:cs="Times New Roman"/>
          <w:lang w:val="en-US"/>
        </w:rPr>
        <w:t xml:space="preserve"> the appeals</w:t>
      </w:r>
      <w:r w:rsidR="00A56C19">
        <w:rPr>
          <w:rFonts w:ascii="Times New Roman" w:hAnsi="Times New Roman" w:cs="Times New Roman"/>
          <w:lang w:val="en-US"/>
        </w:rPr>
        <w:t xml:space="preserve"> by the two colleges. Lord Sumption gave the lead judgment, concluding that t</w:t>
      </w:r>
      <w:r w:rsidRPr="00A56C19">
        <w:rPr>
          <w:rFonts w:ascii="Times New Roman" w:hAnsi="Times New Roman" w:cs="Times New Roman"/>
          <w:lang w:val="en-US"/>
        </w:rPr>
        <w:t>he criteria for sponsor licensing contained in the Sponsor Guidance were properly to be described as rules, but they were not required to be laid before Parliament under section 3(2) of the Act</w:t>
      </w:r>
      <w:r w:rsidR="00E020F4">
        <w:rPr>
          <w:rFonts w:ascii="Times New Roman" w:hAnsi="Times New Roman" w:cs="Times New Roman"/>
          <w:lang w:val="en-US"/>
        </w:rPr>
        <w:t>.  This was</w:t>
      </w:r>
      <w:r w:rsidRPr="00A56C19">
        <w:rPr>
          <w:rFonts w:ascii="Times New Roman" w:hAnsi="Times New Roman" w:cs="Times New Roman"/>
          <w:lang w:val="en-US"/>
        </w:rPr>
        <w:t xml:space="preserve"> because that requirement related only to rules regulating the grant of leave to enter or remain in the UK which</w:t>
      </w:r>
      <w:r w:rsidR="00A56C19">
        <w:rPr>
          <w:rFonts w:ascii="Times New Roman" w:hAnsi="Times New Roman" w:cs="Times New Roman"/>
          <w:lang w:val="en-US"/>
        </w:rPr>
        <w:t xml:space="preserve"> </w:t>
      </w:r>
      <w:r w:rsidRPr="00A56C19">
        <w:rPr>
          <w:rFonts w:ascii="Times New Roman" w:hAnsi="Times New Roman" w:cs="Times New Roman"/>
          <w:lang w:val="en-US"/>
        </w:rPr>
        <w:t>ha</w:t>
      </w:r>
      <w:r w:rsidR="00A56C19">
        <w:rPr>
          <w:rFonts w:ascii="Times New Roman" w:hAnsi="Times New Roman" w:cs="Times New Roman"/>
          <w:lang w:val="en-US"/>
        </w:rPr>
        <w:t>d</w:t>
      </w:r>
      <w:r w:rsidRPr="00A56C19">
        <w:rPr>
          <w:rFonts w:ascii="Times New Roman" w:hAnsi="Times New Roman" w:cs="Times New Roman"/>
          <w:lang w:val="en-US"/>
        </w:rPr>
        <w:t xml:space="preserve"> to be satisfied by the migrant. The Guidance </w:t>
      </w:r>
      <w:r w:rsidR="00A56C19">
        <w:rPr>
          <w:rFonts w:ascii="Times New Roman" w:hAnsi="Times New Roman" w:cs="Times New Roman"/>
          <w:lang w:val="en-US"/>
        </w:rPr>
        <w:t>was</w:t>
      </w:r>
      <w:r w:rsidRPr="00A56C19">
        <w:rPr>
          <w:rFonts w:ascii="Times New Roman" w:hAnsi="Times New Roman" w:cs="Times New Roman"/>
          <w:lang w:val="en-US"/>
        </w:rPr>
        <w:t xml:space="preserve"> directed only to the licensing of </w:t>
      </w:r>
      <w:r w:rsidR="00A56C19">
        <w:rPr>
          <w:rFonts w:ascii="Times New Roman" w:hAnsi="Times New Roman" w:cs="Times New Roman"/>
          <w:lang w:val="en-US"/>
        </w:rPr>
        <w:t>sponsoring institutions</w:t>
      </w:r>
      <w:r w:rsidRPr="00A56C19">
        <w:rPr>
          <w:rFonts w:ascii="Times New Roman" w:hAnsi="Times New Roman" w:cs="Times New Roman"/>
          <w:lang w:val="en-US"/>
        </w:rPr>
        <w:t>.</w:t>
      </w:r>
    </w:p>
    <w:p w:rsidR="00A56C19" w:rsidRDefault="00A56C19" w:rsidP="00A56C19">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A56C19" w:rsidRDefault="00A56C19" w:rsidP="00A56C19">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Lord Sumption concluded that it could not</w:t>
      </w:r>
      <w:r w:rsidR="00DE1E50" w:rsidRPr="00A56C19">
        <w:rPr>
          <w:rFonts w:ascii="Times New Roman" w:hAnsi="Times New Roman" w:cs="Times New Roman"/>
          <w:lang w:val="en-US"/>
        </w:rPr>
        <w:t xml:space="preserve"> have been Parliament’s intention that the Secretary of State should be limited to those methods of immigration control which required no other administrative measures apart from the grant or refusal of leave to enter or remain in the UK.</w:t>
      </w:r>
    </w:p>
    <w:p w:rsidR="00352CC6" w:rsidRDefault="00352CC6" w:rsidP="00352CC6">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A56C19" w:rsidRDefault="00A56C19" w:rsidP="00A56C19">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It was noted that the </w:t>
      </w:r>
      <w:r w:rsidRPr="00A56C19">
        <w:rPr>
          <w:rFonts w:ascii="Times New Roman" w:hAnsi="Times New Roman" w:cs="Times New Roman"/>
          <w:lang w:val="en-US"/>
        </w:rPr>
        <w:t>submissions made by the respective colleges might have been self-defeating in any event, if successful, because if the system in question were not valid then the complaints about withdrawal of their licences would be somewhat academic.</w:t>
      </w:r>
    </w:p>
    <w:p w:rsidR="00A56C19" w:rsidRDefault="00A56C19" w:rsidP="00A56C19">
      <w:pPr>
        <w:jc w:val="both"/>
        <w:rPr>
          <w:rFonts w:ascii="Times New Roman" w:hAnsi="Times New Roman" w:cs="Times New Roman"/>
          <w:lang w:val="en-US"/>
        </w:rPr>
      </w:pPr>
    </w:p>
    <w:p w:rsidR="00A56C19" w:rsidRPr="00352CC6" w:rsidRDefault="00A56C19" w:rsidP="00A56C19">
      <w:pPr>
        <w:ind w:left="720"/>
        <w:jc w:val="both"/>
        <w:rPr>
          <w:rFonts w:ascii="Times New Roman" w:hAnsi="Times New Roman" w:cs="Times New Roman"/>
          <w:b/>
          <w:i/>
          <w:u w:val="single"/>
          <w:lang w:val="en-US"/>
        </w:rPr>
      </w:pPr>
      <w:r w:rsidRPr="00352CC6">
        <w:rPr>
          <w:rFonts w:ascii="Times New Roman" w:hAnsi="Times New Roman" w:cs="Times New Roman"/>
          <w:b/>
          <w:u w:val="single"/>
          <w:lang w:val="en-US"/>
        </w:rPr>
        <w:t xml:space="preserve">Statutory Construction: </w:t>
      </w:r>
      <w:r w:rsidRPr="00352CC6">
        <w:rPr>
          <w:rFonts w:ascii="Times New Roman" w:hAnsi="Times New Roman" w:cs="Times New Roman"/>
          <w:b/>
          <w:i/>
          <w:u w:val="single"/>
          <w:lang w:val="en-US"/>
        </w:rPr>
        <w:t>Cusack v London Borough of Harrow</w:t>
      </w:r>
    </w:p>
    <w:p w:rsidR="00C927F6" w:rsidRPr="00352CC6" w:rsidRDefault="00A56C19" w:rsidP="00C927F6">
      <w:pPr>
        <w:pStyle w:val="ListParagraph"/>
        <w:numPr>
          <w:ilvl w:val="0"/>
          <w:numId w:val="2"/>
        </w:numPr>
        <w:jc w:val="both"/>
        <w:rPr>
          <w:rFonts w:ascii="Times New Roman" w:hAnsi="Times New Roman" w:cs="Times New Roman"/>
          <w:lang w:val="en-US"/>
        </w:rPr>
      </w:pPr>
      <w:r w:rsidRPr="00352CC6">
        <w:rPr>
          <w:rFonts w:ascii="Times New Roman" w:hAnsi="Times New Roman" w:cs="Times New Roman"/>
          <w:lang w:val="en-US"/>
        </w:rPr>
        <w:t>As the</w:t>
      </w:r>
      <w:r w:rsidR="00E020F4" w:rsidRPr="00352CC6">
        <w:rPr>
          <w:rFonts w:ascii="Times New Roman" w:hAnsi="Times New Roman" w:cs="Times New Roman"/>
          <w:lang w:val="en-US"/>
        </w:rPr>
        <w:t xml:space="preserve"> college cases</w:t>
      </w:r>
      <w:r w:rsidR="00C927F6" w:rsidRPr="00352CC6">
        <w:rPr>
          <w:rFonts w:ascii="Times New Roman" w:hAnsi="Times New Roman" w:cs="Times New Roman"/>
          <w:lang w:val="en-US"/>
        </w:rPr>
        <w:t xml:space="preserve"> </w:t>
      </w:r>
      <w:r w:rsidR="00352CC6" w:rsidRPr="00352CC6">
        <w:rPr>
          <w:rFonts w:ascii="Times New Roman" w:hAnsi="Times New Roman" w:cs="Times New Roman"/>
          <w:lang w:val="en-US"/>
        </w:rPr>
        <w:t>illustrate</w:t>
      </w:r>
      <w:r w:rsidR="00C927F6" w:rsidRPr="00352CC6">
        <w:rPr>
          <w:rFonts w:ascii="Times New Roman" w:hAnsi="Times New Roman" w:cs="Times New Roman"/>
          <w:lang w:val="en-US"/>
        </w:rPr>
        <w:t>, s</w:t>
      </w:r>
      <w:r w:rsidRPr="00352CC6">
        <w:rPr>
          <w:rFonts w:ascii="Times New Roman" w:hAnsi="Times New Roman" w:cs="Times New Roman"/>
          <w:lang w:val="en-US"/>
        </w:rPr>
        <w:t>tatutory construction is “bread and butter” for most public lawyers</w:t>
      </w:r>
      <w:r w:rsidR="00352CC6">
        <w:rPr>
          <w:rFonts w:ascii="Times New Roman" w:hAnsi="Times New Roman" w:cs="Times New Roman"/>
          <w:lang w:val="en-US"/>
        </w:rPr>
        <w:t>, but it is not often straightforward</w:t>
      </w:r>
      <w:r w:rsidRPr="00352CC6">
        <w:rPr>
          <w:rFonts w:ascii="Times New Roman" w:hAnsi="Times New Roman" w:cs="Times New Roman"/>
          <w:lang w:val="en-US"/>
        </w:rPr>
        <w:t xml:space="preserve">. </w:t>
      </w:r>
    </w:p>
    <w:p w:rsidR="00352CC6" w:rsidRDefault="00352CC6" w:rsidP="00352CC6">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C927F6" w:rsidRPr="00E020F4" w:rsidRDefault="00A56C19" w:rsidP="00C927F6">
      <w:pPr>
        <w:pStyle w:val="ListParagraph"/>
        <w:numPr>
          <w:ilvl w:val="0"/>
          <w:numId w:val="2"/>
        </w:numPr>
        <w:jc w:val="both"/>
        <w:rPr>
          <w:rFonts w:ascii="Times New Roman" w:hAnsi="Times New Roman" w:cs="Times New Roman"/>
          <w:lang w:val="en-US"/>
        </w:rPr>
      </w:pPr>
      <w:r w:rsidRPr="00352CC6">
        <w:rPr>
          <w:rFonts w:ascii="Times New Roman" w:hAnsi="Times New Roman" w:cs="Times New Roman"/>
          <w:lang w:val="en-US"/>
        </w:rPr>
        <w:t>T</w:t>
      </w:r>
      <w:r>
        <w:rPr>
          <w:rFonts w:ascii="Times New Roman" w:hAnsi="Times New Roman" w:cs="Times New Roman"/>
          <w:lang w:val="en-US"/>
        </w:rPr>
        <w:t xml:space="preserve">he decision of the Supreme Court in </w:t>
      </w:r>
      <w:r w:rsidR="00073EFB" w:rsidRPr="00C927F6">
        <w:rPr>
          <w:rFonts w:ascii="Times New Roman" w:hAnsi="Times New Roman" w:cs="Times New Roman"/>
          <w:bCs/>
          <w:i/>
          <w:lang w:val="en-US"/>
        </w:rPr>
        <w:t>Cusack (Respondent) v London Borough of Harrow (Appellant</w:t>
      </w:r>
      <w:r w:rsidR="00073EFB" w:rsidRPr="00C927F6">
        <w:rPr>
          <w:rFonts w:ascii="Times New Roman" w:hAnsi="Times New Roman" w:cs="Times New Roman"/>
          <w:bCs/>
          <w:lang w:val="en-US"/>
        </w:rPr>
        <w:t>) [2013] UKSC 40</w:t>
      </w:r>
      <w:r w:rsidR="00C927F6">
        <w:rPr>
          <w:rFonts w:ascii="Times New Roman" w:hAnsi="Times New Roman" w:cs="Times New Roman"/>
          <w:bCs/>
          <w:lang w:val="en-US"/>
        </w:rPr>
        <w:t xml:space="preserve"> is not of particular widespread interest because of the particular statutory provisions in issue in that case: parallel powers for a highway authority erect barriers preventing a property owner accessing a public highway.  </w:t>
      </w:r>
      <w:r w:rsidR="00E020F4">
        <w:rPr>
          <w:rFonts w:ascii="Times New Roman" w:hAnsi="Times New Roman" w:cs="Times New Roman"/>
          <w:bCs/>
          <w:lang w:val="en-US"/>
        </w:rPr>
        <w:t>I</w:t>
      </w:r>
      <w:r w:rsidR="00C927F6">
        <w:rPr>
          <w:rFonts w:ascii="Times New Roman" w:hAnsi="Times New Roman" w:cs="Times New Roman"/>
          <w:bCs/>
          <w:lang w:val="en-US"/>
        </w:rPr>
        <w:t xml:space="preserve">ts </w:t>
      </w:r>
      <w:r w:rsidR="00352CC6">
        <w:rPr>
          <w:rFonts w:ascii="Times New Roman" w:hAnsi="Times New Roman" w:cs="Times New Roman"/>
          <w:bCs/>
          <w:lang w:val="en-US"/>
        </w:rPr>
        <w:t xml:space="preserve">particular </w:t>
      </w:r>
      <w:r w:rsidR="00C927F6">
        <w:rPr>
          <w:rFonts w:ascii="Times New Roman" w:hAnsi="Times New Roman" w:cs="Times New Roman"/>
          <w:bCs/>
          <w:lang w:val="en-US"/>
        </w:rPr>
        <w:t xml:space="preserve">interest lies in the </w:t>
      </w:r>
      <w:r w:rsidR="00352CC6">
        <w:rPr>
          <w:rFonts w:ascii="Times New Roman" w:hAnsi="Times New Roman" w:cs="Times New Roman"/>
          <w:bCs/>
          <w:lang w:val="en-US"/>
        </w:rPr>
        <w:t xml:space="preserve">endorsement of appropriate </w:t>
      </w:r>
      <w:r w:rsidR="00C927F6">
        <w:rPr>
          <w:rFonts w:ascii="Times New Roman" w:hAnsi="Times New Roman" w:cs="Times New Roman"/>
          <w:bCs/>
          <w:lang w:val="en-US"/>
        </w:rPr>
        <w:t>use of the</w:t>
      </w:r>
      <w:r w:rsidR="00E020F4">
        <w:rPr>
          <w:rFonts w:ascii="Times New Roman" w:hAnsi="Times New Roman" w:cs="Times New Roman"/>
          <w:bCs/>
          <w:lang w:val="en-US"/>
        </w:rPr>
        <w:t xml:space="preserve"> canons of statutory construction</w:t>
      </w:r>
      <w:r w:rsidR="00C927F6">
        <w:rPr>
          <w:rFonts w:ascii="Times New Roman" w:hAnsi="Times New Roman" w:cs="Times New Roman"/>
          <w:bCs/>
          <w:lang w:val="en-US"/>
        </w:rPr>
        <w:t>.</w:t>
      </w:r>
    </w:p>
    <w:p w:rsidR="00E020F4" w:rsidRDefault="00E020F4" w:rsidP="00E020F4">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C927F6" w:rsidRPr="00C927F6" w:rsidRDefault="00073EFB" w:rsidP="00C927F6">
      <w:pPr>
        <w:pStyle w:val="ListParagraph"/>
        <w:numPr>
          <w:ilvl w:val="0"/>
          <w:numId w:val="2"/>
        </w:numPr>
        <w:jc w:val="both"/>
        <w:rPr>
          <w:rFonts w:ascii="Times New Roman" w:hAnsi="Times New Roman" w:cs="Times New Roman"/>
          <w:lang w:val="en-US"/>
        </w:rPr>
      </w:pPr>
      <w:r w:rsidRPr="00C927F6">
        <w:rPr>
          <w:rFonts w:ascii="Times New Roman" w:hAnsi="Times New Roman" w:cs="Times New Roman"/>
          <w:lang w:val="en-US"/>
        </w:rPr>
        <w:t xml:space="preserve">Mr Cusack </w:t>
      </w:r>
      <w:r w:rsidR="00E020F4">
        <w:rPr>
          <w:rFonts w:ascii="Times New Roman" w:hAnsi="Times New Roman" w:cs="Times New Roman"/>
          <w:lang w:val="en-US"/>
        </w:rPr>
        <w:t>was</w:t>
      </w:r>
      <w:r w:rsidRPr="00C927F6">
        <w:rPr>
          <w:rFonts w:ascii="Times New Roman" w:hAnsi="Times New Roman" w:cs="Times New Roman"/>
          <w:lang w:val="en-US"/>
        </w:rPr>
        <w:t xml:space="preserve"> a solicitor who has practised from a property on a</w:t>
      </w:r>
      <w:r w:rsidR="00C927F6">
        <w:rPr>
          <w:rFonts w:ascii="Times New Roman" w:hAnsi="Times New Roman" w:cs="Times New Roman"/>
          <w:lang w:val="en-US"/>
        </w:rPr>
        <w:t xml:space="preserve"> main road in Harrow.</w:t>
      </w:r>
      <w:r w:rsidRPr="00C927F6">
        <w:rPr>
          <w:rFonts w:ascii="Times New Roman" w:hAnsi="Times New Roman" w:cs="Times New Roman"/>
          <w:lang w:val="en-US"/>
        </w:rPr>
        <w:t xml:space="preserve"> Harrow London Borough Council, the relevant highway authority, informed Mr Cusack that the movement of vehicles across the footpath</w:t>
      </w:r>
      <w:r w:rsidR="00C927F6">
        <w:rPr>
          <w:rFonts w:ascii="Times New Roman" w:hAnsi="Times New Roman" w:cs="Times New Roman"/>
          <w:lang w:val="en-US"/>
        </w:rPr>
        <w:t xml:space="preserve"> in front of his property to a parking area</w:t>
      </w:r>
      <w:r w:rsidRPr="00C927F6">
        <w:rPr>
          <w:rFonts w:ascii="Times New Roman" w:hAnsi="Times New Roman" w:cs="Times New Roman"/>
          <w:lang w:val="en-US"/>
        </w:rPr>
        <w:t xml:space="preserve"> was a danger to pedestrians and other motorists. Mr Cusack was told that the council intended to erect barriers in front of his property and several neighbouring properties in order to prevent cars driving over the footpath.</w:t>
      </w:r>
      <w:r w:rsidR="00C927F6">
        <w:rPr>
          <w:rFonts w:ascii="Times New Roman" w:hAnsi="Times New Roman" w:cs="Times New Roman"/>
          <w:lang w:val="en-US"/>
        </w:rPr>
        <w:t xml:space="preserve">  </w:t>
      </w:r>
    </w:p>
    <w:p w:rsidR="00C927F6" w:rsidRDefault="00C927F6" w:rsidP="00C927F6">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C927F6" w:rsidRPr="00E020F4" w:rsidRDefault="00073EFB" w:rsidP="00C927F6">
      <w:pPr>
        <w:pStyle w:val="ListParagraph"/>
        <w:numPr>
          <w:ilvl w:val="0"/>
          <w:numId w:val="2"/>
        </w:numPr>
        <w:jc w:val="both"/>
        <w:rPr>
          <w:rFonts w:ascii="Times New Roman" w:hAnsi="Times New Roman" w:cs="Times New Roman"/>
          <w:lang w:val="en-US"/>
        </w:rPr>
      </w:pPr>
      <w:r w:rsidRPr="00C927F6">
        <w:rPr>
          <w:rFonts w:ascii="Times New Roman" w:hAnsi="Times New Roman" w:cs="Times New Roman"/>
          <w:lang w:val="en-US"/>
        </w:rPr>
        <w:t>Mr Cusack began proceedings seeking an injunction restraining the council from erecting the barriers. A county court judge refused to grant the injunction, holding that the council had power to erect the barriers under section 80 of the Highways Act 1980</w:t>
      </w:r>
      <w:r w:rsidR="00E020F4">
        <w:rPr>
          <w:rFonts w:ascii="Times New Roman" w:hAnsi="Times New Roman" w:cs="Times New Roman"/>
          <w:lang w:val="en-US"/>
        </w:rPr>
        <w:t>.</w:t>
      </w:r>
      <w:r w:rsidRPr="00C927F6">
        <w:rPr>
          <w:rFonts w:ascii="Times New Roman" w:hAnsi="Times New Roman" w:cs="Times New Roman"/>
          <w:lang w:val="en-US"/>
        </w:rPr>
        <w:t xml:space="preserve"> The Court of Appeal held that section 80 was not applicable because the council had power to erect the barriers under section 66(2) of the 1980 Act</w:t>
      </w:r>
      <w:r w:rsidR="00E020F4">
        <w:rPr>
          <w:rFonts w:ascii="Times New Roman" w:hAnsi="Times New Roman" w:cs="Times New Roman"/>
          <w:lang w:val="en-US"/>
        </w:rPr>
        <w:t>, but which would require payment of compensation.</w:t>
      </w:r>
      <w:r w:rsidRPr="00C927F6">
        <w:rPr>
          <w:rFonts w:ascii="Times New Roman" w:hAnsi="Times New Roman" w:cs="Times New Roman"/>
          <w:lang w:val="en-US"/>
        </w:rPr>
        <w:t xml:space="preserve"> </w:t>
      </w:r>
    </w:p>
    <w:p w:rsidR="00E020F4" w:rsidRDefault="00E020F4" w:rsidP="00E020F4">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E020F4" w:rsidRDefault="00C927F6" w:rsidP="00C927F6">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The Su</w:t>
      </w:r>
      <w:r w:rsidR="00CB47BA">
        <w:rPr>
          <w:rFonts w:ascii="Times New Roman" w:hAnsi="Times New Roman" w:cs="Times New Roman"/>
          <w:lang w:val="en-US"/>
        </w:rPr>
        <w:t>preme Court unanimously allowed</w:t>
      </w:r>
      <w:r w:rsidR="00073EFB" w:rsidRPr="00C927F6">
        <w:rPr>
          <w:rFonts w:ascii="Times New Roman" w:hAnsi="Times New Roman" w:cs="Times New Roman"/>
          <w:lang w:val="en-US"/>
        </w:rPr>
        <w:t xml:space="preserve"> the co</w:t>
      </w:r>
      <w:r>
        <w:rPr>
          <w:rFonts w:ascii="Times New Roman" w:hAnsi="Times New Roman" w:cs="Times New Roman"/>
          <w:lang w:val="en-US"/>
        </w:rPr>
        <w:t xml:space="preserve">uncil’s appeal. Lord Carnwath gave the leading judgment, concluding that there was no </w:t>
      </w:r>
      <w:r w:rsidR="00073EFB" w:rsidRPr="00C927F6">
        <w:rPr>
          <w:rFonts w:ascii="Times New Roman" w:hAnsi="Times New Roman" w:cs="Times New Roman"/>
          <w:lang w:val="en-US"/>
        </w:rPr>
        <w:t>general right to compensation when action is taken to restrict a property owner’s right of access to an adjoining highway.</w:t>
      </w:r>
      <w:r>
        <w:rPr>
          <w:rFonts w:ascii="Times New Roman" w:hAnsi="Times New Roman" w:cs="Times New Roman"/>
          <w:lang w:val="en-US"/>
        </w:rPr>
        <w:t xml:space="preserve">  Where the authority had two potential powers available to it, it was entitled to use that power which did not provide payment for compensation.</w:t>
      </w:r>
      <w:r w:rsidR="00CB47BA">
        <w:rPr>
          <w:rFonts w:ascii="Times New Roman" w:hAnsi="Times New Roman" w:cs="Times New Roman"/>
          <w:lang w:val="en-US"/>
        </w:rPr>
        <w:t xml:space="preserve"> </w:t>
      </w:r>
    </w:p>
    <w:p w:rsidR="00352CC6" w:rsidRDefault="00352CC6" w:rsidP="00352CC6">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CB47BA" w:rsidRPr="00E020F4" w:rsidRDefault="00CB47BA" w:rsidP="00E020F4">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Lord Neuberger gave a concurring speech</w:t>
      </w:r>
      <w:r w:rsidR="00E020F4">
        <w:rPr>
          <w:rFonts w:ascii="Times New Roman" w:hAnsi="Times New Roman" w:cs="Times New Roman"/>
          <w:lang w:val="en-US"/>
        </w:rPr>
        <w:t>. He also</w:t>
      </w:r>
      <w:r>
        <w:rPr>
          <w:rFonts w:ascii="Times New Roman" w:hAnsi="Times New Roman" w:cs="Times New Roman"/>
          <w:lang w:val="en-US"/>
        </w:rPr>
        <w:t xml:space="preserve"> addressed the role of the c</w:t>
      </w:r>
      <w:r w:rsidR="00E020F4">
        <w:rPr>
          <w:rFonts w:ascii="Times New Roman" w:hAnsi="Times New Roman" w:cs="Times New Roman"/>
          <w:lang w:val="en-US"/>
        </w:rPr>
        <w:t xml:space="preserve">anons of statutory construction, and the valuable role they had </w:t>
      </w:r>
      <w:r>
        <w:rPr>
          <w:rFonts w:ascii="Times New Roman" w:hAnsi="Times New Roman" w:cs="Times New Roman"/>
          <w:lang w:val="en-US"/>
        </w:rPr>
        <w:t>to play as guidelines embodying logic or commonsense.</w:t>
      </w:r>
      <w:r w:rsidR="00E020F4">
        <w:rPr>
          <w:rFonts w:ascii="Times New Roman" w:hAnsi="Times New Roman" w:cs="Times New Roman"/>
          <w:lang w:val="en-US"/>
        </w:rPr>
        <w:t xml:space="preserve"> </w:t>
      </w:r>
      <w:r w:rsidRPr="00E020F4">
        <w:rPr>
          <w:rFonts w:ascii="Times New Roman" w:hAnsi="Times New Roman" w:cs="Times New Roman"/>
          <w:lang w:val="en-US"/>
        </w:rPr>
        <w:t>Thus he stated:</w:t>
      </w:r>
    </w:p>
    <w:p w:rsidR="00CB47BA" w:rsidRDefault="00CB47BA" w:rsidP="00CB47BA">
      <w:pPr>
        <w:ind w:left="1440" w:hanging="720"/>
        <w:jc w:val="both"/>
        <w:rPr>
          <w:rFonts w:ascii="Times New Roman" w:hAnsi="Times New Roman" w:cs="Times New Roman"/>
          <w:sz w:val="20"/>
          <w:szCs w:val="20"/>
          <w:lang w:val="en-US"/>
        </w:rPr>
      </w:pPr>
      <w:r>
        <w:rPr>
          <w:rFonts w:ascii="Times New Roman" w:hAnsi="Times New Roman" w:cs="Times New Roman"/>
          <w:sz w:val="20"/>
          <w:szCs w:val="20"/>
          <w:lang w:val="en-US"/>
        </w:rPr>
        <w:t>“57.</w:t>
      </w:r>
      <w:r>
        <w:rPr>
          <w:rFonts w:ascii="Times New Roman" w:hAnsi="Times New Roman" w:cs="Times New Roman"/>
          <w:sz w:val="20"/>
          <w:szCs w:val="20"/>
          <w:lang w:val="en-US"/>
        </w:rPr>
        <w:tab/>
      </w:r>
      <w:r w:rsidRPr="00CB47BA">
        <w:rPr>
          <w:rFonts w:ascii="Times New Roman" w:hAnsi="Times New Roman" w:cs="Times New Roman"/>
          <w:sz w:val="20"/>
          <w:szCs w:val="20"/>
          <w:lang w:val="en-US"/>
        </w:rPr>
        <w:t>It was suggested on behalf of the council that this case represented an opportunity for this court to "make it clear that canons of construction should have a limited role to play in the interpretation" of statutes (and indeed contracts). In my view, canons of construction have a valuable part to play in interpretation, provided that they are treated as guidelines rather than railway lines, as servants rather than masters. If invoked properly, they represent a very good example of the value of precedent.</w:t>
      </w:r>
    </w:p>
    <w:p w:rsidR="00CB47BA" w:rsidRDefault="00CB47BA" w:rsidP="00CB47BA">
      <w:pPr>
        <w:ind w:left="1440" w:hanging="720"/>
        <w:jc w:val="both"/>
        <w:rPr>
          <w:rFonts w:ascii="Times New Roman" w:hAnsi="Times New Roman" w:cs="Times New Roman"/>
          <w:sz w:val="20"/>
          <w:szCs w:val="20"/>
          <w:lang w:val="en-US"/>
        </w:rPr>
      </w:pPr>
      <w:r>
        <w:rPr>
          <w:rFonts w:ascii="Times New Roman" w:hAnsi="Times New Roman" w:cs="Times New Roman"/>
          <w:sz w:val="20"/>
          <w:szCs w:val="20"/>
          <w:lang w:val="en-US"/>
        </w:rPr>
        <w:t>58.</w:t>
      </w:r>
      <w:r>
        <w:rPr>
          <w:rFonts w:ascii="Times New Roman" w:hAnsi="Times New Roman" w:cs="Times New Roman"/>
          <w:sz w:val="20"/>
          <w:szCs w:val="20"/>
          <w:lang w:val="en-US"/>
        </w:rPr>
        <w:tab/>
      </w:r>
      <w:r w:rsidRPr="00CB47BA">
        <w:rPr>
          <w:rFonts w:ascii="Times New Roman" w:hAnsi="Times New Roman" w:cs="Times New Roman"/>
          <w:sz w:val="20"/>
          <w:szCs w:val="20"/>
          <w:lang w:val="en-US"/>
        </w:rPr>
        <w:t xml:space="preserve">Interpretation of any document ultimately involves identifying the intention of Parliament, the drafter, or the parties. That intention must be determined by reference to the precise words used, their particular documentary and factual context, and, where identifiable, their aim or purpose. To that extent, almost every issue of interpretation is unique in terms of the nature of the various factors involved. However, that does not mean that the court has a completely free hand when it comes </w:t>
      </w:r>
      <w:r w:rsidRPr="00CB47BA">
        <w:rPr>
          <w:rFonts w:ascii="Times New Roman" w:hAnsi="Times New Roman" w:cs="Times New Roman"/>
          <w:sz w:val="20"/>
          <w:szCs w:val="20"/>
          <w:lang w:val="en-US"/>
        </w:rPr>
        <w:lastRenderedPageBreak/>
        <w:t>to interpreting documents: that would be inconsistent with the rule of law, and with the need for as much certainty and predictability as can be attained, bearing in mind that each case must be resolved by reference to its particular factors.</w:t>
      </w:r>
    </w:p>
    <w:p w:rsidR="00CB47BA" w:rsidRDefault="00CB47BA" w:rsidP="00CB47BA">
      <w:pPr>
        <w:ind w:left="1440" w:hanging="720"/>
        <w:jc w:val="both"/>
        <w:rPr>
          <w:rFonts w:ascii="Times New Roman" w:hAnsi="Times New Roman" w:cs="Times New Roman"/>
          <w:sz w:val="20"/>
          <w:szCs w:val="20"/>
          <w:lang w:val="en-US"/>
        </w:rPr>
      </w:pPr>
      <w:r>
        <w:rPr>
          <w:rFonts w:ascii="Times New Roman" w:hAnsi="Times New Roman" w:cs="Times New Roman"/>
          <w:sz w:val="20"/>
          <w:szCs w:val="20"/>
          <w:lang w:val="en-US"/>
        </w:rPr>
        <w:t>59.</w:t>
      </w:r>
      <w:r>
        <w:rPr>
          <w:rFonts w:ascii="Times New Roman" w:hAnsi="Times New Roman" w:cs="Times New Roman"/>
          <w:sz w:val="20"/>
          <w:szCs w:val="20"/>
          <w:lang w:val="en-US"/>
        </w:rPr>
        <w:tab/>
      </w:r>
      <w:r w:rsidRPr="00CB47BA">
        <w:rPr>
          <w:rFonts w:ascii="Times New Roman" w:hAnsi="Times New Roman" w:cs="Times New Roman"/>
          <w:sz w:val="20"/>
          <w:szCs w:val="20"/>
          <w:lang w:val="en-US"/>
        </w:rPr>
        <w:t xml:space="preserve">Thus, there are some rules of general application – eg that a statute cannot be interpreted by reference to what was said about it in Parliament (unless the requirements laid down in </w:t>
      </w:r>
      <w:r w:rsidRPr="00CB47BA">
        <w:rPr>
          <w:rFonts w:ascii="Times New Roman" w:hAnsi="Times New Roman" w:cs="Times New Roman"/>
          <w:i/>
          <w:iCs/>
          <w:sz w:val="20"/>
          <w:szCs w:val="20"/>
          <w:lang w:val="en-US"/>
        </w:rPr>
        <w:t xml:space="preserve">Pepper v Hart </w:t>
      </w:r>
      <w:hyperlink r:id="rId7" w:history="1">
        <w:r w:rsidRPr="00CB47BA">
          <w:rPr>
            <w:rFonts w:ascii="Times New Roman" w:hAnsi="Times New Roman" w:cs="Times New Roman"/>
            <w:color w:val="0000E9"/>
            <w:sz w:val="20"/>
            <w:szCs w:val="20"/>
            <w:u w:val="single" w:color="0000E9"/>
            <w:lang w:val="en-US"/>
          </w:rPr>
          <w:t>[1993] AC 593</w:t>
        </w:r>
      </w:hyperlink>
      <w:r w:rsidRPr="00CB47BA">
        <w:rPr>
          <w:rFonts w:ascii="Times New Roman" w:hAnsi="Times New Roman" w:cs="Times New Roman"/>
          <w:sz w:val="20"/>
          <w:szCs w:val="20"/>
          <w:lang w:val="en-US"/>
        </w:rPr>
        <w:t xml:space="preserve"> are satisfied), or that prior negotiations or subsequent actions cannot be taken into account when construing a contract. In addition, particularly in a system which accords as much importance to precedence as the common law, considerable help can often be gained from considering the approach and techniques devised or adopted by other judges when considering questions of interpretation. Even though such approaches and techniques cannot amount to rules, they not only assist lawyers and judges who are subsequently faced with interpretation issues, but they also ensure a degree of consistency of approach to such issues.</w:t>
      </w:r>
    </w:p>
    <w:p w:rsidR="00CB47BA" w:rsidRPr="00CB47BA" w:rsidRDefault="00CB47BA" w:rsidP="00CB47BA">
      <w:pPr>
        <w:ind w:left="1440" w:hanging="720"/>
        <w:jc w:val="both"/>
        <w:rPr>
          <w:rFonts w:ascii="Times New Roman" w:hAnsi="Times New Roman" w:cs="Times New Roman"/>
          <w:sz w:val="20"/>
          <w:szCs w:val="20"/>
          <w:lang w:val="en-US"/>
        </w:rPr>
      </w:pPr>
      <w:r>
        <w:rPr>
          <w:rFonts w:ascii="Times New Roman" w:hAnsi="Times New Roman" w:cs="Times New Roman"/>
          <w:sz w:val="20"/>
          <w:szCs w:val="20"/>
          <w:lang w:val="en-US"/>
        </w:rPr>
        <w:t>60.</w:t>
      </w:r>
      <w:r>
        <w:rPr>
          <w:rFonts w:ascii="Times New Roman" w:hAnsi="Times New Roman" w:cs="Times New Roman"/>
          <w:sz w:val="20"/>
          <w:szCs w:val="20"/>
          <w:lang w:val="en-US"/>
        </w:rPr>
        <w:tab/>
      </w:r>
      <w:r w:rsidRPr="00CB47BA">
        <w:rPr>
          <w:rFonts w:ascii="Times New Roman" w:hAnsi="Times New Roman" w:cs="Times New Roman"/>
          <w:sz w:val="20"/>
          <w:szCs w:val="20"/>
          <w:lang w:val="en-US"/>
        </w:rPr>
        <w:t xml:space="preserve">Hence the so-called canons of construction, some of which are of relatively general application, such as the so-called golden rule (that words are prima facie to be given their ordinary meaning), and some of which may assist in dealing with a more specific problem, such as that enunciated by Sir John Romilly in </w:t>
      </w:r>
      <w:r w:rsidRPr="00CB47BA">
        <w:rPr>
          <w:rFonts w:ascii="Times New Roman" w:hAnsi="Times New Roman" w:cs="Times New Roman"/>
          <w:i/>
          <w:iCs/>
          <w:sz w:val="20"/>
          <w:szCs w:val="20"/>
          <w:lang w:val="en-US"/>
        </w:rPr>
        <w:t>Pretty v Solly</w:t>
      </w:r>
      <w:r w:rsidRPr="00CB47BA">
        <w:rPr>
          <w:rFonts w:ascii="Times New Roman" w:hAnsi="Times New Roman" w:cs="Times New Roman"/>
          <w:sz w:val="20"/>
          <w:szCs w:val="20"/>
          <w:lang w:val="en-US"/>
        </w:rPr>
        <w:t>. With few, if any, exceptions, the canons embody logic or common sense, but that is scarcely a reason for discarding them: on the contrary. Of course there will be many cases, where different canons will point to different answers, but that does not call their value into question. Provided that it is remembered that the canons exist to illuminate and help, but not to constrain or inhibit, they remain of real value.</w:t>
      </w:r>
      <w:r>
        <w:rPr>
          <w:rFonts w:ascii="Times New Roman" w:hAnsi="Times New Roman" w:cs="Times New Roman"/>
          <w:sz w:val="20"/>
          <w:szCs w:val="20"/>
          <w:lang w:val="en-US"/>
        </w:rPr>
        <w:t>”</w:t>
      </w:r>
    </w:p>
    <w:p w:rsidR="00355EC2" w:rsidRDefault="00355EC2" w:rsidP="005A7EC4">
      <w:pPr>
        <w:jc w:val="both"/>
        <w:rPr>
          <w:rFonts w:ascii="Times New Roman" w:hAnsi="Times New Roman" w:cs="Times New Roman"/>
        </w:rPr>
      </w:pPr>
    </w:p>
    <w:p w:rsidR="00352CC6" w:rsidRPr="00352CC6" w:rsidRDefault="00352CC6" w:rsidP="005A7EC4">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Postscript</w:t>
      </w:r>
    </w:p>
    <w:p w:rsidR="000C12E5" w:rsidRPr="005A7EC4" w:rsidRDefault="00352CC6" w:rsidP="005A7EC4">
      <w:pPr>
        <w:pStyle w:val="ListParagraph"/>
        <w:numPr>
          <w:ilvl w:val="0"/>
          <w:numId w:val="2"/>
        </w:numPr>
        <w:jc w:val="both"/>
        <w:rPr>
          <w:rFonts w:ascii="Times New Roman" w:hAnsi="Times New Roman" w:cs="Times New Roman"/>
        </w:rPr>
      </w:pPr>
      <w:r w:rsidRPr="00D41195">
        <w:rPr>
          <w:rFonts w:ascii="Times New Roman" w:hAnsi="Times New Roman" w:cs="Times New Roman"/>
          <w:bCs/>
          <w:lang w:val="en-US"/>
        </w:rPr>
        <w:t xml:space="preserve">There is a myriad of other public law cases of interest, both in specialist areas and more generally.  The ones chosen </w:t>
      </w:r>
      <w:r w:rsidR="00D41195" w:rsidRPr="00D41195">
        <w:rPr>
          <w:rFonts w:ascii="Times New Roman" w:hAnsi="Times New Roman" w:cs="Times New Roman"/>
          <w:bCs/>
          <w:lang w:val="en-US"/>
        </w:rPr>
        <w:t xml:space="preserve">are necessarily only a very small </w:t>
      </w:r>
      <w:r w:rsidR="00D41195">
        <w:rPr>
          <w:rFonts w:ascii="Times New Roman" w:hAnsi="Times New Roman" w:cs="Times New Roman"/>
          <w:bCs/>
          <w:lang w:val="en-US"/>
        </w:rPr>
        <w:t xml:space="preserve">subjective </w:t>
      </w:r>
      <w:r w:rsidR="00D41195" w:rsidRPr="00D41195">
        <w:rPr>
          <w:rFonts w:ascii="Times New Roman" w:hAnsi="Times New Roman" w:cs="Times New Roman"/>
          <w:bCs/>
          <w:lang w:val="en-US"/>
        </w:rPr>
        <w:t>selection.</w:t>
      </w:r>
      <w:r w:rsidR="00D41195" w:rsidRPr="00D41195">
        <w:rPr>
          <w:rFonts w:ascii="Times New Roman" w:hAnsi="Times New Roman" w:cs="Times New Roman"/>
        </w:rPr>
        <w:t xml:space="preserve"> </w:t>
      </w:r>
    </w:p>
    <w:sectPr w:rsidR="000C12E5" w:rsidRPr="005A7EC4" w:rsidSect="0036706C">
      <w:footerReference w:type="default" r:id="rId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9C1" w:rsidRDefault="008E09C1" w:rsidP="00E47FA2">
      <w:pPr>
        <w:spacing w:after="0"/>
      </w:pPr>
      <w:r>
        <w:separator/>
      </w:r>
    </w:p>
  </w:endnote>
  <w:endnote w:type="continuationSeparator" w:id="0">
    <w:p w:rsidR="008E09C1" w:rsidRDefault="008E09C1" w:rsidP="00E47F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725405"/>
      <w:docPartObj>
        <w:docPartGallery w:val="Page Numbers (Bottom of Page)"/>
        <w:docPartUnique/>
      </w:docPartObj>
    </w:sdtPr>
    <w:sdtContent>
      <w:p w:rsidR="00D41195" w:rsidRDefault="00EA7119">
        <w:pPr>
          <w:pStyle w:val="Footer"/>
          <w:jc w:val="center"/>
        </w:pPr>
        <w:r>
          <w:fldChar w:fldCharType="begin"/>
        </w:r>
        <w:r w:rsidR="00D727F7">
          <w:instrText xml:space="preserve"> PAGE   \* MERGEFORMAT </w:instrText>
        </w:r>
        <w:r>
          <w:fldChar w:fldCharType="separate"/>
        </w:r>
        <w:r w:rsidR="00B54A45">
          <w:rPr>
            <w:noProof/>
          </w:rPr>
          <w:t>1</w:t>
        </w:r>
        <w:r>
          <w:rPr>
            <w:noProof/>
          </w:rPr>
          <w:fldChar w:fldCharType="end"/>
        </w:r>
      </w:p>
    </w:sdtContent>
  </w:sdt>
  <w:p w:rsidR="00D41195" w:rsidRDefault="00D41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9C1" w:rsidRDefault="008E09C1" w:rsidP="00E47FA2">
      <w:pPr>
        <w:spacing w:after="0"/>
      </w:pPr>
      <w:r>
        <w:separator/>
      </w:r>
    </w:p>
  </w:footnote>
  <w:footnote w:type="continuationSeparator" w:id="0">
    <w:p w:rsidR="008E09C1" w:rsidRDefault="008E09C1" w:rsidP="00E47FA2">
      <w:pPr>
        <w:spacing w:after="0"/>
      </w:pPr>
      <w:r>
        <w:continuationSeparator/>
      </w:r>
    </w:p>
  </w:footnote>
  <w:footnote w:id="1">
    <w:p w:rsidR="001F2024" w:rsidRPr="00CB100D" w:rsidRDefault="001F2024">
      <w:pPr>
        <w:pStyle w:val="FootnoteText"/>
        <w:rPr>
          <w:rFonts w:ascii="Times New Roman" w:hAnsi="Times New Roman" w:cs="Times New Roman"/>
          <w:sz w:val="20"/>
          <w:szCs w:val="20"/>
          <w:lang w:val="en-US"/>
        </w:rPr>
      </w:pPr>
      <w:r>
        <w:rPr>
          <w:rStyle w:val="FootnoteReference"/>
        </w:rPr>
        <w:footnoteRef/>
      </w:r>
      <w:r>
        <w:t xml:space="preserve"> </w:t>
      </w:r>
      <w:r w:rsidRPr="00CB100D">
        <w:rPr>
          <w:rFonts w:ascii="Times New Roman" w:hAnsi="Times New Roman" w:cs="Times New Roman"/>
          <w:sz w:val="20"/>
          <w:szCs w:val="20"/>
          <w:lang w:val="en-US"/>
        </w:rPr>
        <w:t xml:space="preserve">“Sunlight is said to be the best of disinfectants”: </w:t>
      </w:r>
      <w:r w:rsidRPr="00CB100D">
        <w:rPr>
          <w:rFonts w:ascii="Times New Roman" w:hAnsi="Times New Roman" w:cs="Times New Roman"/>
          <w:sz w:val="20"/>
          <w:szCs w:val="20"/>
        </w:rPr>
        <w:t xml:space="preserve">Justice </w:t>
      </w:r>
      <w:r w:rsidRPr="00CB100D">
        <w:rPr>
          <w:rFonts w:ascii="Times New Roman" w:hAnsi="Times New Roman" w:cs="Times New Roman"/>
          <w:sz w:val="20"/>
          <w:szCs w:val="20"/>
          <w:lang w:val="en-US"/>
        </w:rPr>
        <w:t xml:space="preserve">Louis D Brandeis in ‘What Publicity Can Do’ </w:t>
      </w:r>
      <w:r w:rsidRPr="00CB100D">
        <w:rPr>
          <w:rFonts w:ascii="Times New Roman" w:hAnsi="Times New Roman" w:cs="Times New Roman"/>
          <w:i/>
          <w:sz w:val="20"/>
          <w:szCs w:val="20"/>
          <w:lang w:val="en-US"/>
        </w:rPr>
        <w:t xml:space="preserve">Harper’s Weekly </w:t>
      </w:r>
      <w:r w:rsidRPr="00CB100D">
        <w:rPr>
          <w:rFonts w:ascii="Times New Roman" w:hAnsi="Times New Roman" w:cs="Times New Roman"/>
          <w:sz w:val="20"/>
          <w:szCs w:val="20"/>
          <w:lang w:val="en-US"/>
        </w:rPr>
        <w:t xml:space="preserve"> (1913)</w:t>
      </w:r>
    </w:p>
  </w:footnote>
  <w:footnote w:id="2">
    <w:p w:rsidR="001F2024" w:rsidRPr="00CB100D" w:rsidRDefault="001F2024" w:rsidP="00170391">
      <w:pPr>
        <w:pStyle w:val="FootnoteText"/>
        <w:rPr>
          <w:rFonts w:ascii="Times New Roman" w:hAnsi="Times New Roman" w:cs="Times New Roman"/>
          <w:sz w:val="20"/>
          <w:szCs w:val="20"/>
          <w:lang w:val="en-US"/>
        </w:rPr>
      </w:pPr>
      <w:r w:rsidRPr="00CB100D">
        <w:rPr>
          <w:rStyle w:val="FootnoteReference"/>
          <w:rFonts w:ascii="Times New Roman" w:hAnsi="Times New Roman" w:cs="Times New Roman"/>
          <w:sz w:val="20"/>
          <w:szCs w:val="20"/>
        </w:rPr>
        <w:footnoteRef/>
      </w:r>
      <w:r w:rsidRPr="00CB100D">
        <w:rPr>
          <w:rFonts w:ascii="Times New Roman" w:hAnsi="Times New Roman" w:cs="Times New Roman"/>
          <w:sz w:val="20"/>
          <w:szCs w:val="20"/>
        </w:rPr>
        <w:t xml:space="preserve"> </w:t>
      </w:r>
      <w:r w:rsidRPr="00CB100D">
        <w:rPr>
          <w:rFonts w:ascii="Times New Roman" w:hAnsi="Times New Roman" w:cs="Times New Roman"/>
          <w:sz w:val="20"/>
          <w:szCs w:val="20"/>
          <w:lang w:val="en-US"/>
        </w:rPr>
        <w:t xml:space="preserve">See </w:t>
      </w:r>
      <w:r w:rsidRPr="00CB100D">
        <w:rPr>
          <w:rFonts w:ascii="Times New Roman" w:hAnsi="Times New Roman" w:cs="Times New Roman"/>
          <w:i/>
          <w:iCs/>
          <w:sz w:val="20"/>
          <w:szCs w:val="20"/>
          <w:lang w:val="en-US"/>
        </w:rPr>
        <w:t xml:space="preserve">Chagos Islanders v the Attorney General </w:t>
      </w:r>
      <w:hyperlink r:id="rId1" w:history="1">
        <w:r w:rsidRPr="00CB100D">
          <w:rPr>
            <w:rFonts w:ascii="Times New Roman" w:hAnsi="Times New Roman" w:cs="Times New Roman"/>
            <w:color w:val="0000E9"/>
            <w:sz w:val="20"/>
            <w:szCs w:val="20"/>
            <w:u w:val="single" w:color="0000E9"/>
            <w:lang w:val="en-US"/>
          </w:rPr>
          <w:t>[2004] EWCA Civ 997</w:t>
        </w:r>
      </w:hyperlink>
      <w:r w:rsidRPr="00CB100D">
        <w:rPr>
          <w:rFonts w:ascii="Times New Roman" w:hAnsi="Times New Roman" w:cs="Times New Roman"/>
          <w:sz w:val="20"/>
          <w:szCs w:val="20"/>
          <w:lang w:val="en-US"/>
        </w:rPr>
        <w:t xml:space="preserve">, </w:t>
      </w:r>
      <w:r w:rsidRPr="00CB100D">
        <w:rPr>
          <w:rFonts w:ascii="Times New Roman" w:hAnsi="Times New Roman" w:cs="Times New Roman"/>
          <w:i/>
          <w:iCs/>
          <w:sz w:val="20"/>
          <w:szCs w:val="20"/>
          <w:lang w:val="en-US"/>
        </w:rPr>
        <w:t xml:space="preserve">R (Bancoult) v Secretary of State for Foreign and Commonwealth Affairs </w:t>
      </w:r>
      <w:hyperlink r:id="rId2" w:history="1">
        <w:r w:rsidRPr="00CB100D">
          <w:rPr>
            <w:rFonts w:ascii="Times New Roman" w:hAnsi="Times New Roman" w:cs="Times New Roman"/>
            <w:color w:val="0000E9"/>
            <w:sz w:val="20"/>
            <w:szCs w:val="20"/>
            <w:u w:val="single" w:color="0000E9"/>
            <w:lang w:val="en-US"/>
          </w:rPr>
          <w:t>[2008] UKHL 61</w:t>
        </w:r>
      </w:hyperlink>
      <w:r w:rsidRPr="00CB100D">
        <w:rPr>
          <w:rFonts w:ascii="Times New Roman" w:hAnsi="Times New Roman" w:cs="Times New Roman"/>
          <w:sz w:val="20"/>
          <w:szCs w:val="20"/>
          <w:lang w:val="en-US"/>
        </w:rPr>
        <w:t xml:space="preserve"> </w:t>
      </w:r>
      <w:hyperlink r:id="rId3" w:history="1">
        <w:r w:rsidRPr="00CB100D">
          <w:rPr>
            <w:rFonts w:ascii="Times New Roman" w:hAnsi="Times New Roman" w:cs="Times New Roman"/>
            <w:color w:val="0000E9"/>
            <w:sz w:val="20"/>
            <w:szCs w:val="20"/>
            <w:u w:val="single" w:color="0000E9"/>
            <w:lang w:val="en-US"/>
          </w:rPr>
          <w:t>[2009] AC 453</w:t>
        </w:r>
      </w:hyperlink>
      <w:r w:rsidRPr="00CB100D">
        <w:rPr>
          <w:rFonts w:ascii="Times New Roman" w:hAnsi="Times New Roman" w:cs="Times New Roman"/>
          <w:sz w:val="20"/>
          <w:szCs w:val="20"/>
          <w:lang w:val="en-US"/>
        </w:rPr>
        <w:t xml:space="preserve"> </w:t>
      </w:r>
      <w:r w:rsidR="00C44B6C">
        <w:rPr>
          <w:rFonts w:ascii="Times New Roman" w:hAnsi="Times New Roman" w:cs="Times New Roman"/>
          <w:sz w:val="20"/>
          <w:szCs w:val="20"/>
          <w:lang w:val="en-US"/>
        </w:rPr>
        <w:t xml:space="preserve">and </w:t>
      </w:r>
      <w:r w:rsidRPr="00CB100D">
        <w:rPr>
          <w:rFonts w:ascii="Times New Roman" w:hAnsi="Times New Roman" w:cs="Times New Roman"/>
          <w:i/>
          <w:iCs/>
          <w:sz w:val="20"/>
          <w:szCs w:val="20"/>
          <w:lang w:val="en-US"/>
        </w:rPr>
        <w:t>Chagos Islanders v the United Kingdom</w:t>
      </w:r>
      <w:r w:rsidRPr="00CB100D">
        <w:rPr>
          <w:rFonts w:ascii="Times New Roman" w:hAnsi="Times New Roman" w:cs="Times New Roman"/>
          <w:sz w:val="20"/>
          <w:szCs w:val="20"/>
          <w:lang w:val="en-US"/>
        </w:rPr>
        <w:t xml:space="preserve"> </w:t>
      </w:r>
      <w:hyperlink r:id="rId4" w:history="1">
        <w:r w:rsidRPr="00CB100D">
          <w:rPr>
            <w:rFonts w:ascii="Times New Roman" w:hAnsi="Times New Roman" w:cs="Times New Roman"/>
            <w:color w:val="0000E9"/>
            <w:sz w:val="20"/>
            <w:szCs w:val="20"/>
            <w:u w:val="single" w:color="0000E9"/>
            <w:lang w:val="en-US"/>
          </w:rPr>
          <w:t>[2009] ECHR 410</w:t>
        </w:r>
      </w:hyperlink>
      <w:r w:rsidRPr="00CB100D">
        <w:rPr>
          <w:rFonts w:ascii="Times New Roman" w:hAnsi="Times New Roman" w:cs="Times New Roman"/>
          <w:sz w:val="20"/>
          <w:szCs w:val="20"/>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916AE"/>
    <w:multiLevelType w:val="hybridMultilevel"/>
    <w:tmpl w:val="5E3EFEEC"/>
    <w:lvl w:ilvl="0" w:tplc="3D6E00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565C7"/>
    <w:multiLevelType w:val="hybridMultilevel"/>
    <w:tmpl w:val="91CA78D8"/>
    <w:lvl w:ilvl="0" w:tplc="37DAF75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7DF44E36"/>
    <w:multiLevelType w:val="hybridMultilevel"/>
    <w:tmpl w:val="EFF0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0C12E5"/>
    <w:rsid w:val="00024813"/>
    <w:rsid w:val="000514D3"/>
    <w:rsid w:val="00073EFB"/>
    <w:rsid w:val="000851D8"/>
    <w:rsid w:val="00086209"/>
    <w:rsid w:val="000C12E5"/>
    <w:rsid w:val="000D7DA6"/>
    <w:rsid w:val="0015576B"/>
    <w:rsid w:val="00162014"/>
    <w:rsid w:val="00170391"/>
    <w:rsid w:val="0017742D"/>
    <w:rsid w:val="00177D42"/>
    <w:rsid w:val="001872D4"/>
    <w:rsid w:val="001F2024"/>
    <w:rsid w:val="00297B79"/>
    <w:rsid w:val="003316D2"/>
    <w:rsid w:val="00352CC6"/>
    <w:rsid w:val="00355EC2"/>
    <w:rsid w:val="00364DE0"/>
    <w:rsid w:val="0036706C"/>
    <w:rsid w:val="00371669"/>
    <w:rsid w:val="00375D07"/>
    <w:rsid w:val="0039319D"/>
    <w:rsid w:val="003D4069"/>
    <w:rsid w:val="003D6EFA"/>
    <w:rsid w:val="003E65D0"/>
    <w:rsid w:val="003F53BF"/>
    <w:rsid w:val="00411FA4"/>
    <w:rsid w:val="00483003"/>
    <w:rsid w:val="00514194"/>
    <w:rsid w:val="00530CA9"/>
    <w:rsid w:val="0053176E"/>
    <w:rsid w:val="00531F6A"/>
    <w:rsid w:val="005A2020"/>
    <w:rsid w:val="005A7EC4"/>
    <w:rsid w:val="006739D4"/>
    <w:rsid w:val="006D21DF"/>
    <w:rsid w:val="006D4E6B"/>
    <w:rsid w:val="006E25B7"/>
    <w:rsid w:val="00716C10"/>
    <w:rsid w:val="007A12B2"/>
    <w:rsid w:val="007C681F"/>
    <w:rsid w:val="007F7EE7"/>
    <w:rsid w:val="008262C9"/>
    <w:rsid w:val="008672C0"/>
    <w:rsid w:val="00886C20"/>
    <w:rsid w:val="008E09C1"/>
    <w:rsid w:val="009C028F"/>
    <w:rsid w:val="009E5A28"/>
    <w:rsid w:val="00A56C19"/>
    <w:rsid w:val="00A83629"/>
    <w:rsid w:val="00A902CA"/>
    <w:rsid w:val="00AA1CF7"/>
    <w:rsid w:val="00B06E78"/>
    <w:rsid w:val="00B22F66"/>
    <w:rsid w:val="00B361C0"/>
    <w:rsid w:val="00B54A45"/>
    <w:rsid w:val="00B572BA"/>
    <w:rsid w:val="00B81D6C"/>
    <w:rsid w:val="00BC3EDB"/>
    <w:rsid w:val="00C3524C"/>
    <w:rsid w:val="00C44B6C"/>
    <w:rsid w:val="00C60A88"/>
    <w:rsid w:val="00C927F6"/>
    <w:rsid w:val="00C938BA"/>
    <w:rsid w:val="00CB100D"/>
    <w:rsid w:val="00CB47BA"/>
    <w:rsid w:val="00CD1A28"/>
    <w:rsid w:val="00CF38CC"/>
    <w:rsid w:val="00D11CBB"/>
    <w:rsid w:val="00D41195"/>
    <w:rsid w:val="00D53A90"/>
    <w:rsid w:val="00D566EA"/>
    <w:rsid w:val="00D727F7"/>
    <w:rsid w:val="00DC5519"/>
    <w:rsid w:val="00DE1E50"/>
    <w:rsid w:val="00E020F4"/>
    <w:rsid w:val="00E07BE7"/>
    <w:rsid w:val="00E47FA2"/>
    <w:rsid w:val="00EA7119"/>
    <w:rsid w:val="00EC0B07"/>
    <w:rsid w:val="00EC3B7A"/>
    <w:rsid w:val="00F25DF2"/>
    <w:rsid w:val="00F27928"/>
    <w:rsid w:val="00FA186B"/>
    <w:rsid w:val="00FC2942"/>
    <w:rsid w:val="00FC2B34"/>
    <w:rsid w:val="00FC75F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E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A9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A90"/>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E47FA2"/>
    <w:pPr>
      <w:spacing w:after="0"/>
    </w:pPr>
  </w:style>
  <w:style w:type="character" w:customStyle="1" w:styleId="FootnoteTextChar">
    <w:name w:val="Footnote Text Char"/>
    <w:basedOn w:val="DefaultParagraphFont"/>
    <w:link w:val="FootnoteText"/>
    <w:uiPriority w:val="99"/>
    <w:rsid w:val="00E47FA2"/>
    <w:rPr>
      <w:lang w:val="en-GB"/>
    </w:rPr>
  </w:style>
  <w:style w:type="character" w:styleId="FootnoteReference">
    <w:name w:val="footnote reference"/>
    <w:basedOn w:val="DefaultParagraphFont"/>
    <w:uiPriority w:val="99"/>
    <w:unhideWhenUsed/>
    <w:rsid w:val="00E47FA2"/>
    <w:rPr>
      <w:vertAlign w:val="superscript"/>
    </w:rPr>
  </w:style>
  <w:style w:type="paragraph" w:styleId="ListParagraph">
    <w:name w:val="List Paragraph"/>
    <w:basedOn w:val="Normal"/>
    <w:uiPriority w:val="34"/>
    <w:qFormat/>
    <w:rsid w:val="00D566EA"/>
    <w:pPr>
      <w:ind w:left="720"/>
      <w:contextualSpacing/>
    </w:pPr>
  </w:style>
  <w:style w:type="paragraph" w:styleId="Header">
    <w:name w:val="header"/>
    <w:basedOn w:val="Normal"/>
    <w:link w:val="HeaderChar"/>
    <w:uiPriority w:val="99"/>
    <w:semiHidden/>
    <w:unhideWhenUsed/>
    <w:rsid w:val="00D41195"/>
    <w:pPr>
      <w:tabs>
        <w:tab w:val="center" w:pos="4513"/>
        <w:tab w:val="right" w:pos="9026"/>
      </w:tabs>
      <w:spacing w:after="0"/>
    </w:pPr>
  </w:style>
  <w:style w:type="character" w:customStyle="1" w:styleId="HeaderChar">
    <w:name w:val="Header Char"/>
    <w:basedOn w:val="DefaultParagraphFont"/>
    <w:link w:val="Header"/>
    <w:uiPriority w:val="99"/>
    <w:semiHidden/>
    <w:rsid w:val="00D41195"/>
    <w:rPr>
      <w:lang w:val="en-GB"/>
    </w:rPr>
  </w:style>
  <w:style w:type="paragraph" w:styleId="Footer">
    <w:name w:val="footer"/>
    <w:basedOn w:val="Normal"/>
    <w:link w:val="FooterChar"/>
    <w:uiPriority w:val="99"/>
    <w:unhideWhenUsed/>
    <w:rsid w:val="00D41195"/>
    <w:pPr>
      <w:tabs>
        <w:tab w:val="center" w:pos="4513"/>
        <w:tab w:val="right" w:pos="9026"/>
      </w:tabs>
      <w:spacing w:after="0"/>
    </w:pPr>
  </w:style>
  <w:style w:type="character" w:customStyle="1" w:styleId="FooterChar">
    <w:name w:val="Footer Char"/>
    <w:basedOn w:val="DefaultParagraphFont"/>
    <w:link w:val="Footer"/>
    <w:uiPriority w:val="99"/>
    <w:rsid w:val="00D41195"/>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E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A9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A90"/>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E47FA2"/>
    <w:pPr>
      <w:spacing w:after="0"/>
    </w:pPr>
  </w:style>
  <w:style w:type="character" w:customStyle="1" w:styleId="FootnoteTextChar">
    <w:name w:val="Footnote Text Char"/>
    <w:basedOn w:val="DefaultParagraphFont"/>
    <w:link w:val="FootnoteText"/>
    <w:uiPriority w:val="99"/>
    <w:rsid w:val="00E47FA2"/>
    <w:rPr>
      <w:lang w:val="en-GB"/>
    </w:rPr>
  </w:style>
  <w:style w:type="character" w:styleId="FootnoteReference">
    <w:name w:val="footnote reference"/>
    <w:basedOn w:val="DefaultParagraphFont"/>
    <w:uiPriority w:val="99"/>
    <w:unhideWhenUsed/>
    <w:rsid w:val="00E47FA2"/>
    <w:rPr>
      <w:vertAlign w:val="superscript"/>
    </w:rPr>
  </w:style>
  <w:style w:type="paragraph" w:styleId="ListParagraph">
    <w:name w:val="List Paragraph"/>
    <w:basedOn w:val="Normal"/>
    <w:uiPriority w:val="34"/>
    <w:qFormat/>
    <w:rsid w:val="00D566EA"/>
    <w:pPr>
      <w:ind w:left="720"/>
      <w:contextualSpacing/>
    </w:pPr>
  </w:style>
  <w:style w:type="paragraph" w:styleId="Header">
    <w:name w:val="header"/>
    <w:basedOn w:val="Normal"/>
    <w:link w:val="HeaderChar"/>
    <w:uiPriority w:val="99"/>
    <w:semiHidden/>
    <w:unhideWhenUsed/>
    <w:rsid w:val="00D41195"/>
    <w:pPr>
      <w:tabs>
        <w:tab w:val="center" w:pos="4513"/>
        <w:tab w:val="right" w:pos="9026"/>
      </w:tabs>
      <w:spacing w:after="0"/>
    </w:pPr>
  </w:style>
  <w:style w:type="character" w:customStyle="1" w:styleId="HeaderChar">
    <w:name w:val="Header Char"/>
    <w:basedOn w:val="DefaultParagraphFont"/>
    <w:link w:val="Header"/>
    <w:uiPriority w:val="99"/>
    <w:semiHidden/>
    <w:rsid w:val="00D41195"/>
    <w:rPr>
      <w:lang w:val="en-GB"/>
    </w:rPr>
  </w:style>
  <w:style w:type="paragraph" w:styleId="Footer">
    <w:name w:val="footer"/>
    <w:basedOn w:val="Normal"/>
    <w:link w:val="FooterChar"/>
    <w:uiPriority w:val="99"/>
    <w:unhideWhenUsed/>
    <w:rsid w:val="00D41195"/>
    <w:pPr>
      <w:tabs>
        <w:tab w:val="center" w:pos="4513"/>
        <w:tab w:val="right" w:pos="9026"/>
      </w:tabs>
      <w:spacing w:after="0"/>
    </w:pPr>
  </w:style>
  <w:style w:type="character" w:customStyle="1" w:styleId="FooterChar">
    <w:name w:val="Footer Char"/>
    <w:basedOn w:val="DefaultParagraphFont"/>
    <w:link w:val="Footer"/>
    <w:uiPriority w:val="99"/>
    <w:rsid w:val="00D41195"/>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ilii.org/cgi-bin/redirect.cgi?path=/uk/cases/UKHL/1992/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ailii.org/cgi-bin/redirect.cgi?path=/uk/cases/UKHL/2008/61.html" TargetMode="External"/><Relationship Id="rId2" Type="http://schemas.openxmlformats.org/officeDocument/2006/relationships/hyperlink" Target="http://www.bailii.org/uk/cases/UKHL/2008/61.html" TargetMode="External"/><Relationship Id="rId1" Type="http://schemas.openxmlformats.org/officeDocument/2006/relationships/hyperlink" Target="http://www.bailii.org/ew/cases/EWCA/Civ/2004/997.html" TargetMode="External"/><Relationship Id="rId4" Type="http://schemas.openxmlformats.org/officeDocument/2006/relationships/hyperlink" Target="http://www.bailii.org/eu/cases/ECHR/2009/4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6741</Words>
  <Characters>38425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4-5 Gray's Inn Square</Company>
  <LinksUpToDate>false</LinksUpToDate>
  <CharactersWithSpaces>45076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Strachan</dc:creator>
  <cp:lastModifiedBy>Lyalya</cp:lastModifiedBy>
  <cp:revision>2</cp:revision>
  <cp:lastPrinted>2013-07-27T03:40:00Z</cp:lastPrinted>
  <dcterms:created xsi:type="dcterms:W3CDTF">2013-08-16T09:39:00Z</dcterms:created>
  <dcterms:modified xsi:type="dcterms:W3CDTF">2013-08-16T09:39:00Z</dcterms:modified>
</cp:coreProperties>
</file>