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CE" w:rsidRDefault="00464F88" w:rsidP="005C4DA8">
      <w:pPr>
        <w:tabs>
          <w:tab w:val="left" w:pos="5255"/>
          <w:tab w:val="right" w:pos="9026"/>
        </w:tabs>
        <w:spacing w:after="240" w:line="360" w:lineRule="auto"/>
        <w:ind w:left="0" w:firstLine="0"/>
        <w:jc w:val="center"/>
        <w:rPr>
          <w:rFonts w:ascii="Arial" w:hAnsi="Arial" w:cs="Arial"/>
          <w:b/>
        </w:rPr>
      </w:pPr>
      <w:bookmarkStart w:id="0" w:name="_GoBack"/>
      <w:bookmarkEnd w:id="0"/>
      <w:r>
        <w:rPr>
          <w:rFonts w:ascii="Arial" w:hAnsi="Arial" w:cs="Arial"/>
          <w:b/>
        </w:rPr>
        <w:t>ALBA SUMMER CONFERENCE 2017</w:t>
      </w:r>
    </w:p>
    <w:p w:rsidR="00464F88" w:rsidRDefault="00464F88" w:rsidP="00464F88">
      <w:pPr>
        <w:pBdr>
          <w:top w:val="single" w:sz="4" w:space="10" w:color="auto"/>
          <w:bottom w:val="single" w:sz="4" w:space="10" w:color="auto"/>
        </w:pBdr>
        <w:spacing w:before="360" w:after="60" w:line="360" w:lineRule="auto"/>
        <w:ind w:left="1843" w:right="1944" w:firstLine="0"/>
        <w:jc w:val="center"/>
        <w:rPr>
          <w:rFonts w:ascii="Arial" w:hAnsi="Arial" w:cs="Arial"/>
          <w:b/>
        </w:rPr>
      </w:pPr>
      <w:r>
        <w:rPr>
          <w:rFonts w:ascii="Arial" w:hAnsi="Arial" w:cs="Arial"/>
          <w:b/>
        </w:rPr>
        <w:t xml:space="preserve">QUESTIONS LEFT UNANSWERED BY </w:t>
      </w:r>
    </w:p>
    <w:p w:rsidR="007E0146" w:rsidRDefault="00464F88" w:rsidP="00464F88">
      <w:pPr>
        <w:pBdr>
          <w:top w:val="single" w:sz="4" w:space="10" w:color="auto"/>
          <w:bottom w:val="single" w:sz="4" w:space="10" w:color="auto"/>
        </w:pBdr>
        <w:spacing w:before="60" w:after="360"/>
        <w:ind w:left="1843" w:right="1944" w:firstLine="0"/>
        <w:jc w:val="center"/>
        <w:rPr>
          <w:rFonts w:ascii="Arial" w:hAnsi="Arial" w:cs="Arial"/>
          <w:b/>
        </w:rPr>
      </w:pPr>
      <w:r>
        <w:rPr>
          <w:rFonts w:ascii="Arial" w:hAnsi="Arial" w:cs="Arial"/>
          <w:b/>
        </w:rPr>
        <w:t>THE GREAT REPEAL BILL</w:t>
      </w:r>
    </w:p>
    <w:p w:rsidR="0091458E" w:rsidRDefault="00464F88" w:rsidP="0091458E">
      <w:pPr>
        <w:tabs>
          <w:tab w:val="left" w:pos="5255"/>
          <w:tab w:val="right" w:pos="9026"/>
        </w:tabs>
        <w:spacing w:before="480" w:line="360" w:lineRule="auto"/>
        <w:ind w:left="0" w:firstLine="0"/>
        <w:jc w:val="center"/>
        <w:rPr>
          <w:rFonts w:ascii="Arial" w:hAnsi="Arial" w:cs="Arial"/>
          <w:b/>
        </w:rPr>
      </w:pPr>
      <w:r>
        <w:rPr>
          <w:rFonts w:ascii="Arial" w:hAnsi="Arial" w:cs="Arial"/>
          <w:b/>
        </w:rPr>
        <w:t>KELYN BACON QC</w:t>
      </w:r>
      <w:r w:rsidR="0091458E">
        <w:rPr>
          <w:rFonts w:ascii="Arial" w:hAnsi="Arial" w:cs="Arial"/>
          <w:b/>
        </w:rPr>
        <w:t xml:space="preserve"> AND EMMA MOCKFORD</w:t>
      </w:r>
    </w:p>
    <w:p w:rsidR="0091458E" w:rsidRDefault="0091458E" w:rsidP="0091458E">
      <w:pPr>
        <w:tabs>
          <w:tab w:val="left" w:pos="5255"/>
          <w:tab w:val="right" w:pos="9026"/>
        </w:tabs>
        <w:spacing w:before="120" w:line="360" w:lineRule="auto"/>
        <w:ind w:left="0" w:firstLine="0"/>
        <w:jc w:val="center"/>
        <w:rPr>
          <w:rFonts w:ascii="Arial" w:hAnsi="Arial" w:cs="Arial"/>
          <w:b/>
        </w:rPr>
      </w:pPr>
      <w:r>
        <w:rPr>
          <w:rFonts w:ascii="Arial" w:hAnsi="Arial" w:cs="Arial"/>
          <w:b/>
        </w:rPr>
        <w:t>BRICK COURT CHAMBERS</w:t>
      </w:r>
    </w:p>
    <w:p w:rsidR="00183434" w:rsidRPr="00025460" w:rsidRDefault="004442CE" w:rsidP="00EC2330">
      <w:pPr>
        <w:tabs>
          <w:tab w:val="left" w:pos="3447"/>
        </w:tabs>
        <w:spacing w:before="480" w:after="240" w:line="360" w:lineRule="auto"/>
        <w:ind w:left="0" w:firstLine="0"/>
        <w:jc w:val="both"/>
        <w:rPr>
          <w:rFonts w:ascii="Arial" w:hAnsi="Arial" w:cs="Arial"/>
          <w:b/>
        </w:rPr>
      </w:pPr>
      <w:r w:rsidRPr="00025460">
        <w:rPr>
          <w:rFonts w:ascii="Arial" w:hAnsi="Arial" w:cs="Arial"/>
          <w:b/>
        </w:rPr>
        <w:t xml:space="preserve">INTRODUCTION </w:t>
      </w:r>
      <w:r w:rsidR="00EC2330">
        <w:rPr>
          <w:rFonts w:ascii="Arial" w:hAnsi="Arial" w:cs="Arial"/>
          <w:b/>
        </w:rPr>
        <w:tab/>
      </w:r>
    </w:p>
    <w:p w:rsidR="00702A8B" w:rsidRDefault="00702A8B" w:rsidP="004442CE">
      <w:pPr>
        <w:pStyle w:val="ListParagraph"/>
        <w:numPr>
          <w:ilvl w:val="0"/>
          <w:numId w:val="5"/>
        </w:numPr>
        <w:spacing w:after="240" w:line="360" w:lineRule="auto"/>
        <w:contextualSpacing w:val="0"/>
        <w:jc w:val="both"/>
        <w:rPr>
          <w:rFonts w:ascii="Arial" w:hAnsi="Arial" w:cs="Arial"/>
        </w:rPr>
      </w:pPr>
      <w:r>
        <w:rPr>
          <w:rFonts w:ascii="Arial" w:hAnsi="Arial" w:cs="Arial"/>
        </w:rPr>
        <w:t>The topic addressed by this paper is “unanswered questions following</w:t>
      </w:r>
      <w:r w:rsidR="00213041">
        <w:rPr>
          <w:rFonts w:ascii="Arial" w:hAnsi="Arial" w:cs="Arial"/>
        </w:rPr>
        <w:t xml:space="preserve"> the Great Repeal Bill”. </w:t>
      </w:r>
      <w:r w:rsidR="0091458E">
        <w:rPr>
          <w:rFonts w:ascii="Arial" w:hAnsi="Arial" w:cs="Arial"/>
        </w:rPr>
        <w:t>“Q</w:t>
      </w:r>
      <w:r w:rsidR="00213041">
        <w:rPr>
          <w:rFonts w:ascii="Arial" w:hAnsi="Arial" w:cs="Arial"/>
        </w:rPr>
        <w:t xml:space="preserve">uestions answered by the Great Repeal Bill” </w:t>
      </w:r>
      <w:r w:rsidR="0091458E">
        <w:rPr>
          <w:rFonts w:ascii="Arial" w:hAnsi="Arial" w:cs="Arial"/>
        </w:rPr>
        <w:t>might</w:t>
      </w:r>
      <w:r w:rsidR="00213041">
        <w:rPr>
          <w:rFonts w:ascii="Arial" w:hAnsi="Arial" w:cs="Arial"/>
        </w:rPr>
        <w:t xml:space="preserve"> </w:t>
      </w:r>
      <w:r w:rsidR="00503703">
        <w:rPr>
          <w:rFonts w:ascii="Arial" w:hAnsi="Arial" w:cs="Arial"/>
        </w:rPr>
        <w:t xml:space="preserve">have </w:t>
      </w:r>
      <w:r w:rsidR="00213041">
        <w:rPr>
          <w:rFonts w:ascii="Arial" w:hAnsi="Arial" w:cs="Arial"/>
        </w:rPr>
        <w:t>be</w:t>
      </w:r>
      <w:r w:rsidR="00503703">
        <w:rPr>
          <w:rFonts w:ascii="Arial" w:hAnsi="Arial" w:cs="Arial"/>
        </w:rPr>
        <w:t>en</w:t>
      </w:r>
      <w:r w:rsidR="00213041">
        <w:rPr>
          <w:rFonts w:ascii="Arial" w:hAnsi="Arial" w:cs="Arial"/>
        </w:rPr>
        <w:t xml:space="preserve"> a more manageable subject matter. For whilst the Great Repeal Bill </w:t>
      </w:r>
      <w:r w:rsidR="00551B93">
        <w:rPr>
          <w:rFonts w:ascii="Arial" w:hAnsi="Arial" w:cs="Arial"/>
        </w:rPr>
        <w:t>(“</w:t>
      </w:r>
      <w:r w:rsidR="0091458E">
        <w:rPr>
          <w:rFonts w:ascii="Arial" w:hAnsi="Arial" w:cs="Arial"/>
          <w:b/>
        </w:rPr>
        <w:t>G</w:t>
      </w:r>
      <w:r w:rsidR="00CF262C">
        <w:rPr>
          <w:rFonts w:ascii="Arial" w:hAnsi="Arial" w:cs="Arial"/>
          <w:b/>
        </w:rPr>
        <w:t>RB</w:t>
      </w:r>
      <w:r w:rsidR="00551B93">
        <w:rPr>
          <w:rFonts w:ascii="Arial" w:hAnsi="Arial" w:cs="Arial"/>
        </w:rPr>
        <w:t>”)</w:t>
      </w:r>
      <w:r w:rsidR="00C92EA6" w:rsidRPr="00C92EA6">
        <w:rPr>
          <w:rFonts w:ascii="Arial" w:hAnsi="Arial" w:cs="Arial"/>
          <w:vertAlign w:val="superscript"/>
        </w:rPr>
        <w:footnoteReference w:id="1"/>
      </w:r>
      <w:r w:rsidR="00213041">
        <w:rPr>
          <w:rFonts w:ascii="Arial" w:hAnsi="Arial" w:cs="Arial"/>
        </w:rPr>
        <w:t xml:space="preserve"> does succeed in setting out </w:t>
      </w:r>
      <w:r w:rsidR="00C36127">
        <w:rPr>
          <w:rFonts w:ascii="Arial" w:hAnsi="Arial" w:cs="Arial"/>
        </w:rPr>
        <w:t xml:space="preserve">the basic building blocks </w:t>
      </w:r>
      <w:r w:rsidR="00E0523E">
        <w:rPr>
          <w:rFonts w:ascii="Arial" w:hAnsi="Arial" w:cs="Arial"/>
        </w:rPr>
        <w:t>for</w:t>
      </w:r>
      <w:r w:rsidR="00213041">
        <w:rPr>
          <w:rFonts w:ascii="Arial" w:hAnsi="Arial" w:cs="Arial"/>
        </w:rPr>
        <w:t xml:space="preserve"> the </w:t>
      </w:r>
      <w:r w:rsidR="0091458E">
        <w:rPr>
          <w:rFonts w:ascii="Arial" w:hAnsi="Arial" w:cs="Arial"/>
        </w:rPr>
        <w:t xml:space="preserve">transmogrification </w:t>
      </w:r>
      <w:r w:rsidR="00C36127">
        <w:rPr>
          <w:rFonts w:ascii="Arial" w:hAnsi="Arial" w:cs="Arial"/>
        </w:rPr>
        <w:t xml:space="preserve">of </w:t>
      </w:r>
      <w:r w:rsidR="00C92EA6">
        <w:rPr>
          <w:rFonts w:ascii="Arial" w:hAnsi="Arial" w:cs="Arial"/>
        </w:rPr>
        <w:t xml:space="preserve">the </w:t>
      </w:r>
      <w:r w:rsidR="00C36127">
        <w:rPr>
          <w:rFonts w:ascii="Arial" w:hAnsi="Arial" w:cs="Arial"/>
        </w:rPr>
        <w:t>EU law</w:t>
      </w:r>
      <w:r w:rsidR="0091458E">
        <w:rPr>
          <w:rFonts w:ascii="Arial" w:hAnsi="Arial" w:cs="Arial"/>
        </w:rPr>
        <w:t xml:space="preserve"> acquis</w:t>
      </w:r>
      <w:r w:rsidR="00C36127">
        <w:rPr>
          <w:rFonts w:ascii="Arial" w:hAnsi="Arial" w:cs="Arial"/>
        </w:rPr>
        <w:t xml:space="preserve"> into domestic </w:t>
      </w:r>
      <w:r w:rsidR="00213041">
        <w:rPr>
          <w:rFonts w:ascii="Arial" w:hAnsi="Arial" w:cs="Arial"/>
        </w:rPr>
        <w:t>law</w:t>
      </w:r>
      <w:r w:rsidR="00C36127">
        <w:rPr>
          <w:rFonts w:ascii="Arial" w:hAnsi="Arial" w:cs="Arial"/>
        </w:rPr>
        <w:t xml:space="preserve">, it does not go further. The foundations for this particular project </w:t>
      </w:r>
      <w:r w:rsidR="008E28CF">
        <w:rPr>
          <w:rFonts w:ascii="Arial" w:hAnsi="Arial" w:cs="Arial"/>
        </w:rPr>
        <w:t>may</w:t>
      </w:r>
      <w:r w:rsidR="0091458E">
        <w:rPr>
          <w:rFonts w:ascii="Arial" w:hAnsi="Arial" w:cs="Arial"/>
        </w:rPr>
        <w:t xml:space="preserve"> thus</w:t>
      </w:r>
      <w:r w:rsidR="00C36127">
        <w:rPr>
          <w:rFonts w:ascii="Arial" w:hAnsi="Arial" w:cs="Arial"/>
        </w:rPr>
        <w:t xml:space="preserve"> be laid in statute</w:t>
      </w:r>
      <w:r w:rsidR="0091458E">
        <w:rPr>
          <w:rFonts w:ascii="Arial" w:hAnsi="Arial" w:cs="Arial"/>
        </w:rPr>
        <w:t>,</w:t>
      </w:r>
      <w:r w:rsidR="00C36127">
        <w:rPr>
          <w:rFonts w:ascii="Arial" w:hAnsi="Arial" w:cs="Arial"/>
        </w:rPr>
        <w:t xml:space="preserve"> but the upper storeys will </w:t>
      </w:r>
      <w:r w:rsidR="008E28CF">
        <w:rPr>
          <w:rFonts w:ascii="Arial" w:hAnsi="Arial" w:cs="Arial"/>
        </w:rPr>
        <w:t xml:space="preserve">have to </w:t>
      </w:r>
      <w:r w:rsidR="00C36127">
        <w:rPr>
          <w:rFonts w:ascii="Arial" w:hAnsi="Arial" w:cs="Arial"/>
        </w:rPr>
        <w:t xml:space="preserve">be designed and constructed by practitioners and judges over the coming years. </w:t>
      </w:r>
    </w:p>
    <w:p w:rsidR="002962E9" w:rsidRDefault="00C36127" w:rsidP="004442CE">
      <w:pPr>
        <w:pStyle w:val="ListParagraph"/>
        <w:numPr>
          <w:ilvl w:val="0"/>
          <w:numId w:val="5"/>
        </w:numPr>
        <w:spacing w:after="240" w:line="360" w:lineRule="auto"/>
        <w:contextualSpacing w:val="0"/>
        <w:jc w:val="both"/>
        <w:rPr>
          <w:rFonts w:ascii="Arial" w:hAnsi="Arial" w:cs="Arial"/>
        </w:rPr>
      </w:pPr>
      <w:r>
        <w:rPr>
          <w:rFonts w:ascii="Arial" w:hAnsi="Arial" w:cs="Arial"/>
        </w:rPr>
        <w:t xml:space="preserve">Given the </w:t>
      </w:r>
      <w:r w:rsidR="005E775F">
        <w:rPr>
          <w:rFonts w:ascii="Arial" w:hAnsi="Arial" w:cs="Arial"/>
        </w:rPr>
        <w:t>scale</w:t>
      </w:r>
      <w:r>
        <w:rPr>
          <w:rFonts w:ascii="Arial" w:hAnsi="Arial" w:cs="Arial"/>
        </w:rPr>
        <w:t xml:space="preserve"> of the </w:t>
      </w:r>
      <w:r w:rsidR="00503703">
        <w:rPr>
          <w:rFonts w:ascii="Arial" w:hAnsi="Arial" w:cs="Arial"/>
        </w:rPr>
        <w:t>topic</w:t>
      </w:r>
      <w:r w:rsidR="005D63D5">
        <w:rPr>
          <w:rFonts w:ascii="Arial" w:hAnsi="Arial" w:cs="Arial"/>
        </w:rPr>
        <w:t>, this paper</w:t>
      </w:r>
      <w:r>
        <w:rPr>
          <w:rFonts w:ascii="Arial" w:hAnsi="Arial" w:cs="Arial"/>
        </w:rPr>
        <w:t xml:space="preserve"> does not aim to be exhaustive.</w:t>
      </w:r>
      <w:r w:rsidR="005D63D5">
        <w:rPr>
          <w:rFonts w:ascii="Arial" w:hAnsi="Arial" w:cs="Arial"/>
        </w:rPr>
        <w:t xml:space="preserve"> </w:t>
      </w:r>
      <w:r>
        <w:rPr>
          <w:rFonts w:ascii="Arial" w:hAnsi="Arial" w:cs="Arial"/>
        </w:rPr>
        <w:t xml:space="preserve">Instead, </w:t>
      </w:r>
      <w:r w:rsidR="0091458E">
        <w:rPr>
          <w:rFonts w:ascii="Arial" w:hAnsi="Arial" w:cs="Arial"/>
        </w:rPr>
        <w:t>we</w:t>
      </w:r>
      <w:r>
        <w:rPr>
          <w:rFonts w:ascii="Arial" w:hAnsi="Arial" w:cs="Arial"/>
        </w:rPr>
        <w:t xml:space="preserve"> have focussed on</w:t>
      </w:r>
      <w:r w:rsidR="004B5A3E">
        <w:rPr>
          <w:rFonts w:ascii="Arial" w:hAnsi="Arial" w:cs="Arial"/>
        </w:rPr>
        <w:t xml:space="preserve"> three</w:t>
      </w:r>
      <w:r w:rsidR="00FC4744">
        <w:rPr>
          <w:rFonts w:ascii="Arial" w:hAnsi="Arial" w:cs="Arial"/>
        </w:rPr>
        <w:t xml:space="preserve"> of the</w:t>
      </w:r>
      <w:r w:rsidR="004B5A3E">
        <w:rPr>
          <w:rFonts w:ascii="Arial" w:hAnsi="Arial" w:cs="Arial"/>
        </w:rPr>
        <w:t xml:space="preserve"> </w:t>
      </w:r>
      <w:r w:rsidR="005D63D5">
        <w:rPr>
          <w:rFonts w:ascii="Arial" w:hAnsi="Arial" w:cs="Arial"/>
        </w:rPr>
        <w:t>most significant</w:t>
      </w:r>
      <w:r w:rsidR="0091458E">
        <w:rPr>
          <w:rFonts w:ascii="Arial" w:hAnsi="Arial" w:cs="Arial"/>
        </w:rPr>
        <w:t xml:space="preserve"> “unknowns”</w:t>
      </w:r>
      <w:r w:rsidR="005A7824">
        <w:rPr>
          <w:rFonts w:ascii="Arial" w:hAnsi="Arial" w:cs="Arial"/>
        </w:rPr>
        <w:t xml:space="preserve"> for public lawyers</w:t>
      </w:r>
      <w:r w:rsidR="005D63D5">
        <w:rPr>
          <w:rFonts w:ascii="Arial" w:hAnsi="Arial" w:cs="Arial"/>
        </w:rPr>
        <w:t xml:space="preserve"> </w:t>
      </w:r>
      <w:r w:rsidR="005E775F">
        <w:rPr>
          <w:rFonts w:ascii="Arial" w:hAnsi="Arial" w:cs="Arial"/>
        </w:rPr>
        <w:t>at this point in time</w:t>
      </w:r>
      <w:r w:rsidR="002962E9">
        <w:rPr>
          <w:rFonts w:ascii="Arial" w:hAnsi="Arial" w:cs="Arial"/>
        </w:rPr>
        <w:t xml:space="preserve">: </w:t>
      </w:r>
      <w:r w:rsidR="004B5A3E">
        <w:rPr>
          <w:rFonts w:ascii="Arial" w:hAnsi="Arial" w:cs="Arial"/>
        </w:rPr>
        <w:t xml:space="preserve"> </w:t>
      </w:r>
    </w:p>
    <w:p w:rsidR="002962E9" w:rsidRDefault="000A1A49" w:rsidP="002962E9">
      <w:pPr>
        <w:pStyle w:val="ListParagraph"/>
        <w:numPr>
          <w:ilvl w:val="1"/>
          <w:numId w:val="5"/>
        </w:numPr>
        <w:spacing w:after="240" w:line="360" w:lineRule="auto"/>
        <w:contextualSpacing w:val="0"/>
        <w:jc w:val="both"/>
        <w:rPr>
          <w:rFonts w:ascii="Arial" w:hAnsi="Arial" w:cs="Arial"/>
        </w:rPr>
      </w:pPr>
      <w:r>
        <w:rPr>
          <w:rFonts w:ascii="Arial" w:hAnsi="Arial" w:cs="Arial"/>
        </w:rPr>
        <w:t>the hierarchy of legal norms that will exist post-Brexit</w:t>
      </w:r>
      <w:r w:rsidR="0091458E">
        <w:rPr>
          <w:rFonts w:ascii="Arial" w:hAnsi="Arial" w:cs="Arial"/>
        </w:rPr>
        <w:t>,</w:t>
      </w:r>
      <w:r w:rsidR="00503703">
        <w:rPr>
          <w:rFonts w:ascii="Arial" w:hAnsi="Arial" w:cs="Arial"/>
        </w:rPr>
        <w:t xml:space="preserve"> and how that will affect the ability of individuals to </w:t>
      </w:r>
      <w:r w:rsidR="00C425EB">
        <w:rPr>
          <w:rFonts w:ascii="Arial" w:hAnsi="Arial" w:cs="Arial"/>
        </w:rPr>
        <w:t>bring public law challenges</w:t>
      </w:r>
      <w:r w:rsidR="00503703">
        <w:rPr>
          <w:rFonts w:ascii="Arial" w:hAnsi="Arial" w:cs="Arial"/>
        </w:rPr>
        <w:t xml:space="preserve"> on EU-law based grounds</w:t>
      </w:r>
      <w:r>
        <w:rPr>
          <w:rFonts w:ascii="Arial" w:hAnsi="Arial" w:cs="Arial"/>
        </w:rPr>
        <w:t xml:space="preserve">; </w:t>
      </w:r>
    </w:p>
    <w:p w:rsidR="002962E9" w:rsidRDefault="000A1A49" w:rsidP="002962E9">
      <w:pPr>
        <w:pStyle w:val="ListParagraph"/>
        <w:numPr>
          <w:ilvl w:val="1"/>
          <w:numId w:val="5"/>
        </w:numPr>
        <w:spacing w:after="240" w:line="360" w:lineRule="auto"/>
        <w:contextualSpacing w:val="0"/>
        <w:jc w:val="both"/>
        <w:rPr>
          <w:rFonts w:ascii="Arial" w:hAnsi="Arial" w:cs="Arial"/>
        </w:rPr>
      </w:pPr>
      <w:r>
        <w:rPr>
          <w:rFonts w:ascii="Arial" w:hAnsi="Arial" w:cs="Arial"/>
        </w:rPr>
        <w:t xml:space="preserve">the role that </w:t>
      </w:r>
      <w:r w:rsidR="0091458E">
        <w:rPr>
          <w:rFonts w:ascii="Arial" w:hAnsi="Arial" w:cs="Arial"/>
        </w:rPr>
        <w:t xml:space="preserve">post-Brexit </w:t>
      </w:r>
      <w:r>
        <w:rPr>
          <w:rFonts w:ascii="Arial" w:hAnsi="Arial" w:cs="Arial"/>
        </w:rPr>
        <w:t xml:space="preserve">EU law will play in our domestic legal order; and </w:t>
      </w:r>
    </w:p>
    <w:p w:rsidR="00FC4744" w:rsidRDefault="000A1A49" w:rsidP="002962E9">
      <w:pPr>
        <w:pStyle w:val="ListParagraph"/>
        <w:numPr>
          <w:ilvl w:val="1"/>
          <w:numId w:val="5"/>
        </w:numPr>
        <w:spacing w:after="240" w:line="360" w:lineRule="auto"/>
        <w:contextualSpacing w:val="0"/>
        <w:jc w:val="both"/>
        <w:rPr>
          <w:rFonts w:ascii="Arial" w:hAnsi="Arial" w:cs="Arial"/>
        </w:rPr>
      </w:pPr>
      <w:r>
        <w:rPr>
          <w:rFonts w:ascii="Arial" w:hAnsi="Arial" w:cs="Arial"/>
        </w:rPr>
        <w:t>t</w:t>
      </w:r>
      <w:r w:rsidR="00FC4744">
        <w:rPr>
          <w:rFonts w:ascii="Arial" w:hAnsi="Arial" w:cs="Arial"/>
        </w:rPr>
        <w:t xml:space="preserve">he </w:t>
      </w:r>
      <w:r>
        <w:rPr>
          <w:rFonts w:ascii="Arial" w:hAnsi="Arial" w:cs="Arial"/>
        </w:rPr>
        <w:t>role</w:t>
      </w:r>
      <w:r w:rsidR="00FC4744">
        <w:rPr>
          <w:rFonts w:ascii="Arial" w:hAnsi="Arial" w:cs="Arial"/>
        </w:rPr>
        <w:t xml:space="preserve"> of the EU </w:t>
      </w:r>
      <w:r>
        <w:rPr>
          <w:rFonts w:ascii="Arial" w:hAnsi="Arial" w:cs="Arial"/>
        </w:rPr>
        <w:t>Charter of Fu</w:t>
      </w:r>
      <w:r w:rsidR="00FC4744">
        <w:rPr>
          <w:rFonts w:ascii="Arial" w:hAnsi="Arial" w:cs="Arial"/>
        </w:rPr>
        <w:t>ndamen</w:t>
      </w:r>
      <w:r>
        <w:rPr>
          <w:rFonts w:ascii="Arial" w:hAnsi="Arial" w:cs="Arial"/>
        </w:rPr>
        <w:t>tal Rights</w:t>
      </w:r>
      <w:r w:rsidR="00FC4744">
        <w:rPr>
          <w:rFonts w:ascii="Arial" w:hAnsi="Arial" w:cs="Arial"/>
        </w:rPr>
        <w:t xml:space="preserve"> a</w:t>
      </w:r>
      <w:r>
        <w:rPr>
          <w:rFonts w:ascii="Arial" w:hAnsi="Arial" w:cs="Arial"/>
        </w:rPr>
        <w:t>nd general principles of EU law</w:t>
      </w:r>
      <w:r w:rsidR="00FC4744">
        <w:rPr>
          <w:rFonts w:ascii="Arial" w:hAnsi="Arial" w:cs="Arial"/>
        </w:rPr>
        <w:t xml:space="preserve"> following Brexit</w:t>
      </w:r>
      <w:r>
        <w:rPr>
          <w:rFonts w:ascii="Arial" w:hAnsi="Arial" w:cs="Arial"/>
        </w:rPr>
        <w:t xml:space="preserve">. </w:t>
      </w:r>
    </w:p>
    <w:p w:rsidR="00E0523E" w:rsidRDefault="005A7824" w:rsidP="00754DE7">
      <w:pPr>
        <w:pStyle w:val="ListParagraph"/>
        <w:numPr>
          <w:ilvl w:val="0"/>
          <w:numId w:val="5"/>
        </w:numPr>
        <w:spacing w:after="240" w:line="360" w:lineRule="auto"/>
        <w:contextualSpacing w:val="0"/>
        <w:jc w:val="both"/>
        <w:rPr>
          <w:rFonts w:ascii="Arial" w:hAnsi="Arial" w:cs="Arial"/>
        </w:rPr>
      </w:pPr>
      <w:r>
        <w:rPr>
          <w:rFonts w:ascii="Arial" w:hAnsi="Arial" w:cs="Arial"/>
        </w:rPr>
        <w:t xml:space="preserve">The significance of these issues for public lawyers is, in general terms, twofold. First, there is the basic need for us, as </w:t>
      </w:r>
      <w:r w:rsidR="00551B93">
        <w:rPr>
          <w:rFonts w:ascii="Arial" w:hAnsi="Arial" w:cs="Arial"/>
        </w:rPr>
        <w:t>practitioners and advisers</w:t>
      </w:r>
      <w:r>
        <w:rPr>
          <w:rFonts w:ascii="Arial" w:hAnsi="Arial" w:cs="Arial"/>
        </w:rPr>
        <w:t>, to be able to work out what the law is</w:t>
      </w:r>
      <w:r w:rsidR="00503703">
        <w:rPr>
          <w:rFonts w:ascii="Arial" w:hAnsi="Arial" w:cs="Arial"/>
        </w:rPr>
        <w:t xml:space="preserve"> </w:t>
      </w:r>
      <w:r>
        <w:rPr>
          <w:rFonts w:ascii="Arial" w:hAnsi="Arial" w:cs="Arial"/>
        </w:rPr>
        <w:t>at any given point in time. What we require</w:t>
      </w:r>
      <w:r w:rsidR="00BD0F09">
        <w:rPr>
          <w:rFonts w:ascii="Arial" w:hAnsi="Arial" w:cs="Arial"/>
        </w:rPr>
        <w:t xml:space="preserve"> </w:t>
      </w:r>
      <w:r w:rsidR="00503703">
        <w:rPr>
          <w:rFonts w:ascii="Arial" w:hAnsi="Arial" w:cs="Arial"/>
        </w:rPr>
        <w:t>in order to do that</w:t>
      </w:r>
      <w:r w:rsidR="00BD0F09">
        <w:rPr>
          <w:rFonts w:ascii="Arial" w:hAnsi="Arial" w:cs="Arial"/>
        </w:rPr>
        <w:t xml:space="preserve"> is, in jurisprudential terms, </w:t>
      </w:r>
      <w:r>
        <w:rPr>
          <w:rFonts w:ascii="Arial" w:hAnsi="Arial" w:cs="Arial"/>
        </w:rPr>
        <w:t>a predi</w:t>
      </w:r>
      <w:r w:rsidR="00551B93">
        <w:rPr>
          <w:rFonts w:ascii="Arial" w:hAnsi="Arial" w:cs="Arial"/>
        </w:rPr>
        <w:t>ctable hierarchy of legal norms to enable</w:t>
      </w:r>
      <w:r>
        <w:rPr>
          <w:rFonts w:ascii="Arial" w:hAnsi="Arial" w:cs="Arial"/>
        </w:rPr>
        <w:t xml:space="preserve"> the resolution of </w:t>
      </w:r>
      <w:r>
        <w:rPr>
          <w:rFonts w:ascii="Arial" w:hAnsi="Arial" w:cs="Arial"/>
        </w:rPr>
        <w:lastRenderedPageBreak/>
        <w:t xml:space="preserve">conflicts between </w:t>
      </w:r>
      <w:r w:rsidR="00F30841">
        <w:rPr>
          <w:rFonts w:ascii="Arial" w:hAnsi="Arial" w:cs="Arial"/>
        </w:rPr>
        <w:t>inconsistent declarations of law (be those legislative or judicial). The conversion of what has been, until now, supreme</w:t>
      </w:r>
      <w:r w:rsidR="00503703">
        <w:rPr>
          <w:rFonts w:ascii="Arial" w:hAnsi="Arial" w:cs="Arial"/>
        </w:rPr>
        <w:t xml:space="preserve"> and directly effective</w:t>
      </w:r>
      <w:r w:rsidR="0091458E">
        <w:rPr>
          <w:rFonts w:ascii="Arial" w:hAnsi="Arial" w:cs="Arial"/>
        </w:rPr>
        <w:t xml:space="preserve"> EU law into domestic law</w:t>
      </w:r>
      <w:r w:rsidR="00F30841">
        <w:rPr>
          <w:rFonts w:ascii="Arial" w:hAnsi="Arial" w:cs="Arial"/>
        </w:rPr>
        <w:t xml:space="preserve"> represents a fundamental challenge for ou</w:t>
      </w:r>
      <w:r w:rsidR="00E0523E">
        <w:rPr>
          <w:rFonts w:ascii="Arial" w:hAnsi="Arial" w:cs="Arial"/>
        </w:rPr>
        <w:t>r traditional hierarchy of laws</w:t>
      </w:r>
      <w:r w:rsidR="00F30841">
        <w:rPr>
          <w:rFonts w:ascii="Arial" w:hAnsi="Arial" w:cs="Arial"/>
        </w:rPr>
        <w:t>. Practitioners will need to work through the</w:t>
      </w:r>
      <w:r w:rsidR="008E28CF">
        <w:rPr>
          <w:rFonts w:ascii="Arial" w:hAnsi="Arial" w:cs="Arial"/>
        </w:rPr>
        <w:t xml:space="preserve"> three</w:t>
      </w:r>
      <w:r w:rsidR="00F30841">
        <w:rPr>
          <w:rFonts w:ascii="Arial" w:hAnsi="Arial" w:cs="Arial"/>
        </w:rPr>
        <w:t xml:space="preserve"> </w:t>
      </w:r>
      <w:r w:rsidR="008E28CF">
        <w:rPr>
          <w:rFonts w:ascii="Arial" w:hAnsi="Arial" w:cs="Arial"/>
        </w:rPr>
        <w:t>unknowns set out above, which all raise issues going to</w:t>
      </w:r>
      <w:r w:rsidR="00F30841">
        <w:rPr>
          <w:rFonts w:ascii="Arial" w:hAnsi="Arial" w:cs="Arial"/>
        </w:rPr>
        <w:t xml:space="preserve"> the</w:t>
      </w:r>
      <w:r w:rsidR="008E28CF">
        <w:rPr>
          <w:rFonts w:ascii="Arial" w:hAnsi="Arial" w:cs="Arial"/>
        </w:rPr>
        <w:t xml:space="preserve"> sources and</w:t>
      </w:r>
      <w:r w:rsidR="00F30841">
        <w:rPr>
          <w:rFonts w:ascii="Arial" w:hAnsi="Arial" w:cs="Arial"/>
        </w:rPr>
        <w:t xml:space="preserve"> </w:t>
      </w:r>
      <w:r w:rsidR="008E28CF">
        <w:rPr>
          <w:rFonts w:ascii="Arial" w:hAnsi="Arial" w:cs="Arial"/>
        </w:rPr>
        <w:t xml:space="preserve">hierarchy </w:t>
      </w:r>
      <w:r w:rsidR="00F30841">
        <w:rPr>
          <w:rFonts w:ascii="Arial" w:hAnsi="Arial" w:cs="Arial"/>
        </w:rPr>
        <w:t>of law</w:t>
      </w:r>
      <w:r w:rsidR="00551B93">
        <w:rPr>
          <w:rFonts w:ascii="Arial" w:hAnsi="Arial" w:cs="Arial"/>
        </w:rPr>
        <w:t xml:space="preserve"> </w:t>
      </w:r>
      <w:r w:rsidR="00551B93" w:rsidRPr="00754DE7">
        <w:rPr>
          <w:rFonts w:ascii="Arial" w:hAnsi="Arial" w:cs="Arial"/>
        </w:rPr>
        <w:t>post Brexit</w:t>
      </w:r>
      <w:r w:rsidR="008E28CF">
        <w:rPr>
          <w:rFonts w:ascii="Arial" w:hAnsi="Arial" w:cs="Arial"/>
        </w:rPr>
        <w:t>,</w:t>
      </w:r>
      <w:r w:rsidR="00F30841" w:rsidRPr="00754DE7">
        <w:rPr>
          <w:rFonts w:ascii="Arial" w:hAnsi="Arial" w:cs="Arial"/>
        </w:rPr>
        <w:t xml:space="preserve"> in order to be able to advise their clients as to what the law in any given area actually is or may be. </w:t>
      </w:r>
    </w:p>
    <w:p w:rsidR="005A7824" w:rsidRPr="00754DE7" w:rsidRDefault="00F30841" w:rsidP="00754DE7">
      <w:pPr>
        <w:pStyle w:val="ListParagraph"/>
        <w:numPr>
          <w:ilvl w:val="0"/>
          <w:numId w:val="5"/>
        </w:numPr>
        <w:spacing w:after="240" w:line="360" w:lineRule="auto"/>
        <w:contextualSpacing w:val="0"/>
        <w:jc w:val="both"/>
        <w:rPr>
          <w:rFonts w:ascii="Arial" w:hAnsi="Arial" w:cs="Arial"/>
        </w:rPr>
      </w:pPr>
      <w:r w:rsidRPr="00754DE7">
        <w:rPr>
          <w:rFonts w:ascii="Arial" w:hAnsi="Arial" w:cs="Arial"/>
        </w:rPr>
        <w:t>Second</w:t>
      </w:r>
      <w:r w:rsidR="0091458E">
        <w:rPr>
          <w:rFonts w:ascii="Arial" w:hAnsi="Arial" w:cs="Arial"/>
        </w:rPr>
        <w:t>ly</w:t>
      </w:r>
      <w:r w:rsidRPr="00754DE7">
        <w:rPr>
          <w:rFonts w:ascii="Arial" w:hAnsi="Arial" w:cs="Arial"/>
        </w:rPr>
        <w:t xml:space="preserve">, as public practitioners, we have become used to EU law </w:t>
      </w:r>
      <w:r w:rsidR="00C52873" w:rsidRPr="00754DE7">
        <w:rPr>
          <w:rFonts w:ascii="Arial" w:hAnsi="Arial" w:cs="Arial"/>
        </w:rPr>
        <w:t>providing a</w:t>
      </w:r>
      <w:r w:rsidRPr="00754DE7">
        <w:rPr>
          <w:rFonts w:ascii="Arial" w:hAnsi="Arial" w:cs="Arial"/>
        </w:rPr>
        <w:t xml:space="preserve"> broad head of challenge in</w:t>
      </w:r>
      <w:r w:rsidR="00C52873" w:rsidRPr="00754DE7">
        <w:rPr>
          <w:rFonts w:ascii="Arial" w:hAnsi="Arial" w:cs="Arial"/>
        </w:rPr>
        <w:t xml:space="preserve"> actions for judicial review. </w:t>
      </w:r>
      <w:r w:rsidR="0091458E">
        <w:rPr>
          <w:rFonts w:ascii="Arial" w:hAnsi="Arial" w:cs="Arial"/>
        </w:rPr>
        <w:t>Litigants in the UK courts have since 1972</w:t>
      </w:r>
      <w:r w:rsidR="00C52873" w:rsidRPr="00754DE7">
        <w:rPr>
          <w:rFonts w:ascii="Arial" w:hAnsi="Arial" w:cs="Arial"/>
        </w:rPr>
        <w:t xml:space="preserve"> been able to challenge national measures on the basis that they are contrary to a rule of</w:t>
      </w:r>
      <w:r w:rsidR="00551B93" w:rsidRPr="00754DE7">
        <w:rPr>
          <w:rFonts w:ascii="Arial" w:hAnsi="Arial" w:cs="Arial"/>
        </w:rPr>
        <w:t xml:space="preserve"> EU law</w:t>
      </w:r>
      <w:r w:rsidR="0091458E">
        <w:rPr>
          <w:rFonts w:ascii="Arial" w:hAnsi="Arial" w:cs="Arial"/>
        </w:rPr>
        <w:t xml:space="preserve">. Before </w:t>
      </w:r>
      <w:r w:rsidR="00551B93" w:rsidRPr="00754DE7">
        <w:rPr>
          <w:rFonts w:ascii="Arial" w:hAnsi="Arial" w:cs="Arial"/>
        </w:rPr>
        <w:t>the EU courts</w:t>
      </w:r>
      <w:r w:rsidR="00503703">
        <w:rPr>
          <w:rFonts w:ascii="Arial" w:hAnsi="Arial" w:cs="Arial"/>
        </w:rPr>
        <w:t>,</w:t>
      </w:r>
      <w:r w:rsidR="00C52873" w:rsidRPr="00754DE7">
        <w:rPr>
          <w:rFonts w:ascii="Arial" w:hAnsi="Arial" w:cs="Arial"/>
        </w:rPr>
        <w:t xml:space="preserve"> it has</w:t>
      </w:r>
      <w:r w:rsidR="00503703">
        <w:rPr>
          <w:rFonts w:ascii="Arial" w:hAnsi="Arial" w:cs="Arial"/>
        </w:rPr>
        <w:t xml:space="preserve"> also</w:t>
      </w:r>
      <w:r w:rsidR="00C52873" w:rsidRPr="00754DE7">
        <w:rPr>
          <w:rFonts w:ascii="Arial" w:hAnsi="Arial" w:cs="Arial"/>
        </w:rPr>
        <w:t xml:space="preserve"> been possible to challenge the validity of</w:t>
      </w:r>
      <w:r w:rsidR="00C425EB">
        <w:rPr>
          <w:rFonts w:ascii="Arial" w:hAnsi="Arial" w:cs="Arial"/>
        </w:rPr>
        <w:t xml:space="preserve"> Union acts</w:t>
      </w:r>
      <w:r w:rsidR="00C52873" w:rsidRPr="00754DE7">
        <w:rPr>
          <w:rFonts w:ascii="Arial" w:hAnsi="Arial" w:cs="Arial"/>
        </w:rPr>
        <w:t xml:space="preserve">. The overarching task now for public practitioners is to work out the extent to which </w:t>
      </w:r>
      <w:r w:rsidR="00754DE7" w:rsidRPr="00754DE7">
        <w:rPr>
          <w:rFonts w:ascii="Arial" w:hAnsi="Arial" w:cs="Arial"/>
        </w:rPr>
        <w:t xml:space="preserve">comparable </w:t>
      </w:r>
      <w:r w:rsidR="00C52873" w:rsidRPr="00754DE7">
        <w:rPr>
          <w:rFonts w:ascii="Arial" w:hAnsi="Arial" w:cs="Arial"/>
        </w:rPr>
        <w:t xml:space="preserve">administrative law actions </w:t>
      </w:r>
      <w:r w:rsidR="00754DE7" w:rsidRPr="00754DE7">
        <w:rPr>
          <w:rFonts w:ascii="Arial" w:hAnsi="Arial" w:cs="Arial"/>
        </w:rPr>
        <w:t>will</w:t>
      </w:r>
      <w:r w:rsidR="00C52873" w:rsidRPr="00754DE7">
        <w:rPr>
          <w:rFonts w:ascii="Arial" w:hAnsi="Arial" w:cs="Arial"/>
        </w:rPr>
        <w:t xml:space="preserve"> continue to be viable</w:t>
      </w:r>
      <w:r w:rsidR="00BD0F09">
        <w:rPr>
          <w:rFonts w:ascii="Arial" w:hAnsi="Arial" w:cs="Arial"/>
        </w:rPr>
        <w:t xml:space="preserve"> once the UK has left the EU</w:t>
      </w:r>
      <w:r w:rsidR="00C52873" w:rsidRPr="00754DE7">
        <w:rPr>
          <w:rFonts w:ascii="Arial" w:hAnsi="Arial" w:cs="Arial"/>
        </w:rPr>
        <w:t xml:space="preserve">. </w:t>
      </w:r>
    </w:p>
    <w:p w:rsidR="00FD6E49" w:rsidRDefault="00503703" w:rsidP="00751965">
      <w:pPr>
        <w:tabs>
          <w:tab w:val="left" w:pos="5146"/>
        </w:tabs>
        <w:spacing w:after="240" w:line="360" w:lineRule="auto"/>
        <w:jc w:val="both"/>
        <w:rPr>
          <w:rFonts w:ascii="Arial" w:hAnsi="Arial" w:cs="Arial"/>
          <w:b/>
        </w:rPr>
      </w:pPr>
      <w:r>
        <w:rPr>
          <w:rFonts w:ascii="Arial" w:hAnsi="Arial" w:cs="Arial"/>
          <w:b/>
        </w:rPr>
        <w:t>THE STORY</w:t>
      </w:r>
      <w:r w:rsidR="00FC4744">
        <w:rPr>
          <w:rFonts w:ascii="Arial" w:hAnsi="Arial" w:cs="Arial"/>
          <w:b/>
        </w:rPr>
        <w:t xml:space="preserve"> SO FAR</w:t>
      </w:r>
      <w:r w:rsidR="00754DE7">
        <w:rPr>
          <w:rFonts w:ascii="Arial" w:hAnsi="Arial" w:cs="Arial"/>
          <w:b/>
        </w:rPr>
        <w:t xml:space="preserve">: THE FOUNDATIONS LAID BY THE </w:t>
      </w:r>
      <w:r w:rsidR="009A270E">
        <w:rPr>
          <w:rFonts w:ascii="Arial" w:hAnsi="Arial" w:cs="Arial"/>
          <w:b/>
        </w:rPr>
        <w:t>BILL</w:t>
      </w:r>
    </w:p>
    <w:p w:rsidR="00D03CBA" w:rsidRPr="00D03CBA" w:rsidRDefault="00D03CBA" w:rsidP="00751965">
      <w:pPr>
        <w:tabs>
          <w:tab w:val="left" w:pos="5146"/>
        </w:tabs>
        <w:spacing w:after="240" w:line="360" w:lineRule="auto"/>
        <w:jc w:val="both"/>
        <w:rPr>
          <w:rFonts w:ascii="Arial" w:hAnsi="Arial" w:cs="Arial"/>
          <w:i/>
        </w:rPr>
      </w:pPr>
      <w:r w:rsidRPr="00D03CBA">
        <w:rPr>
          <w:rFonts w:ascii="Arial" w:hAnsi="Arial" w:cs="Arial"/>
          <w:i/>
        </w:rPr>
        <w:t xml:space="preserve">The purpose of the </w:t>
      </w:r>
      <w:r w:rsidR="009A270E">
        <w:rPr>
          <w:rFonts w:ascii="Arial" w:hAnsi="Arial" w:cs="Arial"/>
          <w:i/>
        </w:rPr>
        <w:t>Bill</w:t>
      </w:r>
      <w:r w:rsidRPr="00D03CBA">
        <w:rPr>
          <w:rFonts w:ascii="Arial" w:hAnsi="Arial" w:cs="Arial"/>
          <w:i/>
        </w:rPr>
        <w:t xml:space="preserve"> and its intended role in</w:t>
      </w:r>
      <w:r>
        <w:rPr>
          <w:rFonts w:ascii="Arial" w:hAnsi="Arial" w:cs="Arial"/>
          <w:i/>
        </w:rPr>
        <w:t xml:space="preserve"> achieving Brexit</w:t>
      </w:r>
      <w:r w:rsidRPr="00D03CBA">
        <w:rPr>
          <w:rFonts w:ascii="Arial" w:hAnsi="Arial" w:cs="Arial"/>
          <w:i/>
        </w:rPr>
        <w:t xml:space="preserve"> </w:t>
      </w:r>
    </w:p>
    <w:p w:rsidR="005D63D5" w:rsidRDefault="005D63D5" w:rsidP="00ED1E62">
      <w:pPr>
        <w:pStyle w:val="ListParagraph"/>
        <w:numPr>
          <w:ilvl w:val="0"/>
          <w:numId w:val="5"/>
        </w:numPr>
        <w:spacing w:after="240" w:line="360" w:lineRule="auto"/>
        <w:contextualSpacing w:val="0"/>
        <w:jc w:val="both"/>
        <w:rPr>
          <w:rFonts w:ascii="Arial" w:hAnsi="Arial" w:cs="Arial"/>
        </w:rPr>
      </w:pPr>
      <w:r>
        <w:rPr>
          <w:rFonts w:ascii="Arial" w:hAnsi="Arial" w:cs="Arial"/>
        </w:rPr>
        <w:t>The</w:t>
      </w:r>
      <w:r w:rsidR="005D048C">
        <w:rPr>
          <w:rFonts w:ascii="Arial" w:hAnsi="Arial" w:cs="Arial"/>
        </w:rPr>
        <w:t xml:space="preserve"> intention</w:t>
      </w:r>
      <w:r>
        <w:rPr>
          <w:rFonts w:ascii="Arial" w:hAnsi="Arial" w:cs="Arial"/>
        </w:rPr>
        <w:t xml:space="preserve"> to introduce a “Great Repeal Bill” was </w:t>
      </w:r>
      <w:r w:rsidR="003B38A5">
        <w:rPr>
          <w:rFonts w:ascii="Arial" w:hAnsi="Arial" w:cs="Arial"/>
        </w:rPr>
        <w:t xml:space="preserve">first </w:t>
      </w:r>
      <w:r w:rsidR="00503703">
        <w:rPr>
          <w:rFonts w:ascii="Arial" w:hAnsi="Arial" w:cs="Arial"/>
        </w:rPr>
        <w:t>canvassed</w:t>
      </w:r>
      <w:r w:rsidR="00F46E40">
        <w:rPr>
          <w:rFonts w:ascii="Arial" w:hAnsi="Arial" w:cs="Arial"/>
        </w:rPr>
        <w:t xml:space="preserve"> by the</w:t>
      </w:r>
      <w:r>
        <w:rPr>
          <w:rFonts w:ascii="Arial" w:hAnsi="Arial" w:cs="Arial"/>
        </w:rPr>
        <w:t xml:space="preserve"> Government in October 2016.</w:t>
      </w:r>
      <w:r>
        <w:rPr>
          <w:rStyle w:val="FootnoteReference"/>
          <w:rFonts w:ascii="Arial" w:hAnsi="Arial" w:cs="Arial"/>
        </w:rPr>
        <w:footnoteReference w:id="2"/>
      </w:r>
      <w:r>
        <w:rPr>
          <w:rFonts w:ascii="Arial" w:hAnsi="Arial" w:cs="Arial"/>
        </w:rPr>
        <w:t xml:space="preserve"> In March 2017, the Department for Exiting the European Union (“</w:t>
      </w:r>
      <w:r w:rsidR="00503703">
        <w:rPr>
          <w:rFonts w:ascii="Arial" w:hAnsi="Arial" w:cs="Arial"/>
          <w:b/>
        </w:rPr>
        <w:t>DExE</w:t>
      </w:r>
      <w:r w:rsidRPr="005D63D5">
        <w:rPr>
          <w:rFonts w:ascii="Arial" w:hAnsi="Arial" w:cs="Arial"/>
          <w:b/>
        </w:rPr>
        <w:t>U</w:t>
      </w:r>
      <w:r w:rsidRPr="005D63D5">
        <w:rPr>
          <w:rFonts w:ascii="Arial" w:hAnsi="Arial" w:cs="Arial"/>
        </w:rPr>
        <w:t>”</w:t>
      </w:r>
      <w:r>
        <w:rPr>
          <w:rFonts w:ascii="Arial" w:hAnsi="Arial" w:cs="Arial"/>
        </w:rPr>
        <w:t>) published a White Paper setting out</w:t>
      </w:r>
      <w:r w:rsidR="003B38A5">
        <w:rPr>
          <w:rFonts w:ascii="Arial" w:hAnsi="Arial" w:cs="Arial"/>
        </w:rPr>
        <w:t xml:space="preserve"> </w:t>
      </w:r>
      <w:r>
        <w:rPr>
          <w:rFonts w:ascii="Arial" w:hAnsi="Arial" w:cs="Arial"/>
        </w:rPr>
        <w:t xml:space="preserve">detailed proposals for the content of the </w:t>
      </w:r>
      <w:r w:rsidR="00E160DD">
        <w:rPr>
          <w:rFonts w:ascii="Arial" w:hAnsi="Arial" w:cs="Arial"/>
        </w:rPr>
        <w:t>GRB</w:t>
      </w:r>
      <w:r>
        <w:rPr>
          <w:rFonts w:ascii="Arial" w:hAnsi="Arial" w:cs="Arial"/>
        </w:rPr>
        <w:t>.</w:t>
      </w:r>
      <w:r>
        <w:rPr>
          <w:rStyle w:val="FootnoteReference"/>
          <w:rFonts w:ascii="Arial" w:hAnsi="Arial" w:cs="Arial"/>
        </w:rPr>
        <w:footnoteReference w:id="3"/>
      </w:r>
      <w:r>
        <w:rPr>
          <w:rFonts w:ascii="Arial" w:hAnsi="Arial" w:cs="Arial"/>
        </w:rPr>
        <w:t xml:space="preserve"> </w:t>
      </w:r>
      <w:r w:rsidR="003E1E1F">
        <w:rPr>
          <w:rFonts w:ascii="Arial" w:hAnsi="Arial" w:cs="Arial"/>
        </w:rPr>
        <w:t>A draft</w:t>
      </w:r>
      <w:r w:rsidR="00C425EB">
        <w:rPr>
          <w:rFonts w:ascii="Arial" w:hAnsi="Arial" w:cs="Arial"/>
        </w:rPr>
        <w:t xml:space="preserve"> of the bill</w:t>
      </w:r>
      <w:r w:rsidR="003E1E1F">
        <w:rPr>
          <w:rFonts w:ascii="Arial" w:hAnsi="Arial" w:cs="Arial"/>
        </w:rPr>
        <w:t xml:space="preserve"> </w:t>
      </w:r>
      <w:r>
        <w:rPr>
          <w:rFonts w:ascii="Arial" w:hAnsi="Arial" w:cs="Arial"/>
        </w:rPr>
        <w:t xml:space="preserve">was </w:t>
      </w:r>
      <w:r w:rsidR="003B38A5">
        <w:rPr>
          <w:rFonts w:ascii="Arial" w:hAnsi="Arial" w:cs="Arial"/>
        </w:rPr>
        <w:t xml:space="preserve">subsequently </w:t>
      </w:r>
      <w:r>
        <w:rPr>
          <w:rFonts w:ascii="Arial" w:hAnsi="Arial" w:cs="Arial"/>
        </w:rPr>
        <w:t>published</w:t>
      </w:r>
      <w:r w:rsidR="00754DE7">
        <w:rPr>
          <w:rFonts w:ascii="Arial" w:hAnsi="Arial" w:cs="Arial"/>
        </w:rPr>
        <w:t xml:space="preserve"> on </w:t>
      </w:r>
      <w:r w:rsidR="001565B5">
        <w:rPr>
          <w:rFonts w:ascii="Arial" w:hAnsi="Arial" w:cs="Arial"/>
        </w:rPr>
        <w:t>13 July</w:t>
      </w:r>
      <w:r w:rsidR="00161FCC">
        <w:rPr>
          <w:rFonts w:ascii="Arial" w:hAnsi="Arial" w:cs="Arial"/>
        </w:rPr>
        <w:t xml:space="preserve"> 2017</w:t>
      </w:r>
      <w:r w:rsidR="001565B5">
        <w:rPr>
          <w:rFonts w:ascii="Arial" w:hAnsi="Arial" w:cs="Arial"/>
        </w:rPr>
        <w:t>,</w:t>
      </w:r>
      <w:r>
        <w:rPr>
          <w:rFonts w:ascii="Arial" w:hAnsi="Arial" w:cs="Arial"/>
        </w:rPr>
        <w:t xml:space="preserve"> </w:t>
      </w:r>
      <w:r w:rsidR="001565B5">
        <w:rPr>
          <w:rFonts w:ascii="Arial" w:hAnsi="Arial" w:cs="Arial"/>
        </w:rPr>
        <w:t xml:space="preserve">a number of weeks </w:t>
      </w:r>
      <w:r w:rsidR="00861A58">
        <w:rPr>
          <w:rFonts w:ascii="Arial" w:hAnsi="Arial" w:cs="Arial"/>
        </w:rPr>
        <w:t>into</w:t>
      </w:r>
      <w:r>
        <w:rPr>
          <w:rFonts w:ascii="Arial" w:hAnsi="Arial" w:cs="Arial"/>
        </w:rPr>
        <w:t xml:space="preserve"> the</w:t>
      </w:r>
      <w:r w:rsidR="00161FCC">
        <w:rPr>
          <w:rFonts w:ascii="Arial" w:hAnsi="Arial" w:cs="Arial"/>
        </w:rPr>
        <w:t xml:space="preserve"> </w:t>
      </w:r>
      <w:r w:rsidR="003B38A5">
        <w:rPr>
          <w:rFonts w:ascii="Arial" w:hAnsi="Arial" w:cs="Arial"/>
        </w:rPr>
        <w:t>current</w:t>
      </w:r>
      <w:r>
        <w:rPr>
          <w:rFonts w:ascii="Arial" w:hAnsi="Arial" w:cs="Arial"/>
        </w:rPr>
        <w:t xml:space="preserve"> parliamentary session</w:t>
      </w:r>
      <w:r w:rsidR="004B3FB1">
        <w:rPr>
          <w:rFonts w:ascii="Arial" w:hAnsi="Arial" w:cs="Arial"/>
        </w:rPr>
        <w:t>. The date for its</w:t>
      </w:r>
      <w:r>
        <w:rPr>
          <w:rFonts w:ascii="Arial" w:hAnsi="Arial" w:cs="Arial"/>
        </w:rPr>
        <w:t xml:space="preserve"> </w:t>
      </w:r>
      <w:r w:rsidR="004B3FB1">
        <w:rPr>
          <w:rFonts w:ascii="Arial" w:hAnsi="Arial" w:cs="Arial"/>
        </w:rPr>
        <w:t>second</w:t>
      </w:r>
      <w:r>
        <w:rPr>
          <w:rFonts w:ascii="Arial" w:hAnsi="Arial" w:cs="Arial"/>
        </w:rPr>
        <w:t xml:space="preserve"> reading in the House of Commons </w:t>
      </w:r>
      <w:r w:rsidR="004B3FB1">
        <w:rPr>
          <w:rFonts w:ascii="Arial" w:hAnsi="Arial" w:cs="Arial"/>
        </w:rPr>
        <w:t>has not yet been announced</w:t>
      </w:r>
      <w:r w:rsidR="00C425EB">
        <w:rPr>
          <w:rFonts w:ascii="Arial" w:hAnsi="Arial" w:cs="Arial"/>
        </w:rPr>
        <w:t>.</w:t>
      </w:r>
      <w:r w:rsidR="00C425EB" w:rsidRPr="00C425EB">
        <w:rPr>
          <w:rFonts w:ascii="Arial" w:hAnsi="Arial" w:cs="Arial"/>
          <w:vertAlign w:val="superscript"/>
        </w:rPr>
        <w:footnoteReference w:id="4"/>
      </w:r>
      <w:r w:rsidR="00C425EB">
        <w:rPr>
          <w:rFonts w:ascii="Arial" w:hAnsi="Arial" w:cs="Arial"/>
        </w:rPr>
        <w:t xml:space="preserve"> </w:t>
      </w:r>
      <w:r w:rsidR="00861A58">
        <w:rPr>
          <w:rFonts w:ascii="Arial" w:hAnsi="Arial" w:cs="Arial"/>
        </w:rPr>
        <w:t xml:space="preserve">It is already clear, however, that the </w:t>
      </w:r>
      <w:r w:rsidR="00861A58" w:rsidRPr="00861A58">
        <w:rPr>
          <w:rFonts w:ascii="Arial" w:hAnsi="Arial" w:cs="Arial"/>
        </w:rPr>
        <w:t xml:space="preserve">GRB is set to become a political </w:t>
      </w:r>
      <w:r w:rsidR="00861A58">
        <w:rPr>
          <w:rFonts w:ascii="Arial" w:hAnsi="Arial" w:cs="Arial"/>
        </w:rPr>
        <w:t>flash</w:t>
      </w:r>
      <w:r w:rsidR="00861A58" w:rsidRPr="00861A58">
        <w:rPr>
          <w:rFonts w:ascii="Arial" w:hAnsi="Arial" w:cs="Arial"/>
        </w:rPr>
        <w:t xml:space="preserve"> poin</w:t>
      </w:r>
      <w:r w:rsidR="00861A58">
        <w:rPr>
          <w:rFonts w:ascii="Arial" w:hAnsi="Arial" w:cs="Arial"/>
        </w:rPr>
        <w:t>t, with Labour’s public position being</w:t>
      </w:r>
      <w:r w:rsidR="00861A58" w:rsidRPr="00861A58">
        <w:rPr>
          <w:rFonts w:ascii="Arial" w:hAnsi="Arial" w:cs="Arial"/>
        </w:rPr>
        <w:t xml:space="preserve"> that it will not support the bill in its current form.</w:t>
      </w:r>
      <w:r w:rsidR="00861A58" w:rsidRPr="00861A58">
        <w:rPr>
          <w:rFonts w:ascii="Arial" w:hAnsi="Arial" w:cs="Arial"/>
          <w:vertAlign w:val="superscript"/>
        </w:rPr>
        <w:footnoteReference w:id="5"/>
      </w:r>
    </w:p>
    <w:p w:rsidR="005D63D5" w:rsidRDefault="003D2E7A" w:rsidP="00BD221F">
      <w:pPr>
        <w:pStyle w:val="ListParagraph"/>
        <w:numPr>
          <w:ilvl w:val="0"/>
          <w:numId w:val="5"/>
        </w:numPr>
        <w:spacing w:after="240" w:line="360" w:lineRule="auto"/>
        <w:contextualSpacing w:val="0"/>
        <w:jc w:val="both"/>
        <w:rPr>
          <w:rFonts w:ascii="Arial" w:hAnsi="Arial" w:cs="Arial"/>
        </w:rPr>
      </w:pPr>
      <w:r>
        <w:rPr>
          <w:rFonts w:ascii="Arial" w:hAnsi="Arial" w:cs="Arial"/>
        </w:rPr>
        <w:lastRenderedPageBreak/>
        <w:t xml:space="preserve">The stated purpose of the </w:t>
      </w:r>
      <w:r w:rsidR="00E160DD">
        <w:rPr>
          <w:rFonts w:ascii="Arial" w:hAnsi="Arial" w:cs="Arial"/>
        </w:rPr>
        <w:t>GRB</w:t>
      </w:r>
      <w:r w:rsidR="005D63D5">
        <w:rPr>
          <w:rFonts w:ascii="Arial" w:hAnsi="Arial" w:cs="Arial"/>
        </w:rPr>
        <w:t xml:space="preserve">, as set out in the White Paper, </w:t>
      </w:r>
      <w:r>
        <w:rPr>
          <w:rFonts w:ascii="Arial" w:hAnsi="Arial" w:cs="Arial"/>
        </w:rPr>
        <w:t>is</w:t>
      </w:r>
      <w:r w:rsidR="005D63D5">
        <w:rPr>
          <w:rFonts w:ascii="Arial" w:hAnsi="Arial" w:cs="Arial"/>
        </w:rPr>
        <w:t xml:space="preserve"> </w:t>
      </w:r>
      <w:r>
        <w:rPr>
          <w:rFonts w:ascii="Arial" w:hAnsi="Arial" w:cs="Arial"/>
        </w:rPr>
        <w:t xml:space="preserve">to </w:t>
      </w:r>
      <w:r w:rsidR="00751965">
        <w:rPr>
          <w:rFonts w:ascii="Arial" w:hAnsi="Arial" w:cs="Arial"/>
        </w:rPr>
        <w:t>preserve the status quo</w:t>
      </w:r>
      <w:r w:rsidR="00ED705F">
        <w:rPr>
          <w:rFonts w:ascii="Arial" w:hAnsi="Arial" w:cs="Arial"/>
        </w:rPr>
        <w:t xml:space="preserve"> in the immediate aftermath of Brexit</w:t>
      </w:r>
      <w:r w:rsidR="00BE43B4">
        <w:rPr>
          <w:rFonts w:ascii="Arial" w:hAnsi="Arial" w:cs="Arial"/>
        </w:rPr>
        <w:t xml:space="preserve"> by converting the body of EU law, as it applies immediately prior to Brexit, into domestic law</w:t>
      </w:r>
      <w:r w:rsidR="00751965">
        <w:rPr>
          <w:rFonts w:ascii="Arial" w:hAnsi="Arial" w:cs="Arial"/>
        </w:rPr>
        <w:t>.</w:t>
      </w:r>
      <w:r w:rsidR="001B2EF9">
        <w:rPr>
          <w:rFonts w:ascii="Arial" w:hAnsi="Arial" w:cs="Arial"/>
        </w:rPr>
        <w:t xml:space="preserve"> In the words of the David Davi</w:t>
      </w:r>
      <w:r w:rsidR="005D63D5">
        <w:rPr>
          <w:rFonts w:ascii="Arial" w:hAnsi="Arial" w:cs="Arial"/>
        </w:rPr>
        <w:t>s</w:t>
      </w:r>
      <w:r w:rsidR="00ED705F">
        <w:rPr>
          <w:rFonts w:ascii="Arial" w:hAnsi="Arial" w:cs="Arial"/>
        </w:rPr>
        <w:t>, Sec</w:t>
      </w:r>
      <w:r w:rsidR="001B2EF9">
        <w:rPr>
          <w:rFonts w:ascii="Arial" w:hAnsi="Arial" w:cs="Arial"/>
        </w:rPr>
        <w:t>retary of State for Exiting the European Union</w:t>
      </w:r>
      <w:r w:rsidR="005D63D5">
        <w:rPr>
          <w:rFonts w:ascii="Arial" w:hAnsi="Arial" w:cs="Arial"/>
        </w:rPr>
        <w:t xml:space="preserve">: </w:t>
      </w:r>
    </w:p>
    <w:p w:rsidR="005D63D5" w:rsidRDefault="005D63D5" w:rsidP="00ED705F">
      <w:pPr>
        <w:pStyle w:val="ListParagraph"/>
        <w:spacing w:after="360"/>
        <w:ind w:left="1134" w:right="567" w:firstLine="0"/>
        <w:contextualSpacing w:val="0"/>
        <w:jc w:val="both"/>
        <w:rPr>
          <w:rFonts w:ascii="Arial" w:hAnsi="Arial" w:cs="Arial"/>
        </w:rPr>
      </w:pPr>
      <w:r>
        <w:rPr>
          <w:rFonts w:ascii="Arial" w:hAnsi="Arial" w:cs="Arial"/>
        </w:rPr>
        <w:t>“</w:t>
      </w:r>
      <w:r w:rsidR="00ED705F" w:rsidRPr="00423504">
        <w:rPr>
          <w:rFonts w:ascii="Arial" w:hAnsi="Arial" w:cs="Arial"/>
        </w:rPr>
        <w:t xml:space="preserve">We will provide for a smooth and orderly exit. The Great Repeal Bill will convert EU law as it applies in the UK into domestic law on the day we leave – so that wherever practical and sensible, the same laws and rules will apply immediately before and </w:t>
      </w:r>
      <w:r w:rsidR="00BE43B4" w:rsidRPr="00423504">
        <w:rPr>
          <w:rFonts w:ascii="Arial" w:hAnsi="Arial" w:cs="Arial"/>
        </w:rPr>
        <w:t>immediately after our departure</w:t>
      </w:r>
      <w:r w:rsidR="00BE43B4">
        <w:rPr>
          <w:rFonts w:ascii="Arial" w:hAnsi="Arial" w:cs="Arial"/>
        </w:rPr>
        <w:t>.</w:t>
      </w:r>
      <w:r w:rsidR="00ED705F">
        <w:rPr>
          <w:rFonts w:ascii="Arial" w:hAnsi="Arial" w:cs="Arial"/>
        </w:rPr>
        <w:t>”</w:t>
      </w:r>
      <w:r w:rsidR="00ED705F">
        <w:rPr>
          <w:rStyle w:val="FootnoteReference"/>
          <w:rFonts w:ascii="Arial" w:hAnsi="Arial" w:cs="Arial"/>
        </w:rPr>
        <w:footnoteReference w:id="6"/>
      </w:r>
      <w:r w:rsidR="00ED705F">
        <w:rPr>
          <w:rFonts w:ascii="Arial" w:hAnsi="Arial" w:cs="Arial"/>
        </w:rPr>
        <w:t xml:space="preserve"> </w:t>
      </w:r>
    </w:p>
    <w:p w:rsidR="001B2EF9" w:rsidRDefault="001B2EF9" w:rsidP="00ED705F">
      <w:pPr>
        <w:pStyle w:val="ListParagraph"/>
        <w:numPr>
          <w:ilvl w:val="0"/>
          <w:numId w:val="5"/>
        </w:numPr>
        <w:spacing w:after="240" w:line="360" w:lineRule="auto"/>
        <w:contextualSpacing w:val="0"/>
        <w:jc w:val="both"/>
        <w:rPr>
          <w:rFonts w:ascii="Arial" w:hAnsi="Arial" w:cs="Arial"/>
        </w:rPr>
      </w:pPr>
      <w:bookmarkStart w:id="1" w:name="_Ref358218977"/>
      <w:r>
        <w:rPr>
          <w:rFonts w:ascii="Arial" w:hAnsi="Arial" w:cs="Arial"/>
        </w:rPr>
        <w:t xml:space="preserve">Importantly, the </w:t>
      </w:r>
      <w:r w:rsidR="00EA5454">
        <w:rPr>
          <w:rFonts w:ascii="Arial" w:hAnsi="Arial" w:cs="Arial"/>
        </w:rPr>
        <w:t>GRB</w:t>
      </w:r>
      <w:r>
        <w:rPr>
          <w:rFonts w:ascii="Arial" w:hAnsi="Arial" w:cs="Arial"/>
        </w:rPr>
        <w:t xml:space="preserve"> is only one element of the intended legislative Brexit package. The Government’s overall approach is threefold:</w:t>
      </w:r>
      <w:bookmarkEnd w:id="1"/>
      <w:r>
        <w:rPr>
          <w:rFonts w:ascii="Arial" w:hAnsi="Arial" w:cs="Arial"/>
        </w:rPr>
        <w:t xml:space="preserve"> </w:t>
      </w:r>
    </w:p>
    <w:p w:rsidR="001B2EF9" w:rsidRDefault="00BD0F09" w:rsidP="001B2EF9">
      <w:pPr>
        <w:pStyle w:val="ListParagraph"/>
        <w:numPr>
          <w:ilvl w:val="1"/>
          <w:numId w:val="5"/>
        </w:numPr>
        <w:spacing w:after="240" w:line="360" w:lineRule="auto"/>
        <w:contextualSpacing w:val="0"/>
        <w:jc w:val="both"/>
        <w:rPr>
          <w:rFonts w:ascii="Arial" w:hAnsi="Arial" w:cs="Arial"/>
        </w:rPr>
      </w:pPr>
      <w:r>
        <w:rPr>
          <w:rFonts w:ascii="Arial" w:hAnsi="Arial" w:cs="Arial"/>
        </w:rPr>
        <w:t>f</w:t>
      </w:r>
      <w:r w:rsidR="001B2EF9">
        <w:rPr>
          <w:rFonts w:ascii="Arial" w:hAnsi="Arial" w:cs="Arial"/>
        </w:rPr>
        <w:t xml:space="preserve">irst, the GRB will convert existing EU law into UK law, with a view to </w:t>
      </w:r>
      <w:r>
        <w:rPr>
          <w:rFonts w:ascii="Arial" w:hAnsi="Arial" w:cs="Arial"/>
        </w:rPr>
        <w:t>ensuring that the “same rules and laws will apply after we leave the EU as they did before”</w:t>
      </w:r>
      <w:r w:rsidR="001B2EF9">
        <w:rPr>
          <w:rFonts w:ascii="Arial" w:hAnsi="Arial" w:cs="Arial"/>
        </w:rPr>
        <w:t>.</w:t>
      </w:r>
      <w:r>
        <w:rPr>
          <w:rStyle w:val="FootnoteReference"/>
          <w:rFonts w:ascii="Arial" w:hAnsi="Arial" w:cs="Arial"/>
        </w:rPr>
        <w:footnoteReference w:id="7"/>
      </w:r>
      <w:r w:rsidR="001B2EF9">
        <w:rPr>
          <w:rFonts w:ascii="Arial" w:hAnsi="Arial" w:cs="Arial"/>
        </w:rPr>
        <w:t xml:space="preserve"> </w:t>
      </w:r>
      <w:r w:rsidR="0098707F">
        <w:rPr>
          <w:rFonts w:ascii="Arial" w:hAnsi="Arial" w:cs="Arial"/>
        </w:rPr>
        <w:t>The Government has explicitly said that it is not the aim of the GRB to make major changes to policy or establish new legal frameworks in the UK</w:t>
      </w:r>
      <w:r>
        <w:rPr>
          <w:rFonts w:ascii="Arial" w:hAnsi="Arial" w:cs="Arial"/>
        </w:rPr>
        <w:t>;</w:t>
      </w:r>
      <w:r w:rsidR="0098707F">
        <w:rPr>
          <w:rStyle w:val="FootnoteReference"/>
          <w:rFonts w:ascii="Arial" w:hAnsi="Arial" w:cs="Arial"/>
        </w:rPr>
        <w:footnoteReference w:id="8"/>
      </w:r>
      <w:r w:rsidR="0098707F">
        <w:rPr>
          <w:rFonts w:ascii="Arial" w:hAnsi="Arial" w:cs="Arial"/>
        </w:rPr>
        <w:t xml:space="preserve">  </w:t>
      </w:r>
    </w:p>
    <w:p w:rsidR="001B2EF9" w:rsidRDefault="00BD0F09" w:rsidP="001B2EF9">
      <w:pPr>
        <w:pStyle w:val="ListParagraph"/>
        <w:numPr>
          <w:ilvl w:val="1"/>
          <w:numId w:val="5"/>
        </w:numPr>
        <w:spacing w:after="240" w:line="360" w:lineRule="auto"/>
        <w:contextualSpacing w:val="0"/>
        <w:jc w:val="both"/>
        <w:rPr>
          <w:rFonts w:ascii="Arial" w:hAnsi="Arial" w:cs="Arial"/>
        </w:rPr>
      </w:pPr>
      <w:r>
        <w:rPr>
          <w:rFonts w:ascii="Arial" w:hAnsi="Arial" w:cs="Arial"/>
        </w:rPr>
        <w:t>s</w:t>
      </w:r>
      <w:r w:rsidR="001B2EF9">
        <w:rPr>
          <w:rFonts w:ascii="Arial" w:hAnsi="Arial" w:cs="Arial"/>
        </w:rPr>
        <w:t>econd</w:t>
      </w:r>
      <w:r w:rsidR="0091458E">
        <w:rPr>
          <w:rFonts w:ascii="Arial" w:hAnsi="Arial" w:cs="Arial"/>
        </w:rPr>
        <w:t>ly</w:t>
      </w:r>
      <w:r w:rsidR="001B2EF9">
        <w:rPr>
          <w:rFonts w:ascii="Arial" w:hAnsi="Arial" w:cs="Arial"/>
        </w:rPr>
        <w:t xml:space="preserve">, there will be a raft of secondary legislation which will make those changes necessary to ensure the continued “functionality” of EU law in the UK, following withdrawal. </w:t>
      </w:r>
      <w:r>
        <w:rPr>
          <w:rFonts w:ascii="Arial" w:hAnsi="Arial" w:cs="Arial"/>
        </w:rPr>
        <w:t xml:space="preserve">The White Paper </w:t>
      </w:r>
      <w:r w:rsidR="00861A58">
        <w:rPr>
          <w:rFonts w:ascii="Arial" w:hAnsi="Arial" w:cs="Arial"/>
        </w:rPr>
        <w:t>provides</w:t>
      </w:r>
      <w:r>
        <w:rPr>
          <w:rFonts w:ascii="Arial" w:hAnsi="Arial" w:cs="Arial"/>
        </w:rPr>
        <w:t xml:space="preserve"> various examples of the sorts of corrections that will be needed – including removing references from the statute book to “EU law”, the UK’s “EU obligations” and the various EU institutions.</w:t>
      </w:r>
      <w:r>
        <w:rPr>
          <w:rStyle w:val="FootnoteReference"/>
          <w:rFonts w:ascii="Arial" w:hAnsi="Arial" w:cs="Arial"/>
        </w:rPr>
        <w:footnoteReference w:id="9"/>
      </w:r>
      <w:r>
        <w:rPr>
          <w:rFonts w:ascii="Arial" w:hAnsi="Arial" w:cs="Arial"/>
        </w:rPr>
        <w:t xml:space="preserve"> The Government estimates that between 800 and 1,000 statutory instruments will be required for this purpose.</w:t>
      </w:r>
      <w:r>
        <w:rPr>
          <w:rStyle w:val="FootnoteReference"/>
          <w:rFonts w:ascii="Arial" w:hAnsi="Arial" w:cs="Arial"/>
        </w:rPr>
        <w:footnoteReference w:id="10"/>
      </w:r>
      <w:r>
        <w:rPr>
          <w:rFonts w:ascii="Arial" w:hAnsi="Arial" w:cs="Arial"/>
        </w:rPr>
        <w:t xml:space="preserve"> Further detail in relation to the terms in which the enabling power for this secondary legislation is </w:t>
      </w:r>
      <w:r w:rsidR="008F64ED">
        <w:rPr>
          <w:rFonts w:ascii="Arial" w:hAnsi="Arial" w:cs="Arial"/>
        </w:rPr>
        <w:t xml:space="preserve">currently </w:t>
      </w:r>
      <w:r>
        <w:rPr>
          <w:rFonts w:ascii="Arial" w:hAnsi="Arial" w:cs="Arial"/>
        </w:rPr>
        <w:t xml:space="preserve">couched in the GRB is provided below; and </w:t>
      </w:r>
    </w:p>
    <w:p w:rsidR="00BE43B4" w:rsidRDefault="00BD0F09" w:rsidP="001B2EF9">
      <w:pPr>
        <w:pStyle w:val="ListParagraph"/>
        <w:numPr>
          <w:ilvl w:val="1"/>
          <w:numId w:val="5"/>
        </w:numPr>
        <w:spacing w:after="240" w:line="360" w:lineRule="auto"/>
        <w:contextualSpacing w:val="0"/>
        <w:jc w:val="both"/>
        <w:rPr>
          <w:rFonts w:ascii="Arial" w:hAnsi="Arial" w:cs="Arial"/>
        </w:rPr>
      </w:pPr>
      <w:r>
        <w:rPr>
          <w:rFonts w:ascii="Arial" w:hAnsi="Arial" w:cs="Arial"/>
        </w:rPr>
        <w:t>t</w:t>
      </w:r>
      <w:r w:rsidR="0098707F">
        <w:rPr>
          <w:rFonts w:ascii="Arial" w:hAnsi="Arial" w:cs="Arial"/>
        </w:rPr>
        <w:t>hird</w:t>
      </w:r>
      <w:r w:rsidR="0091458E">
        <w:rPr>
          <w:rFonts w:ascii="Arial" w:hAnsi="Arial" w:cs="Arial"/>
        </w:rPr>
        <w:t>ly</w:t>
      </w:r>
      <w:r w:rsidR="001B2EF9">
        <w:rPr>
          <w:rFonts w:ascii="Arial" w:hAnsi="Arial" w:cs="Arial"/>
        </w:rPr>
        <w:t xml:space="preserve">, </w:t>
      </w:r>
      <w:r w:rsidR="0098707F">
        <w:rPr>
          <w:rFonts w:ascii="Arial" w:hAnsi="Arial" w:cs="Arial"/>
        </w:rPr>
        <w:t>separate primary legislation will be introduced by the Government for the purpose of achieving substantive policy change and/or replicating, at a UK level, EU designed common policy frameworks (such as the Common Agricultural Policy). Thus, the White Paper discusses the need for primary legislation to be introduced in the fields of immigration, customs, agriculture and fisheries, and the environment.</w:t>
      </w:r>
      <w:r w:rsidR="0098707F">
        <w:rPr>
          <w:rStyle w:val="FootnoteReference"/>
          <w:rFonts w:ascii="Arial" w:hAnsi="Arial" w:cs="Arial"/>
        </w:rPr>
        <w:footnoteReference w:id="11"/>
      </w:r>
      <w:r w:rsidR="001B2EF9">
        <w:rPr>
          <w:rFonts w:ascii="Arial" w:hAnsi="Arial" w:cs="Arial"/>
        </w:rPr>
        <w:t xml:space="preserve"> </w:t>
      </w:r>
    </w:p>
    <w:p w:rsidR="0098707F" w:rsidRDefault="00D03CBA" w:rsidP="0098707F">
      <w:pPr>
        <w:pStyle w:val="ListParagraph"/>
        <w:numPr>
          <w:ilvl w:val="0"/>
          <w:numId w:val="5"/>
        </w:numPr>
        <w:spacing w:after="240" w:line="360" w:lineRule="auto"/>
        <w:contextualSpacing w:val="0"/>
        <w:jc w:val="both"/>
        <w:rPr>
          <w:rFonts w:ascii="Arial" w:hAnsi="Arial" w:cs="Arial"/>
        </w:rPr>
      </w:pPr>
      <w:r>
        <w:rPr>
          <w:rFonts w:ascii="Arial" w:hAnsi="Arial" w:cs="Arial"/>
        </w:rPr>
        <w:t xml:space="preserve">The intention appears to be that all of the foregoing legislation will have been made ahead of, and will then be commenced on, Brexit day. </w:t>
      </w:r>
    </w:p>
    <w:p w:rsidR="00D03CBA" w:rsidRPr="00D03CBA" w:rsidRDefault="00D03CBA" w:rsidP="00D03CBA">
      <w:pPr>
        <w:spacing w:after="240" w:line="360" w:lineRule="auto"/>
        <w:ind w:left="0" w:firstLine="0"/>
        <w:jc w:val="both"/>
        <w:rPr>
          <w:rFonts w:ascii="Arial" w:hAnsi="Arial" w:cs="Arial"/>
          <w:i/>
        </w:rPr>
      </w:pPr>
      <w:r>
        <w:rPr>
          <w:rFonts w:ascii="Arial" w:hAnsi="Arial" w:cs="Arial"/>
          <w:i/>
        </w:rPr>
        <w:t>The mechanics of conversion of the acquis, as contemplated in the GRB</w:t>
      </w:r>
    </w:p>
    <w:p w:rsidR="003B38A5" w:rsidRDefault="003B38A5" w:rsidP="003B38A5">
      <w:pPr>
        <w:pStyle w:val="ListParagraph"/>
        <w:numPr>
          <w:ilvl w:val="0"/>
          <w:numId w:val="5"/>
        </w:numPr>
        <w:spacing w:after="240" w:line="360" w:lineRule="auto"/>
        <w:contextualSpacing w:val="0"/>
        <w:jc w:val="both"/>
        <w:rPr>
          <w:rFonts w:ascii="Arial" w:hAnsi="Arial" w:cs="Arial"/>
        </w:rPr>
      </w:pPr>
      <w:r>
        <w:rPr>
          <w:rFonts w:ascii="Arial" w:hAnsi="Arial" w:cs="Arial"/>
        </w:rPr>
        <w:t>In terms of</w:t>
      </w:r>
      <w:r w:rsidR="00FD1207">
        <w:rPr>
          <w:rFonts w:ascii="Arial" w:hAnsi="Arial" w:cs="Arial"/>
        </w:rPr>
        <w:t xml:space="preserve"> the mechanics of conversion of the EU acquis into domestic law, the </w:t>
      </w:r>
      <w:r w:rsidR="009935DF" w:rsidRPr="003B38A5">
        <w:rPr>
          <w:rFonts w:ascii="Arial" w:hAnsi="Arial" w:cs="Arial"/>
        </w:rPr>
        <w:t xml:space="preserve">starting point is that the </w:t>
      </w:r>
      <w:r w:rsidR="00E91E75" w:rsidRPr="003B38A5">
        <w:rPr>
          <w:rFonts w:ascii="Arial" w:hAnsi="Arial" w:cs="Arial"/>
        </w:rPr>
        <w:t xml:space="preserve">GRB will repeal the </w:t>
      </w:r>
      <w:r w:rsidR="00161FCC" w:rsidRPr="003B38A5">
        <w:rPr>
          <w:rFonts w:ascii="Arial" w:hAnsi="Arial" w:cs="Arial"/>
        </w:rPr>
        <w:t>European Communities Act 1972</w:t>
      </w:r>
      <w:r w:rsidR="009935DF" w:rsidRPr="003B38A5">
        <w:rPr>
          <w:rFonts w:ascii="Arial" w:hAnsi="Arial" w:cs="Arial"/>
        </w:rPr>
        <w:t xml:space="preserve"> (the “</w:t>
      </w:r>
      <w:r w:rsidR="009935DF" w:rsidRPr="003B38A5">
        <w:rPr>
          <w:rFonts w:ascii="Arial" w:hAnsi="Arial" w:cs="Arial"/>
          <w:b/>
        </w:rPr>
        <w:t>ECA</w:t>
      </w:r>
      <w:r w:rsidR="009935DF" w:rsidRPr="003B38A5">
        <w:rPr>
          <w:rFonts w:ascii="Arial" w:hAnsi="Arial" w:cs="Arial"/>
        </w:rPr>
        <w:t>”)</w:t>
      </w:r>
      <w:r w:rsidR="00161FCC" w:rsidRPr="003B38A5">
        <w:rPr>
          <w:rFonts w:ascii="Arial" w:hAnsi="Arial" w:cs="Arial"/>
        </w:rPr>
        <w:t xml:space="preserve"> </w:t>
      </w:r>
      <w:r w:rsidR="009935DF" w:rsidRPr="003B38A5">
        <w:rPr>
          <w:rFonts w:ascii="Arial" w:hAnsi="Arial" w:cs="Arial"/>
        </w:rPr>
        <w:t>in its entirety</w:t>
      </w:r>
      <w:r w:rsidR="00161FCC" w:rsidRPr="003B38A5">
        <w:rPr>
          <w:rFonts w:ascii="Arial" w:hAnsi="Arial" w:cs="Arial"/>
        </w:rPr>
        <w:t xml:space="preserve">. </w:t>
      </w:r>
      <w:r w:rsidR="00B85A50" w:rsidRPr="003B38A5">
        <w:rPr>
          <w:rFonts w:ascii="Arial" w:hAnsi="Arial" w:cs="Arial"/>
        </w:rPr>
        <w:t xml:space="preserve">This is achieved by section </w:t>
      </w:r>
      <w:r w:rsidR="00227279">
        <w:rPr>
          <w:rFonts w:ascii="Arial" w:hAnsi="Arial" w:cs="Arial"/>
        </w:rPr>
        <w:t>1</w:t>
      </w:r>
      <w:r w:rsidR="00B85A50" w:rsidRPr="003B38A5">
        <w:rPr>
          <w:rFonts w:ascii="Arial" w:hAnsi="Arial" w:cs="Arial"/>
        </w:rPr>
        <w:t xml:space="preserve"> GRB. The consequence of repealing the ECA is that the “conduit pipe” by which EU law becomes part of the </w:t>
      </w:r>
      <w:r w:rsidR="00FD1207" w:rsidRPr="003B38A5">
        <w:rPr>
          <w:rFonts w:ascii="Arial" w:hAnsi="Arial" w:cs="Arial"/>
        </w:rPr>
        <w:t xml:space="preserve">UK’s </w:t>
      </w:r>
      <w:r w:rsidR="00B85A50" w:rsidRPr="003B38A5">
        <w:rPr>
          <w:rFonts w:ascii="Arial" w:hAnsi="Arial" w:cs="Arial"/>
        </w:rPr>
        <w:t xml:space="preserve">domestic legal order </w:t>
      </w:r>
      <w:r w:rsidR="00CF1D26" w:rsidRPr="003B38A5">
        <w:rPr>
          <w:rFonts w:ascii="Arial" w:hAnsi="Arial" w:cs="Arial"/>
        </w:rPr>
        <w:t>will be</w:t>
      </w:r>
      <w:r w:rsidR="00B85A50" w:rsidRPr="003B38A5">
        <w:rPr>
          <w:rFonts w:ascii="Arial" w:hAnsi="Arial" w:cs="Arial"/>
        </w:rPr>
        <w:t xml:space="preserve"> closed. </w:t>
      </w:r>
    </w:p>
    <w:p w:rsidR="00B670B7" w:rsidRPr="003B38A5" w:rsidRDefault="009935DF" w:rsidP="003B38A5">
      <w:pPr>
        <w:pStyle w:val="ListParagraph"/>
        <w:numPr>
          <w:ilvl w:val="0"/>
          <w:numId w:val="5"/>
        </w:numPr>
        <w:spacing w:after="240" w:line="360" w:lineRule="auto"/>
        <w:contextualSpacing w:val="0"/>
        <w:jc w:val="both"/>
        <w:rPr>
          <w:rFonts w:ascii="Arial" w:hAnsi="Arial" w:cs="Arial"/>
        </w:rPr>
      </w:pPr>
      <w:r w:rsidRPr="003B38A5">
        <w:rPr>
          <w:rFonts w:ascii="Arial" w:hAnsi="Arial" w:cs="Arial"/>
        </w:rPr>
        <w:t>In the absence of contrary statutory provision</w:t>
      </w:r>
      <w:r w:rsidR="003A6766">
        <w:rPr>
          <w:rFonts w:ascii="Arial" w:hAnsi="Arial" w:cs="Arial"/>
        </w:rPr>
        <w:t xml:space="preserve"> in the GRB</w:t>
      </w:r>
      <w:r w:rsidRPr="003B38A5">
        <w:rPr>
          <w:rFonts w:ascii="Arial" w:hAnsi="Arial" w:cs="Arial"/>
        </w:rPr>
        <w:t xml:space="preserve">, the repeal of </w:t>
      </w:r>
      <w:r w:rsidR="00E91E75" w:rsidRPr="003B38A5">
        <w:rPr>
          <w:rFonts w:ascii="Arial" w:hAnsi="Arial" w:cs="Arial"/>
        </w:rPr>
        <w:t>the</w:t>
      </w:r>
      <w:r w:rsidRPr="003B38A5">
        <w:rPr>
          <w:rFonts w:ascii="Arial" w:hAnsi="Arial" w:cs="Arial"/>
        </w:rPr>
        <w:t xml:space="preserve"> ECA will </w:t>
      </w:r>
      <w:r w:rsidR="0091458E">
        <w:rPr>
          <w:rFonts w:ascii="Arial" w:hAnsi="Arial" w:cs="Arial"/>
        </w:rPr>
        <w:t>have several particular consequences</w:t>
      </w:r>
      <w:r w:rsidR="00B670B7" w:rsidRPr="003B38A5">
        <w:rPr>
          <w:rFonts w:ascii="Arial" w:hAnsi="Arial" w:cs="Arial"/>
        </w:rPr>
        <w:t>:</w:t>
      </w:r>
      <w:r w:rsidR="00CF1D26" w:rsidRPr="003B38A5">
        <w:rPr>
          <w:rFonts w:ascii="Arial" w:hAnsi="Arial" w:cs="Arial"/>
        </w:rPr>
        <w:t xml:space="preserve"> </w:t>
      </w:r>
    </w:p>
    <w:p w:rsidR="00B670B7" w:rsidRDefault="00CF1D26" w:rsidP="00422639">
      <w:pPr>
        <w:pStyle w:val="ListParagraph"/>
        <w:numPr>
          <w:ilvl w:val="1"/>
          <w:numId w:val="5"/>
        </w:numPr>
        <w:spacing w:after="240" w:line="360" w:lineRule="auto"/>
        <w:contextualSpacing w:val="0"/>
        <w:jc w:val="both"/>
        <w:rPr>
          <w:rFonts w:ascii="Arial" w:hAnsi="Arial" w:cs="Arial"/>
        </w:rPr>
      </w:pPr>
      <w:r>
        <w:rPr>
          <w:rFonts w:ascii="Arial" w:hAnsi="Arial" w:cs="Arial"/>
        </w:rPr>
        <w:t>EU law which is currently directly applicable or effective</w:t>
      </w:r>
      <w:r w:rsidR="0091458E">
        <w:rPr>
          <w:rFonts w:ascii="Arial" w:hAnsi="Arial" w:cs="Arial"/>
        </w:rPr>
        <w:t xml:space="preserve"> under section 2(1) ECA</w:t>
      </w:r>
      <w:r w:rsidR="009935DF">
        <w:rPr>
          <w:rFonts w:ascii="Arial" w:hAnsi="Arial" w:cs="Arial"/>
        </w:rPr>
        <w:t xml:space="preserve"> </w:t>
      </w:r>
      <w:r w:rsidR="00E91E75">
        <w:rPr>
          <w:rFonts w:ascii="Arial" w:hAnsi="Arial" w:cs="Arial"/>
        </w:rPr>
        <w:t>will cease</w:t>
      </w:r>
      <w:r w:rsidR="009935DF">
        <w:rPr>
          <w:rFonts w:ascii="Arial" w:hAnsi="Arial" w:cs="Arial"/>
        </w:rPr>
        <w:t xml:space="preserve"> to be part of our domestic law.</w:t>
      </w:r>
      <w:r w:rsidR="00B670B7">
        <w:rPr>
          <w:rFonts w:ascii="Arial" w:hAnsi="Arial" w:cs="Arial"/>
        </w:rPr>
        <w:t xml:space="preserve"> </w:t>
      </w:r>
      <w:r w:rsidR="009935DF">
        <w:rPr>
          <w:rFonts w:ascii="Arial" w:hAnsi="Arial" w:cs="Arial"/>
        </w:rPr>
        <w:t>This encompasses</w:t>
      </w:r>
      <w:r w:rsidR="00B670B7">
        <w:rPr>
          <w:rFonts w:ascii="Arial" w:hAnsi="Arial" w:cs="Arial"/>
        </w:rPr>
        <w:t xml:space="preserve"> directly effective Treaty provisions, all regulations, provisions of directives with direct effect and decisions of the EU institutions</w:t>
      </w:r>
      <w:r w:rsidR="009935DF">
        <w:rPr>
          <w:rFonts w:ascii="Arial" w:hAnsi="Arial" w:cs="Arial"/>
        </w:rPr>
        <w:t xml:space="preserve"> which are currently binding on addressees of those decisions</w:t>
      </w:r>
      <w:r w:rsidR="00B670B7">
        <w:rPr>
          <w:rFonts w:ascii="Arial" w:hAnsi="Arial" w:cs="Arial"/>
        </w:rPr>
        <w:t>;</w:t>
      </w:r>
      <w:r w:rsidR="0091458E">
        <w:rPr>
          <w:rFonts w:ascii="Arial" w:hAnsi="Arial" w:cs="Arial"/>
        </w:rPr>
        <w:t xml:space="preserve"> </w:t>
      </w:r>
    </w:p>
    <w:p w:rsidR="0091458E" w:rsidRDefault="00CF1D26" w:rsidP="0091458E">
      <w:pPr>
        <w:pStyle w:val="ListParagraph"/>
        <w:numPr>
          <w:ilvl w:val="1"/>
          <w:numId w:val="5"/>
        </w:numPr>
        <w:spacing w:after="240" w:line="360" w:lineRule="auto"/>
        <w:contextualSpacing w:val="0"/>
        <w:jc w:val="both"/>
        <w:rPr>
          <w:rFonts w:ascii="Arial" w:hAnsi="Arial" w:cs="Arial"/>
        </w:rPr>
      </w:pPr>
      <w:r>
        <w:rPr>
          <w:rFonts w:ascii="Arial" w:hAnsi="Arial" w:cs="Arial"/>
        </w:rPr>
        <w:t>EU law which has, prior to Brexit day, been domestically implemented</w:t>
      </w:r>
      <w:r w:rsidR="008F64ED" w:rsidRPr="008F64ED">
        <w:rPr>
          <w:rFonts w:ascii="Arial" w:hAnsi="Arial" w:cs="Arial"/>
        </w:rPr>
        <w:t xml:space="preserve"> </w:t>
      </w:r>
      <w:r w:rsidR="00861A58">
        <w:rPr>
          <w:rFonts w:ascii="Arial" w:hAnsi="Arial" w:cs="Arial"/>
        </w:rPr>
        <w:t>under section 2(2) ECA (i.e.</w:t>
      </w:r>
      <w:r w:rsidR="008F64ED">
        <w:rPr>
          <w:rFonts w:ascii="Arial" w:hAnsi="Arial" w:cs="Arial"/>
        </w:rPr>
        <w:t xml:space="preserve"> transposed directives)</w:t>
      </w:r>
      <w:r w:rsidR="00E91E75">
        <w:rPr>
          <w:rFonts w:ascii="Arial" w:hAnsi="Arial" w:cs="Arial"/>
        </w:rPr>
        <w:t xml:space="preserve"> </w:t>
      </w:r>
      <w:r w:rsidR="0091458E">
        <w:rPr>
          <w:rFonts w:ascii="Arial" w:hAnsi="Arial" w:cs="Arial"/>
        </w:rPr>
        <w:t xml:space="preserve">will fall away; and </w:t>
      </w:r>
    </w:p>
    <w:p w:rsidR="00B5595D" w:rsidRPr="0091458E" w:rsidRDefault="0079517F" w:rsidP="0091458E">
      <w:pPr>
        <w:pStyle w:val="ListParagraph"/>
        <w:numPr>
          <w:ilvl w:val="1"/>
          <w:numId w:val="5"/>
        </w:numPr>
        <w:spacing w:after="240" w:line="360" w:lineRule="auto"/>
        <w:contextualSpacing w:val="0"/>
        <w:jc w:val="both"/>
        <w:rPr>
          <w:rFonts w:ascii="Arial" w:hAnsi="Arial" w:cs="Arial"/>
        </w:rPr>
      </w:pPr>
      <w:r w:rsidRPr="0091458E">
        <w:rPr>
          <w:rFonts w:ascii="Arial" w:hAnsi="Arial" w:cs="Arial"/>
        </w:rPr>
        <w:t xml:space="preserve">the </w:t>
      </w:r>
      <w:r w:rsidR="00422639" w:rsidRPr="0091458E">
        <w:rPr>
          <w:rFonts w:ascii="Arial" w:hAnsi="Arial" w:cs="Arial"/>
        </w:rPr>
        <w:t xml:space="preserve">existing </w:t>
      </w:r>
      <w:r w:rsidRPr="0091458E">
        <w:rPr>
          <w:rFonts w:ascii="Arial" w:hAnsi="Arial" w:cs="Arial"/>
        </w:rPr>
        <w:t>statutory obligation</w:t>
      </w:r>
      <w:r w:rsidR="0091458E">
        <w:rPr>
          <w:rFonts w:ascii="Arial" w:hAnsi="Arial" w:cs="Arial"/>
        </w:rPr>
        <w:t xml:space="preserve"> </w:t>
      </w:r>
      <w:r w:rsidRPr="0091458E">
        <w:rPr>
          <w:rFonts w:ascii="Arial" w:hAnsi="Arial" w:cs="Arial"/>
        </w:rPr>
        <w:t xml:space="preserve">on domestic courts </w:t>
      </w:r>
      <w:r w:rsidR="0091458E">
        <w:rPr>
          <w:rFonts w:ascii="Arial" w:hAnsi="Arial" w:cs="Arial"/>
        </w:rPr>
        <w:t xml:space="preserve">(under section 3(1) ECA) </w:t>
      </w:r>
      <w:r w:rsidRPr="0091458E">
        <w:rPr>
          <w:rFonts w:ascii="Arial" w:hAnsi="Arial" w:cs="Arial"/>
        </w:rPr>
        <w:t xml:space="preserve">to determine questions of EU law in accordance with </w:t>
      </w:r>
      <w:r w:rsidR="00422639" w:rsidRPr="0091458E">
        <w:rPr>
          <w:rFonts w:ascii="Arial" w:hAnsi="Arial" w:cs="Arial"/>
        </w:rPr>
        <w:t>the jurisprudence of the Court of Justice of the European Union</w:t>
      </w:r>
      <w:r w:rsidR="00861A58" w:rsidRPr="0091458E">
        <w:rPr>
          <w:rFonts w:ascii="Arial" w:hAnsi="Arial" w:cs="Arial"/>
        </w:rPr>
        <w:t xml:space="preserve"> (“</w:t>
      </w:r>
      <w:r w:rsidR="00861A58" w:rsidRPr="0091458E">
        <w:rPr>
          <w:rFonts w:ascii="Arial" w:hAnsi="Arial" w:cs="Arial"/>
          <w:b/>
        </w:rPr>
        <w:t>CJEU</w:t>
      </w:r>
      <w:r w:rsidR="00861A58" w:rsidRPr="0091458E">
        <w:rPr>
          <w:rFonts w:ascii="Arial" w:hAnsi="Arial" w:cs="Arial"/>
        </w:rPr>
        <w:t>”)</w:t>
      </w:r>
      <w:r w:rsidRPr="0091458E">
        <w:rPr>
          <w:rFonts w:ascii="Arial" w:hAnsi="Arial" w:cs="Arial"/>
        </w:rPr>
        <w:t xml:space="preserve"> will disappear. </w:t>
      </w:r>
    </w:p>
    <w:p w:rsidR="00E952E4" w:rsidRDefault="00422639" w:rsidP="00422639">
      <w:pPr>
        <w:pStyle w:val="ListParagraph"/>
        <w:numPr>
          <w:ilvl w:val="0"/>
          <w:numId w:val="5"/>
        </w:numPr>
        <w:spacing w:after="240" w:line="360" w:lineRule="auto"/>
        <w:contextualSpacing w:val="0"/>
        <w:jc w:val="both"/>
        <w:rPr>
          <w:rFonts w:ascii="Arial" w:hAnsi="Arial" w:cs="Arial"/>
        </w:rPr>
      </w:pPr>
      <w:r>
        <w:rPr>
          <w:rFonts w:ascii="Arial" w:hAnsi="Arial" w:cs="Arial"/>
        </w:rPr>
        <w:t>That starting position is, however, modified by the draft GRB</w:t>
      </w:r>
      <w:r w:rsidR="00E91E75">
        <w:rPr>
          <w:rFonts w:ascii="Arial" w:hAnsi="Arial" w:cs="Arial"/>
        </w:rPr>
        <w:t xml:space="preserve"> </w:t>
      </w:r>
      <w:r>
        <w:rPr>
          <w:rFonts w:ascii="Arial" w:hAnsi="Arial" w:cs="Arial"/>
        </w:rPr>
        <w:t>insofar as</w:t>
      </w:r>
      <w:r w:rsidR="00E91E75">
        <w:rPr>
          <w:rFonts w:ascii="Arial" w:hAnsi="Arial" w:cs="Arial"/>
        </w:rPr>
        <w:t xml:space="preserve"> EU law which </w:t>
      </w:r>
      <w:r w:rsidR="00E91E75" w:rsidRPr="00FD1207">
        <w:rPr>
          <w:rFonts w:ascii="Arial" w:hAnsi="Arial" w:cs="Arial"/>
          <w:u w:val="single"/>
        </w:rPr>
        <w:t>pre-dates</w:t>
      </w:r>
      <w:r w:rsidR="00E91E75">
        <w:rPr>
          <w:rFonts w:ascii="Arial" w:hAnsi="Arial" w:cs="Arial"/>
        </w:rPr>
        <w:t xml:space="preserve"> </w:t>
      </w:r>
      <w:r w:rsidR="00861A58">
        <w:rPr>
          <w:rFonts w:ascii="Arial" w:hAnsi="Arial" w:cs="Arial"/>
        </w:rPr>
        <w:t>Brexit</w:t>
      </w:r>
      <w:r>
        <w:rPr>
          <w:rFonts w:ascii="Arial" w:hAnsi="Arial" w:cs="Arial"/>
        </w:rPr>
        <w:t xml:space="preserve"> is concerned</w:t>
      </w:r>
      <w:r w:rsidR="00E91E75">
        <w:rPr>
          <w:rFonts w:ascii="Arial" w:hAnsi="Arial" w:cs="Arial"/>
        </w:rPr>
        <w:t>. Specifically</w:t>
      </w:r>
      <w:r w:rsidR="0079517F">
        <w:rPr>
          <w:rFonts w:ascii="Arial" w:hAnsi="Arial" w:cs="Arial"/>
        </w:rPr>
        <w:t>, the GRB provides that certain aspects of existing EU law will be retained and</w:t>
      </w:r>
      <w:r w:rsidR="003111B3">
        <w:rPr>
          <w:rFonts w:ascii="Arial" w:hAnsi="Arial" w:cs="Arial"/>
        </w:rPr>
        <w:t>/or</w:t>
      </w:r>
      <w:r w:rsidR="0079517F">
        <w:rPr>
          <w:rFonts w:ascii="Arial" w:hAnsi="Arial" w:cs="Arial"/>
        </w:rPr>
        <w:t xml:space="preserve"> incorporated into our domestic law.</w:t>
      </w:r>
      <w:r w:rsidR="00634767">
        <w:rPr>
          <w:rFonts w:ascii="Arial" w:hAnsi="Arial" w:cs="Arial"/>
        </w:rPr>
        <w:t xml:space="preserve"> </w:t>
      </w:r>
      <w:r w:rsidR="00A73AAF">
        <w:rPr>
          <w:rFonts w:ascii="Arial" w:hAnsi="Arial" w:cs="Arial"/>
        </w:rPr>
        <w:t>The</w:t>
      </w:r>
      <w:r w:rsidR="001C4984">
        <w:rPr>
          <w:rFonts w:ascii="Arial" w:hAnsi="Arial" w:cs="Arial"/>
        </w:rPr>
        <w:t xml:space="preserve"> </w:t>
      </w:r>
      <w:r w:rsidR="0054692E">
        <w:rPr>
          <w:rFonts w:ascii="Arial" w:hAnsi="Arial" w:cs="Arial"/>
        </w:rPr>
        <w:t xml:space="preserve">way in which the </w:t>
      </w:r>
      <w:r w:rsidR="001C4984">
        <w:rPr>
          <w:rFonts w:ascii="Arial" w:hAnsi="Arial" w:cs="Arial"/>
        </w:rPr>
        <w:t>GRB</w:t>
      </w:r>
      <w:r w:rsidR="00A73AAF">
        <w:rPr>
          <w:rFonts w:ascii="Arial" w:hAnsi="Arial" w:cs="Arial"/>
        </w:rPr>
        <w:t xml:space="preserve"> seeks </w:t>
      </w:r>
      <w:r w:rsidR="00375594">
        <w:rPr>
          <w:rFonts w:ascii="Arial" w:hAnsi="Arial" w:cs="Arial"/>
        </w:rPr>
        <w:t xml:space="preserve">to achieve this </w:t>
      </w:r>
      <w:r w:rsidR="005A2D38">
        <w:rPr>
          <w:rFonts w:ascii="Arial" w:hAnsi="Arial" w:cs="Arial"/>
        </w:rPr>
        <w:t>is by numerous</w:t>
      </w:r>
      <w:r w:rsidR="00A73AAF">
        <w:rPr>
          <w:rFonts w:ascii="Arial" w:hAnsi="Arial" w:cs="Arial"/>
        </w:rPr>
        <w:t xml:space="preserve"> deeming</w:t>
      </w:r>
      <w:r w:rsidR="0091458E">
        <w:rPr>
          <w:rFonts w:ascii="Arial" w:hAnsi="Arial" w:cs="Arial"/>
        </w:rPr>
        <w:t xml:space="preserve"> provisions.</w:t>
      </w:r>
      <w:r w:rsidR="005A2D38">
        <w:rPr>
          <w:rFonts w:ascii="Arial" w:hAnsi="Arial" w:cs="Arial"/>
        </w:rPr>
        <w:t xml:space="preserve"> </w:t>
      </w:r>
      <w:r w:rsidR="0091458E">
        <w:rPr>
          <w:rFonts w:ascii="Arial" w:hAnsi="Arial" w:cs="Arial"/>
        </w:rPr>
        <w:t>T</w:t>
      </w:r>
      <w:r w:rsidR="00A73AAF">
        <w:rPr>
          <w:rFonts w:ascii="Arial" w:hAnsi="Arial" w:cs="Arial"/>
        </w:rPr>
        <w:t>h</w:t>
      </w:r>
      <w:r w:rsidR="001C4984">
        <w:rPr>
          <w:rFonts w:ascii="Arial" w:hAnsi="Arial" w:cs="Arial"/>
        </w:rPr>
        <w:t xml:space="preserve">ere is no attempt in the </w:t>
      </w:r>
      <w:r w:rsidR="00A73AAF">
        <w:rPr>
          <w:rFonts w:ascii="Arial" w:hAnsi="Arial" w:cs="Arial"/>
        </w:rPr>
        <w:t>GRB</w:t>
      </w:r>
      <w:r w:rsidR="001C4984">
        <w:rPr>
          <w:rFonts w:ascii="Arial" w:hAnsi="Arial" w:cs="Arial"/>
        </w:rPr>
        <w:t xml:space="preserve"> to </w:t>
      </w:r>
      <w:r w:rsidR="0091458E">
        <w:rPr>
          <w:rFonts w:ascii="Arial" w:hAnsi="Arial" w:cs="Arial"/>
        </w:rPr>
        <w:t>set out an exhaustive</w:t>
      </w:r>
      <w:r w:rsidR="001C4984">
        <w:rPr>
          <w:rFonts w:ascii="Arial" w:hAnsi="Arial" w:cs="Arial"/>
        </w:rPr>
        <w:t xml:space="preserve"> list</w:t>
      </w:r>
      <w:r w:rsidR="0091458E">
        <w:rPr>
          <w:rFonts w:ascii="Arial" w:hAnsi="Arial" w:cs="Arial"/>
        </w:rPr>
        <w:t xml:space="preserve"> of</w:t>
      </w:r>
      <w:r w:rsidR="001C4984">
        <w:rPr>
          <w:rFonts w:ascii="Arial" w:hAnsi="Arial" w:cs="Arial"/>
        </w:rPr>
        <w:t xml:space="preserve"> </w:t>
      </w:r>
      <w:r w:rsidR="00A73AAF">
        <w:rPr>
          <w:rFonts w:ascii="Arial" w:hAnsi="Arial" w:cs="Arial"/>
        </w:rPr>
        <w:t xml:space="preserve">those elements of EU law which are going to be converted. </w:t>
      </w:r>
      <w:r w:rsidR="005A2D38">
        <w:rPr>
          <w:rFonts w:ascii="Arial" w:hAnsi="Arial" w:cs="Arial"/>
        </w:rPr>
        <w:t>Rather the bill takes a conceptual approach, employing broad definitions to capture different types of EU law</w:t>
      </w:r>
      <w:r w:rsidR="00E952E4">
        <w:rPr>
          <w:rFonts w:ascii="Arial" w:hAnsi="Arial" w:cs="Arial"/>
        </w:rPr>
        <w:t xml:space="preserve"> to which different treatment should be accorded</w:t>
      </w:r>
      <w:r w:rsidR="005A2D38">
        <w:rPr>
          <w:rFonts w:ascii="Arial" w:hAnsi="Arial" w:cs="Arial"/>
        </w:rPr>
        <w:t xml:space="preserve">. </w:t>
      </w:r>
    </w:p>
    <w:p w:rsidR="00A73AAF" w:rsidRDefault="00861A58" w:rsidP="00422639">
      <w:pPr>
        <w:pStyle w:val="ListParagraph"/>
        <w:numPr>
          <w:ilvl w:val="0"/>
          <w:numId w:val="5"/>
        </w:numPr>
        <w:spacing w:after="240" w:line="360" w:lineRule="auto"/>
        <w:contextualSpacing w:val="0"/>
        <w:jc w:val="both"/>
        <w:rPr>
          <w:rFonts w:ascii="Arial" w:hAnsi="Arial" w:cs="Arial"/>
        </w:rPr>
      </w:pPr>
      <w:r>
        <w:rPr>
          <w:rFonts w:ascii="Arial" w:hAnsi="Arial" w:cs="Arial"/>
        </w:rPr>
        <w:t>In its current form, the GRB makes provision for preserving</w:t>
      </w:r>
      <w:r w:rsidR="00E952E4">
        <w:rPr>
          <w:rFonts w:ascii="Arial" w:hAnsi="Arial" w:cs="Arial"/>
        </w:rPr>
        <w:t xml:space="preserve"> the </w:t>
      </w:r>
      <w:r w:rsidR="00023451">
        <w:rPr>
          <w:rFonts w:ascii="Arial" w:hAnsi="Arial" w:cs="Arial"/>
        </w:rPr>
        <w:t xml:space="preserve">following categories of EU law </w:t>
      </w:r>
      <w:r w:rsidR="00E952E4">
        <w:rPr>
          <w:rFonts w:ascii="Arial" w:hAnsi="Arial" w:cs="Arial"/>
        </w:rPr>
        <w:t>post-Brexit</w:t>
      </w:r>
      <w:r w:rsidR="00023451">
        <w:rPr>
          <w:rFonts w:ascii="Arial" w:hAnsi="Arial" w:cs="Arial"/>
        </w:rPr>
        <w:t>:</w:t>
      </w:r>
    </w:p>
    <w:p w:rsidR="000D3226" w:rsidRDefault="00352818" w:rsidP="000D3226">
      <w:pPr>
        <w:pStyle w:val="ListParagraph"/>
        <w:numPr>
          <w:ilvl w:val="1"/>
          <w:numId w:val="5"/>
        </w:numPr>
        <w:spacing w:after="240" w:line="360" w:lineRule="auto"/>
        <w:contextualSpacing w:val="0"/>
        <w:jc w:val="both"/>
        <w:rPr>
          <w:rFonts w:ascii="Arial" w:hAnsi="Arial" w:cs="Arial"/>
        </w:rPr>
      </w:pPr>
      <w:bookmarkStart w:id="2" w:name="_Ref358041506"/>
      <w:r>
        <w:rPr>
          <w:rFonts w:ascii="Arial" w:hAnsi="Arial" w:cs="Arial"/>
          <w:b/>
        </w:rPr>
        <w:t xml:space="preserve">Domestic legislation that implements EU law. </w:t>
      </w:r>
      <w:r w:rsidR="000D3226">
        <w:rPr>
          <w:rFonts w:ascii="Arial" w:hAnsi="Arial" w:cs="Arial"/>
        </w:rPr>
        <w:t xml:space="preserve">EU </w:t>
      </w:r>
      <w:r w:rsidR="000866AB">
        <w:rPr>
          <w:rFonts w:ascii="Arial" w:hAnsi="Arial" w:cs="Arial"/>
        </w:rPr>
        <w:t>law</w:t>
      </w:r>
      <w:r w:rsidR="000D3226">
        <w:rPr>
          <w:rFonts w:ascii="Arial" w:hAnsi="Arial" w:cs="Arial"/>
        </w:rPr>
        <w:t xml:space="preserve"> which has</w:t>
      </w:r>
      <w:r w:rsidR="00341BFF">
        <w:rPr>
          <w:rFonts w:ascii="Arial" w:hAnsi="Arial" w:cs="Arial"/>
        </w:rPr>
        <w:t xml:space="preserve"> </w:t>
      </w:r>
      <w:r w:rsidR="00341BFF" w:rsidRPr="0091458E">
        <w:rPr>
          <w:rFonts w:ascii="Arial" w:hAnsi="Arial" w:cs="Arial"/>
          <w:u w:val="single"/>
        </w:rPr>
        <w:t>already</w:t>
      </w:r>
      <w:r w:rsidR="000D3226">
        <w:rPr>
          <w:rFonts w:ascii="Arial" w:hAnsi="Arial" w:cs="Arial"/>
        </w:rPr>
        <w:t xml:space="preserve"> been implemented by way of </w:t>
      </w:r>
      <w:r w:rsidR="00861A58">
        <w:rPr>
          <w:rFonts w:ascii="Arial" w:hAnsi="Arial" w:cs="Arial"/>
        </w:rPr>
        <w:t>domestic</w:t>
      </w:r>
      <w:r w:rsidR="000D3226">
        <w:rPr>
          <w:rFonts w:ascii="Arial" w:hAnsi="Arial" w:cs="Arial"/>
        </w:rPr>
        <w:t xml:space="preserve"> legislation prior to the commencement of the GRB </w:t>
      </w:r>
      <w:r w:rsidR="007319B6">
        <w:rPr>
          <w:rFonts w:ascii="Arial" w:hAnsi="Arial" w:cs="Arial"/>
        </w:rPr>
        <w:t>will be saved</w:t>
      </w:r>
      <w:r w:rsidR="000D3226">
        <w:rPr>
          <w:rFonts w:ascii="Arial" w:hAnsi="Arial" w:cs="Arial"/>
        </w:rPr>
        <w:t xml:space="preserve"> and continue to have effect in the same way that it currently does. </w:t>
      </w:r>
      <w:r w:rsidR="001135EA">
        <w:rPr>
          <w:rFonts w:ascii="Arial" w:hAnsi="Arial" w:cs="Arial"/>
        </w:rPr>
        <w:t>This is achieved by section 2 GRB which creates a concept of “EU-derived domestic legislation”</w:t>
      </w:r>
      <w:r w:rsidR="00BB6CDB">
        <w:rPr>
          <w:rFonts w:ascii="Arial" w:hAnsi="Arial" w:cs="Arial"/>
        </w:rPr>
        <w:t xml:space="preserve"> that </w:t>
      </w:r>
      <w:r w:rsidR="00902DA9">
        <w:rPr>
          <w:rFonts w:ascii="Arial" w:hAnsi="Arial" w:cs="Arial"/>
        </w:rPr>
        <w:t xml:space="preserve">encompasses section 2(2) ECA secondary legislation as well as </w:t>
      </w:r>
      <w:r w:rsidR="007319B6">
        <w:rPr>
          <w:rFonts w:ascii="Arial" w:hAnsi="Arial" w:cs="Arial"/>
        </w:rPr>
        <w:t xml:space="preserve">domestic </w:t>
      </w:r>
      <w:r w:rsidR="00BB6CDB">
        <w:rPr>
          <w:rFonts w:ascii="Arial" w:hAnsi="Arial" w:cs="Arial"/>
        </w:rPr>
        <w:t xml:space="preserve">legislation which, while not made under section 2(2) ECA, was either specifically passed or made </w:t>
      </w:r>
      <w:r w:rsidR="00341BFF">
        <w:rPr>
          <w:rFonts w:ascii="Arial" w:hAnsi="Arial" w:cs="Arial"/>
        </w:rPr>
        <w:t>for the purpose</w:t>
      </w:r>
      <w:r w:rsidR="00BB6CDB">
        <w:rPr>
          <w:rFonts w:ascii="Arial" w:hAnsi="Arial" w:cs="Arial"/>
        </w:rPr>
        <w:t xml:space="preserve"> of implementing EU obligations (section</w:t>
      </w:r>
      <w:r w:rsidR="00AF09CF">
        <w:rPr>
          <w:rFonts w:ascii="Arial" w:hAnsi="Arial" w:cs="Arial"/>
        </w:rPr>
        <w:t>s</w:t>
      </w:r>
      <w:r w:rsidR="00BB6CDB">
        <w:rPr>
          <w:rFonts w:ascii="Arial" w:hAnsi="Arial" w:cs="Arial"/>
        </w:rPr>
        <w:t xml:space="preserve"> 2(2)(b)-(d) GRB)</w:t>
      </w:r>
      <w:r w:rsidR="000866AB">
        <w:rPr>
          <w:rFonts w:ascii="Arial" w:hAnsi="Arial" w:cs="Arial"/>
        </w:rPr>
        <w:t>.</w:t>
      </w:r>
      <w:r w:rsidR="00BB6CDB">
        <w:rPr>
          <w:rStyle w:val="FootnoteReference"/>
          <w:rFonts w:ascii="Arial" w:hAnsi="Arial" w:cs="Arial"/>
        </w:rPr>
        <w:footnoteReference w:id="12"/>
      </w:r>
      <w:r w:rsidR="00BB6CDB">
        <w:rPr>
          <w:rFonts w:ascii="Arial" w:hAnsi="Arial" w:cs="Arial"/>
        </w:rPr>
        <w:t xml:space="preserve"> </w:t>
      </w:r>
      <w:r w:rsidR="007319B6">
        <w:rPr>
          <w:rFonts w:ascii="Arial" w:hAnsi="Arial" w:cs="Arial"/>
        </w:rPr>
        <w:t xml:space="preserve">Section 2(1) GRB provides that, to the extent </w:t>
      </w:r>
      <w:r w:rsidR="0091458E">
        <w:rPr>
          <w:rFonts w:ascii="Arial" w:hAnsi="Arial" w:cs="Arial"/>
        </w:rPr>
        <w:t xml:space="preserve">that </w:t>
      </w:r>
      <w:r w:rsidR="007319B6">
        <w:rPr>
          <w:rFonts w:ascii="Arial" w:hAnsi="Arial" w:cs="Arial"/>
        </w:rPr>
        <w:t>such</w:t>
      </w:r>
      <w:r w:rsidR="000866AB">
        <w:rPr>
          <w:rFonts w:ascii="Arial" w:hAnsi="Arial" w:cs="Arial"/>
        </w:rPr>
        <w:t xml:space="preserve"> </w:t>
      </w:r>
      <w:r w:rsidR="007319B6">
        <w:rPr>
          <w:rFonts w:ascii="Arial" w:hAnsi="Arial" w:cs="Arial"/>
        </w:rPr>
        <w:t xml:space="preserve">EU-derived domestic legislation </w:t>
      </w:r>
      <w:r w:rsidR="000866AB">
        <w:rPr>
          <w:rFonts w:ascii="Arial" w:hAnsi="Arial" w:cs="Arial"/>
        </w:rPr>
        <w:t xml:space="preserve">“has effect in domestic </w:t>
      </w:r>
      <w:r w:rsidR="007319B6">
        <w:rPr>
          <w:rFonts w:ascii="Arial" w:hAnsi="Arial" w:cs="Arial"/>
        </w:rPr>
        <w:t>law immediately before exit day”</w:t>
      </w:r>
      <w:r w:rsidR="0091458E">
        <w:rPr>
          <w:rFonts w:ascii="Arial" w:hAnsi="Arial" w:cs="Arial"/>
        </w:rPr>
        <w:t>,</w:t>
      </w:r>
      <w:r w:rsidR="000866AB">
        <w:rPr>
          <w:rFonts w:ascii="Arial" w:hAnsi="Arial" w:cs="Arial"/>
        </w:rPr>
        <w:t xml:space="preserve"> </w:t>
      </w:r>
      <w:r w:rsidR="007319B6">
        <w:rPr>
          <w:rFonts w:ascii="Arial" w:hAnsi="Arial" w:cs="Arial"/>
        </w:rPr>
        <w:t>it shall “continue</w:t>
      </w:r>
      <w:r w:rsidR="000866AB">
        <w:rPr>
          <w:rFonts w:ascii="Arial" w:hAnsi="Arial" w:cs="Arial"/>
        </w:rPr>
        <w:t xml:space="preserve"> to have effect in domestic law on </w:t>
      </w:r>
      <w:r w:rsidR="00F93AA2">
        <w:rPr>
          <w:rFonts w:ascii="Arial" w:hAnsi="Arial" w:cs="Arial"/>
        </w:rPr>
        <w:t>or after exit day” (section 2(1</w:t>
      </w:r>
      <w:r w:rsidR="000866AB">
        <w:rPr>
          <w:rFonts w:ascii="Arial" w:hAnsi="Arial" w:cs="Arial"/>
        </w:rPr>
        <w:t xml:space="preserve">) GRB). </w:t>
      </w:r>
    </w:p>
    <w:p w:rsidR="00A74DE7" w:rsidRDefault="00352818" w:rsidP="00422639">
      <w:pPr>
        <w:pStyle w:val="ListParagraph"/>
        <w:numPr>
          <w:ilvl w:val="1"/>
          <w:numId w:val="5"/>
        </w:numPr>
        <w:spacing w:after="240" w:line="360" w:lineRule="auto"/>
        <w:contextualSpacing w:val="0"/>
        <w:jc w:val="both"/>
        <w:rPr>
          <w:rFonts w:ascii="Arial" w:hAnsi="Arial" w:cs="Arial"/>
        </w:rPr>
      </w:pPr>
      <w:r>
        <w:rPr>
          <w:rFonts w:ascii="Arial" w:hAnsi="Arial" w:cs="Arial"/>
          <w:b/>
        </w:rPr>
        <w:t xml:space="preserve">EU regulations, decisions and tertiary legislation. </w:t>
      </w:r>
      <w:r w:rsidR="0091458E">
        <w:rPr>
          <w:rFonts w:ascii="Arial" w:hAnsi="Arial" w:cs="Arial"/>
        </w:rPr>
        <w:t>S</w:t>
      </w:r>
      <w:r w:rsidR="00861A58">
        <w:rPr>
          <w:rFonts w:ascii="Arial" w:hAnsi="Arial" w:cs="Arial"/>
        </w:rPr>
        <w:t xml:space="preserve">ection 3 GRB provides that </w:t>
      </w:r>
      <w:r w:rsidR="000B5EEA">
        <w:rPr>
          <w:rFonts w:ascii="Arial" w:hAnsi="Arial" w:cs="Arial"/>
        </w:rPr>
        <w:t>c</w:t>
      </w:r>
      <w:r w:rsidR="002D20AD">
        <w:rPr>
          <w:rFonts w:ascii="Arial" w:hAnsi="Arial" w:cs="Arial"/>
        </w:rPr>
        <w:t>ertain</w:t>
      </w:r>
      <w:r w:rsidR="003B61E1">
        <w:rPr>
          <w:rFonts w:ascii="Arial" w:hAnsi="Arial" w:cs="Arial"/>
        </w:rPr>
        <w:t xml:space="preserve"> categories of </w:t>
      </w:r>
      <w:r w:rsidR="00B5595D">
        <w:rPr>
          <w:rFonts w:ascii="Arial" w:hAnsi="Arial" w:cs="Arial"/>
        </w:rPr>
        <w:t>EU legislation</w:t>
      </w:r>
      <w:r w:rsidR="003B61E1">
        <w:rPr>
          <w:rFonts w:ascii="Arial" w:hAnsi="Arial" w:cs="Arial"/>
        </w:rPr>
        <w:t xml:space="preserve"> </w:t>
      </w:r>
      <w:r w:rsidR="00341BFF">
        <w:rPr>
          <w:rFonts w:ascii="Arial" w:hAnsi="Arial" w:cs="Arial"/>
        </w:rPr>
        <w:t>will “form part of domestic law on and after exit day” (section 3(1) GRB)</w:t>
      </w:r>
      <w:r w:rsidR="003B61E1">
        <w:rPr>
          <w:rFonts w:ascii="Arial" w:hAnsi="Arial" w:cs="Arial"/>
        </w:rPr>
        <w:t xml:space="preserve">. </w:t>
      </w:r>
      <w:r w:rsidR="00A74DE7">
        <w:rPr>
          <w:rFonts w:ascii="Arial" w:hAnsi="Arial" w:cs="Arial"/>
        </w:rPr>
        <w:t>Specifically, this</w:t>
      </w:r>
      <w:r w:rsidR="00341BFF">
        <w:rPr>
          <w:rFonts w:ascii="Arial" w:hAnsi="Arial" w:cs="Arial"/>
        </w:rPr>
        <w:t xml:space="preserve"> is the case for</w:t>
      </w:r>
      <w:r w:rsidR="003B61E1">
        <w:rPr>
          <w:rFonts w:ascii="Arial" w:hAnsi="Arial" w:cs="Arial"/>
        </w:rPr>
        <w:t xml:space="preserve"> “direct EU legislation”</w:t>
      </w:r>
      <w:r w:rsidR="00AF09CF">
        <w:rPr>
          <w:rFonts w:ascii="Arial" w:hAnsi="Arial" w:cs="Arial"/>
        </w:rPr>
        <w:t xml:space="preserve"> </w:t>
      </w:r>
      <w:r w:rsidR="00AF1569">
        <w:rPr>
          <w:rFonts w:ascii="Arial" w:hAnsi="Arial" w:cs="Arial"/>
        </w:rPr>
        <w:t>which is</w:t>
      </w:r>
      <w:r w:rsidR="00AF09CF">
        <w:rPr>
          <w:rFonts w:ascii="Arial" w:hAnsi="Arial" w:cs="Arial"/>
        </w:rPr>
        <w:t xml:space="preserve"> </w:t>
      </w:r>
      <w:r w:rsidR="003B61E1">
        <w:rPr>
          <w:rFonts w:ascii="Arial" w:hAnsi="Arial" w:cs="Arial"/>
        </w:rPr>
        <w:t xml:space="preserve">defined </w:t>
      </w:r>
      <w:r w:rsidR="00C64927">
        <w:rPr>
          <w:rFonts w:ascii="Arial" w:hAnsi="Arial" w:cs="Arial"/>
        </w:rPr>
        <w:t>in section 3(2)</w:t>
      </w:r>
      <w:r w:rsidR="00AF1569">
        <w:rPr>
          <w:rFonts w:ascii="Arial" w:hAnsi="Arial" w:cs="Arial"/>
        </w:rPr>
        <w:t>(a)</w:t>
      </w:r>
      <w:r w:rsidR="00C64927">
        <w:rPr>
          <w:rFonts w:ascii="Arial" w:hAnsi="Arial" w:cs="Arial"/>
        </w:rPr>
        <w:t xml:space="preserve"> GRB</w:t>
      </w:r>
      <w:r w:rsidR="00AF1569">
        <w:rPr>
          <w:rFonts w:ascii="Arial" w:hAnsi="Arial" w:cs="Arial"/>
        </w:rPr>
        <w:t xml:space="preserve"> as encompassing</w:t>
      </w:r>
      <w:r w:rsidR="00341BFF">
        <w:rPr>
          <w:rFonts w:ascii="Arial" w:hAnsi="Arial" w:cs="Arial"/>
        </w:rPr>
        <w:t xml:space="preserve"> </w:t>
      </w:r>
      <w:r w:rsidR="00AF09CF">
        <w:rPr>
          <w:rFonts w:ascii="Arial" w:hAnsi="Arial" w:cs="Arial"/>
        </w:rPr>
        <w:t xml:space="preserve">any </w:t>
      </w:r>
      <w:r w:rsidR="003B61E1">
        <w:rPr>
          <w:rFonts w:ascii="Arial" w:hAnsi="Arial" w:cs="Arial"/>
        </w:rPr>
        <w:t xml:space="preserve">EU regulation, </w:t>
      </w:r>
      <w:r w:rsidR="00A74DE7">
        <w:rPr>
          <w:rFonts w:ascii="Arial" w:hAnsi="Arial" w:cs="Arial"/>
        </w:rPr>
        <w:t xml:space="preserve">EU </w:t>
      </w:r>
      <w:r w:rsidR="003B61E1">
        <w:rPr>
          <w:rFonts w:ascii="Arial" w:hAnsi="Arial" w:cs="Arial"/>
        </w:rPr>
        <w:t xml:space="preserve">decision </w:t>
      </w:r>
      <w:r w:rsidR="003E5576">
        <w:rPr>
          <w:rFonts w:ascii="Arial" w:hAnsi="Arial" w:cs="Arial"/>
        </w:rPr>
        <w:t>and</w:t>
      </w:r>
      <w:r w:rsidR="00A74DE7">
        <w:rPr>
          <w:rFonts w:ascii="Arial" w:hAnsi="Arial" w:cs="Arial"/>
        </w:rPr>
        <w:t xml:space="preserve"> EU</w:t>
      </w:r>
      <w:r w:rsidR="002D20AD">
        <w:rPr>
          <w:rFonts w:ascii="Arial" w:hAnsi="Arial" w:cs="Arial"/>
        </w:rPr>
        <w:t xml:space="preserve"> tertiary legislation “which has effect in EU law immediately before exit day”</w:t>
      </w:r>
      <w:r w:rsidR="003E5576">
        <w:rPr>
          <w:rFonts w:ascii="Arial" w:hAnsi="Arial" w:cs="Arial"/>
        </w:rPr>
        <w:t xml:space="preserve"> </w:t>
      </w:r>
      <w:r w:rsidR="000B1E48">
        <w:rPr>
          <w:rFonts w:ascii="Arial" w:hAnsi="Arial" w:cs="Arial"/>
        </w:rPr>
        <w:t>(</w:t>
      </w:r>
      <w:r w:rsidR="003E5576">
        <w:rPr>
          <w:rFonts w:ascii="Arial" w:hAnsi="Arial" w:cs="Arial"/>
        </w:rPr>
        <w:t>subject to certain exceptions</w:t>
      </w:r>
      <w:r w:rsidR="000B1E48">
        <w:rPr>
          <w:rStyle w:val="FootnoteReference"/>
          <w:rFonts w:ascii="Arial" w:hAnsi="Arial" w:cs="Arial"/>
        </w:rPr>
        <w:footnoteReference w:id="13"/>
      </w:r>
      <w:r w:rsidR="000B1E48">
        <w:rPr>
          <w:rFonts w:ascii="Arial" w:hAnsi="Arial" w:cs="Arial"/>
        </w:rPr>
        <w:t>)</w:t>
      </w:r>
      <w:r w:rsidR="003E5576">
        <w:rPr>
          <w:rFonts w:ascii="Arial" w:hAnsi="Arial" w:cs="Arial"/>
        </w:rPr>
        <w:t>.</w:t>
      </w:r>
      <w:r w:rsidR="008263B3">
        <w:rPr>
          <w:rFonts w:ascii="Arial" w:hAnsi="Arial" w:cs="Arial"/>
        </w:rPr>
        <w:t xml:space="preserve"> Section</w:t>
      </w:r>
      <w:r w:rsidR="00A74DE7">
        <w:rPr>
          <w:rFonts w:ascii="Arial" w:hAnsi="Arial" w:cs="Arial"/>
        </w:rPr>
        <w:t>s</w:t>
      </w:r>
      <w:r w:rsidR="008263B3">
        <w:rPr>
          <w:rFonts w:ascii="Arial" w:hAnsi="Arial" w:cs="Arial"/>
        </w:rPr>
        <w:t xml:space="preserve"> 3(2)(b) and (c)</w:t>
      </w:r>
      <w:r w:rsidR="00AF1569">
        <w:rPr>
          <w:rFonts w:ascii="Arial" w:hAnsi="Arial" w:cs="Arial"/>
        </w:rPr>
        <w:t xml:space="preserve"> GRB</w:t>
      </w:r>
      <w:r w:rsidR="000B1E48">
        <w:rPr>
          <w:rFonts w:ascii="Arial" w:hAnsi="Arial" w:cs="Arial"/>
        </w:rPr>
        <w:t xml:space="preserve"> ensure the</w:t>
      </w:r>
      <w:r w:rsidR="005A1F9C">
        <w:rPr>
          <w:rFonts w:ascii="Arial" w:hAnsi="Arial" w:cs="Arial"/>
        </w:rPr>
        <w:t xml:space="preserve"> same approach is taken</w:t>
      </w:r>
      <w:r w:rsidR="000B1E48">
        <w:rPr>
          <w:rFonts w:ascii="Arial" w:hAnsi="Arial" w:cs="Arial"/>
        </w:rPr>
        <w:t xml:space="preserve"> </w:t>
      </w:r>
      <w:r w:rsidR="005A1F9C">
        <w:rPr>
          <w:rFonts w:ascii="Arial" w:hAnsi="Arial" w:cs="Arial"/>
        </w:rPr>
        <w:t>in relation to</w:t>
      </w:r>
      <w:r w:rsidR="008263B3">
        <w:rPr>
          <w:rFonts w:ascii="Arial" w:hAnsi="Arial" w:cs="Arial"/>
        </w:rPr>
        <w:t xml:space="preserve"> </w:t>
      </w:r>
      <w:r w:rsidR="00861A58">
        <w:rPr>
          <w:rFonts w:ascii="Arial" w:hAnsi="Arial" w:cs="Arial"/>
        </w:rPr>
        <w:t>such EU</w:t>
      </w:r>
      <w:r w:rsidR="008263B3">
        <w:rPr>
          <w:rFonts w:ascii="Arial" w:hAnsi="Arial" w:cs="Arial"/>
        </w:rPr>
        <w:t xml:space="preserve"> legislation as </w:t>
      </w:r>
      <w:r w:rsidR="00861A58">
        <w:rPr>
          <w:rFonts w:ascii="Arial" w:hAnsi="Arial" w:cs="Arial"/>
        </w:rPr>
        <w:t>it applies</w:t>
      </w:r>
      <w:r w:rsidR="008263B3">
        <w:rPr>
          <w:rFonts w:ascii="Arial" w:hAnsi="Arial" w:cs="Arial"/>
        </w:rPr>
        <w:t xml:space="preserve"> to the EEA. </w:t>
      </w:r>
      <w:r w:rsidR="00A74DE7">
        <w:rPr>
          <w:rFonts w:ascii="Arial" w:hAnsi="Arial" w:cs="Arial"/>
        </w:rPr>
        <w:t xml:space="preserve">A number of additional points are worth noting about this </w:t>
      </w:r>
      <w:r w:rsidR="00F93AA2">
        <w:rPr>
          <w:rFonts w:ascii="Arial" w:hAnsi="Arial" w:cs="Arial"/>
        </w:rPr>
        <w:t xml:space="preserve">new </w:t>
      </w:r>
      <w:r w:rsidR="00A74DE7">
        <w:rPr>
          <w:rFonts w:ascii="Arial" w:hAnsi="Arial" w:cs="Arial"/>
        </w:rPr>
        <w:t xml:space="preserve">concept of “direct EU legislation”: </w:t>
      </w:r>
    </w:p>
    <w:p w:rsidR="00E87C3D" w:rsidRDefault="0091458E" w:rsidP="00A74DE7">
      <w:pPr>
        <w:pStyle w:val="ListParagraph"/>
        <w:numPr>
          <w:ilvl w:val="2"/>
          <w:numId w:val="5"/>
        </w:numPr>
        <w:spacing w:after="240" w:line="360" w:lineRule="auto"/>
        <w:contextualSpacing w:val="0"/>
        <w:jc w:val="both"/>
        <w:rPr>
          <w:rFonts w:ascii="Arial" w:hAnsi="Arial" w:cs="Arial"/>
        </w:rPr>
      </w:pPr>
      <w:r>
        <w:rPr>
          <w:rFonts w:ascii="Arial" w:hAnsi="Arial" w:cs="Arial"/>
        </w:rPr>
        <w:t>T</w:t>
      </w:r>
      <w:r w:rsidR="00E87C3D">
        <w:rPr>
          <w:rFonts w:ascii="Arial" w:hAnsi="Arial" w:cs="Arial"/>
        </w:rPr>
        <w:t>he</w:t>
      </w:r>
      <w:r w:rsidR="00C64927">
        <w:rPr>
          <w:rFonts w:ascii="Arial" w:hAnsi="Arial" w:cs="Arial"/>
        </w:rPr>
        <w:t xml:space="preserve"> Explanatory Notes to the </w:t>
      </w:r>
      <w:r w:rsidR="00AF09CF">
        <w:rPr>
          <w:rFonts w:ascii="Arial" w:hAnsi="Arial" w:cs="Arial"/>
        </w:rPr>
        <w:t>GRB</w:t>
      </w:r>
      <w:r w:rsidR="00C64927">
        <w:rPr>
          <w:rFonts w:ascii="Arial" w:hAnsi="Arial" w:cs="Arial"/>
        </w:rPr>
        <w:t xml:space="preserve"> make clear that where EU legislation is converted into domestic law under </w:t>
      </w:r>
      <w:r w:rsidR="00014B84">
        <w:rPr>
          <w:rFonts w:ascii="Arial" w:hAnsi="Arial" w:cs="Arial"/>
        </w:rPr>
        <w:t>section 3</w:t>
      </w:r>
      <w:r>
        <w:rPr>
          <w:rFonts w:ascii="Arial" w:hAnsi="Arial" w:cs="Arial"/>
        </w:rPr>
        <w:t>,</w:t>
      </w:r>
      <w:r w:rsidR="00C64927">
        <w:rPr>
          <w:rFonts w:ascii="Arial" w:hAnsi="Arial" w:cs="Arial"/>
        </w:rPr>
        <w:t xml:space="preserve"> it is</w:t>
      </w:r>
      <w:r w:rsidR="00E87C3D">
        <w:rPr>
          <w:rFonts w:ascii="Arial" w:hAnsi="Arial" w:cs="Arial"/>
        </w:rPr>
        <w:t xml:space="preserve"> the</w:t>
      </w:r>
      <w:r w:rsidR="00C64927">
        <w:rPr>
          <w:rFonts w:ascii="Arial" w:hAnsi="Arial" w:cs="Arial"/>
        </w:rPr>
        <w:t xml:space="preserve"> full </w:t>
      </w:r>
      <w:r w:rsidR="00AC292E">
        <w:rPr>
          <w:rFonts w:ascii="Arial" w:hAnsi="Arial" w:cs="Arial"/>
        </w:rPr>
        <w:t xml:space="preserve">English language </w:t>
      </w:r>
      <w:r w:rsidR="00C64927">
        <w:rPr>
          <w:rFonts w:ascii="Arial" w:hAnsi="Arial" w:cs="Arial"/>
        </w:rPr>
        <w:t>text of any EU instrument which will form part of domestic legislation</w:t>
      </w:r>
      <w:r w:rsidR="00AC292E">
        <w:rPr>
          <w:rFonts w:ascii="Arial" w:hAnsi="Arial" w:cs="Arial"/>
        </w:rPr>
        <w:t xml:space="preserve"> (including the recitals)</w:t>
      </w:r>
      <w:r w:rsidR="000B1E48">
        <w:rPr>
          <w:rFonts w:ascii="Arial" w:hAnsi="Arial" w:cs="Arial"/>
        </w:rPr>
        <w:t>.</w:t>
      </w:r>
      <w:r w:rsidR="00F3571F">
        <w:rPr>
          <w:rStyle w:val="FootnoteReference"/>
          <w:rFonts w:ascii="Arial" w:hAnsi="Arial" w:cs="Arial"/>
        </w:rPr>
        <w:footnoteReference w:id="14"/>
      </w:r>
      <w:r w:rsidR="00F3571F">
        <w:rPr>
          <w:rFonts w:ascii="Arial" w:hAnsi="Arial" w:cs="Arial"/>
        </w:rPr>
        <w:t xml:space="preserve"> </w:t>
      </w:r>
      <w:r w:rsidR="00C64927">
        <w:rPr>
          <w:rFonts w:ascii="Arial" w:hAnsi="Arial" w:cs="Arial"/>
        </w:rPr>
        <w:t xml:space="preserve"> </w:t>
      </w:r>
    </w:p>
    <w:p w:rsidR="00F3571F" w:rsidRDefault="0091458E" w:rsidP="00F3571F">
      <w:pPr>
        <w:pStyle w:val="ListParagraph"/>
        <w:numPr>
          <w:ilvl w:val="2"/>
          <w:numId w:val="5"/>
        </w:numPr>
        <w:spacing w:after="240" w:line="360" w:lineRule="auto"/>
        <w:contextualSpacing w:val="0"/>
        <w:jc w:val="both"/>
        <w:rPr>
          <w:rFonts w:ascii="Arial" w:hAnsi="Arial" w:cs="Arial"/>
        </w:rPr>
      </w:pPr>
      <w:r>
        <w:rPr>
          <w:rFonts w:ascii="Arial" w:hAnsi="Arial" w:cs="Arial"/>
        </w:rPr>
        <w:t>To</w:t>
      </w:r>
      <w:r w:rsidR="00F3571F">
        <w:rPr>
          <w:rFonts w:ascii="Arial" w:hAnsi="Arial" w:cs="Arial"/>
        </w:rPr>
        <w:t xml:space="preserve"> the extent that direct EU legislation is converted into domestic law under section 3 of the GRB, such legislation </w:t>
      </w:r>
      <w:r w:rsidR="00AF1569">
        <w:rPr>
          <w:rFonts w:ascii="Arial" w:hAnsi="Arial" w:cs="Arial"/>
        </w:rPr>
        <w:t>then becomes</w:t>
      </w:r>
      <w:r w:rsidR="00F3571F">
        <w:rPr>
          <w:rFonts w:ascii="Arial" w:hAnsi="Arial" w:cs="Arial"/>
        </w:rPr>
        <w:t xml:space="preserve"> “retained direct EU legislation”, in accordance with the definition</w:t>
      </w:r>
      <w:r w:rsidR="000B1E48">
        <w:rPr>
          <w:rFonts w:ascii="Arial" w:hAnsi="Arial" w:cs="Arial"/>
        </w:rPr>
        <w:t>s contained</w:t>
      </w:r>
      <w:r w:rsidR="00F3571F">
        <w:rPr>
          <w:rFonts w:ascii="Arial" w:hAnsi="Arial" w:cs="Arial"/>
        </w:rPr>
        <w:t xml:space="preserve"> in section 14. Under paragraph 1(1) of Schedule 5 to the GRB, </w:t>
      </w:r>
      <w:r>
        <w:rPr>
          <w:rFonts w:ascii="Arial" w:hAnsi="Arial" w:cs="Arial"/>
        </w:rPr>
        <w:t>“</w:t>
      </w:r>
      <w:r w:rsidR="00F3571F">
        <w:rPr>
          <w:rFonts w:ascii="Arial" w:hAnsi="Arial" w:cs="Arial"/>
        </w:rPr>
        <w:t>retained direct EU legislation</w:t>
      </w:r>
      <w:r>
        <w:rPr>
          <w:rFonts w:ascii="Arial" w:hAnsi="Arial" w:cs="Arial"/>
        </w:rPr>
        <w:t>”</w:t>
      </w:r>
      <w:r w:rsidR="00F3571F">
        <w:rPr>
          <w:rFonts w:ascii="Arial" w:hAnsi="Arial" w:cs="Arial"/>
        </w:rPr>
        <w:t xml:space="preserve"> will have to be </w:t>
      </w:r>
      <w:r w:rsidR="00444A12">
        <w:rPr>
          <w:rFonts w:ascii="Arial" w:hAnsi="Arial" w:cs="Arial"/>
        </w:rPr>
        <w:t>re-</w:t>
      </w:r>
      <w:r w:rsidR="00F3571F">
        <w:rPr>
          <w:rFonts w:ascii="Arial" w:hAnsi="Arial" w:cs="Arial"/>
        </w:rPr>
        <w:t>published in the UK</w:t>
      </w:r>
      <w:r w:rsidR="003E1534">
        <w:rPr>
          <w:rFonts w:ascii="Arial" w:hAnsi="Arial" w:cs="Arial"/>
        </w:rPr>
        <w:t xml:space="preserve"> by the Queen’s printer</w:t>
      </w:r>
      <w:r w:rsidR="00F3571F">
        <w:rPr>
          <w:rFonts w:ascii="Arial" w:hAnsi="Arial" w:cs="Arial"/>
        </w:rPr>
        <w:t xml:space="preserve"> in order to ensure that this new </w:t>
      </w:r>
      <w:r w:rsidR="00444A12">
        <w:rPr>
          <w:rFonts w:ascii="Arial" w:hAnsi="Arial" w:cs="Arial"/>
        </w:rPr>
        <w:t>species</w:t>
      </w:r>
      <w:r w:rsidR="00F3571F">
        <w:rPr>
          <w:rFonts w:ascii="Arial" w:hAnsi="Arial" w:cs="Arial"/>
        </w:rPr>
        <w:t xml:space="preserve"> of domestic legislation is publicly accessible – i.e. from a practical perspective, it will not be the EU versions of these texts that are authoritative post-Brexit; </w:t>
      </w:r>
      <w:r w:rsidR="00AF1569">
        <w:rPr>
          <w:rFonts w:ascii="Arial" w:hAnsi="Arial" w:cs="Arial"/>
        </w:rPr>
        <w:t>rather, the</w:t>
      </w:r>
      <w:r w:rsidR="00F3571F">
        <w:rPr>
          <w:rFonts w:ascii="Arial" w:hAnsi="Arial" w:cs="Arial"/>
        </w:rPr>
        <w:t xml:space="preserve"> UK will produce its own versions of the relevant EU legislation</w:t>
      </w:r>
      <w:r w:rsidR="00444A12">
        <w:rPr>
          <w:rFonts w:ascii="Arial" w:hAnsi="Arial" w:cs="Arial"/>
        </w:rPr>
        <w:t xml:space="preserve"> that is to form part of </w:t>
      </w:r>
      <w:r w:rsidR="003E1534">
        <w:rPr>
          <w:rFonts w:ascii="Arial" w:hAnsi="Arial" w:cs="Arial"/>
        </w:rPr>
        <w:t xml:space="preserve">its </w:t>
      </w:r>
      <w:r w:rsidR="00444A12">
        <w:rPr>
          <w:rFonts w:ascii="Arial" w:hAnsi="Arial" w:cs="Arial"/>
        </w:rPr>
        <w:t>domestic law going forwards.</w:t>
      </w:r>
      <w:r w:rsidR="00F3571F">
        <w:rPr>
          <w:rFonts w:ascii="Arial" w:hAnsi="Arial" w:cs="Arial"/>
        </w:rPr>
        <w:t xml:space="preserve"> </w:t>
      </w:r>
    </w:p>
    <w:p w:rsidR="00F3571F" w:rsidRDefault="0091458E" w:rsidP="00A74DE7">
      <w:pPr>
        <w:pStyle w:val="ListParagraph"/>
        <w:numPr>
          <w:ilvl w:val="2"/>
          <w:numId w:val="5"/>
        </w:numPr>
        <w:spacing w:after="240" w:line="360" w:lineRule="auto"/>
        <w:contextualSpacing w:val="0"/>
        <w:jc w:val="both"/>
        <w:rPr>
          <w:rFonts w:ascii="Arial" w:hAnsi="Arial" w:cs="Arial"/>
        </w:rPr>
      </w:pPr>
      <w:r>
        <w:rPr>
          <w:rFonts w:ascii="Arial" w:hAnsi="Arial" w:cs="Arial"/>
        </w:rPr>
        <w:t>P</w:t>
      </w:r>
      <w:r w:rsidR="00F3571F">
        <w:rPr>
          <w:rFonts w:ascii="Arial" w:hAnsi="Arial" w:cs="Arial"/>
        </w:rPr>
        <w:t xml:space="preserve">aragraph 18 of Schedule 8 to the GRB provides that “for the purposes of the Human Rights Act 1998, any retained direct EU legislation is to be treated as primary legislation and not subordinate legislation”. </w:t>
      </w:r>
      <w:r w:rsidR="00444A12">
        <w:rPr>
          <w:rFonts w:ascii="Arial" w:hAnsi="Arial" w:cs="Arial"/>
        </w:rPr>
        <w:t xml:space="preserve">The consequence of </w:t>
      </w:r>
      <w:r w:rsidR="003E1534">
        <w:rPr>
          <w:rFonts w:ascii="Arial" w:hAnsi="Arial" w:cs="Arial"/>
        </w:rPr>
        <w:t>this</w:t>
      </w:r>
      <w:r w:rsidR="00444A12">
        <w:rPr>
          <w:rFonts w:ascii="Arial" w:hAnsi="Arial" w:cs="Arial"/>
        </w:rPr>
        <w:t xml:space="preserve"> is that</w:t>
      </w:r>
      <w:r w:rsidR="00F3571F">
        <w:rPr>
          <w:rFonts w:ascii="Arial" w:hAnsi="Arial" w:cs="Arial"/>
        </w:rPr>
        <w:t xml:space="preserve"> it will no</w:t>
      </w:r>
      <w:r w:rsidR="007D15A9">
        <w:rPr>
          <w:rFonts w:ascii="Arial" w:hAnsi="Arial" w:cs="Arial"/>
        </w:rPr>
        <w:t xml:space="preserve">t be possible for the domestic courts to quash any </w:t>
      </w:r>
      <w:r>
        <w:rPr>
          <w:rFonts w:ascii="Arial" w:hAnsi="Arial" w:cs="Arial"/>
        </w:rPr>
        <w:t>“</w:t>
      </w:r>
      <w:r w:rsidR="007D15A9">
        <w:rPr>
          <w:rFonts w:ascii="Arial" w:hAnsi="Arial" w:cs="Arial"/>
        </w:rPr>
        <w:t>retained direct</w:t>
      </w:r>
      <w:r w:rsidR="001E000B">
        <w:rPr>
          <w:rFonts w:ascii="Arial" w:hAnsi="Arial" w:cs="Arial"/>
        </w:rPr>
        <w:t xml:space="preserve"> EU legislation</w:t>
      </w:r>
      <w:r>
        <w:rPr>
          <w:rFonts w:ascii="Arial" w:hAnsi="Arial" w:cs="Arial"/>
        </w:rPr>
        <w:t>”</w:t>
      </w:r>
      <w:r w:rsidR="001E000B">
        <w:rPr>
          <w:rFonts w:ascii="Arial" w:hAnsi="Arial" w:cs="Arial"/>
        </w:rPr>
        <w:t xml:space="preserve"> on the basis</w:t>
      </w:r>
      <w:r w:rsidR="00AF1569">
        <w:rPr>
          <w:rFonts w:ascii="Arial" w:hAnsi="Arial" w:cs="Arial"/>
        </w:rPr>
        <w:t xml:space="preserve"> of incompatibility with the rights guaranteed by the Euro</w:t>
      </w:r>
      <w:r w:rsidR="00F93AA2">
        <w:rPr>
          <w:rFonts w:ascii="Arial" w:hAnsi="Arial" w:cs="Arial"/>
        </w:rPr>
        <w:t>pean Convention on Human Rights</w:t>
      </w:r>
      <w:r w:rsidR="00ED43D8">
        <w:rPr>
          <w:rFonts w:ascii="Arial" w:hAnsi="Arial" w:cs="Arial"/>
        </w:rPr>
        <w:t xml:space="preserve"> – remedies will instead be limited to a section 4 </w:t>
      </w:r>
      <w:r w:rsidR="00F93AA2">
        <w:rPr>
          <w:rFonts w:ascii="Arial" w:hAnsi="Arial" w:cs="Arial"/>
        </w:rPr>
        <w:t>Human Rights Act 1998</w:t>
      </w:r>
      <w:r w:rsidR="00ED43D8">
        <w:rPr>
          <w:rFonts w:ascii="Arial" w:hAnsi="Arial" w:cs="Arial"/>
        </w:rPr>
        <w:t xml:space="preserve"> declaration of incompatibility. No provision is made in the GRB </w:t>
      </w:r>
      <w:r w:rsidR="00444A12">
        <w:rPr>
          <w:rFonts w:ascii="Arial" w:hAnsi="Arial" w:cs="Arial"/>
        </w:rPr>
        <w:t>in relation to</w:t>
      </w:r>
      <w:r w:rsidR="00ED43D8">
        <w:rPr>
          <w:rFonts w:ascii="Arial" w:hAnsi="Arial" w:cs="Arial"/>
        </w:rPr>
        <w:t xml:space="preserve"> the status to be accorded to </w:t>
      </w:r>
      <w:r>
        <w:rPr>
          <w:rFonts w:ascii="Arial" w:hAnsi="Arial" w:cs="Arial"/>
        </w:rPr>
        <w:t>“</w:t>
      </w:r>
      <w:r w:rsidR="00ED43D8">
        <w:rPr>
          <w:rFonts w:ascii="Arial" w:hAnsi="Arial" w:cs="Arial"/>
        </w:rPr>
        <w:t>retained direct EU legislation</w:t>
      </w:r>
      <w:r>
        <w:rPr>
          <w:rFonts w:ascii="Arial" w:hAnsi="Arial" w:cs="Arial"/>
        </w:rPr>
        <w:t>”</w:t>
      </w:r>
      <w:r w:rsidR="00ED43D8">
        <w:rPr>
          <w:rFonts w:ascii="Arial" w:hAnsi="Arial" w:cs="Arial"/>
        </w:rPr>
        <w:t xml:space="preserve"> in other circumstances. </w:t>
      </w:r>
    </w:p>
    <w:p w:rsidR="00532511" w:rsidRDefault="00352818" w:rsidP="0091458E">
      <w:pPr>
        <w:pStyle w:val="ListParagraph"/>
        <w:numPr>
          <w:ilvl w:val="1"/>
          <w:numId w:val="5"/>
        </w:numPr>
        <w:spacing w:after="240" w:line="360" w:lineRule="auto"/>
        <w:contextualSpacing w:val="0"/>
        <w:jc w:val="both"/>
        <w:rPr>
          <w:rFonts w:ascii="Arial" w:hAnsi="Arial" w:cs="Arial"/>
        </w:rPr>
      </w:pPr>
      <w:bookmarkStart w:id="3" w:name="_Ref488250065"/>
      <w:bookmarkEnd w:id="2"/>
      <w:r>
        <w:rPr>
          <w:rFonts w:ascii="Arial" w:hAnsi="Arial" w:cs="Arial"/>
          <w:b/>
        </w:rPr>
        <w:t xml:space="preserve">Directly applicable or effective EU law. </w:t>
      </w:r>
      <w:r w:rsidR="001465EC">
        <w:rPr>
          <w:rFonts w:ascii="Arial" w:hAnsi="Arial" w:cs="Arial"/>
        </w:rPr>
        <w:t>In addition</w:t>
      </w:r>
      <w:r w:rsidR="00444A12">
        <w:rPr>
          <w:rFonts w:ascii="Arial" w:hAnsi="Arial" w:cs="Arial"/>
        </w:rPr>
        <w:t>,</w:t>
      </w:r>
      <w:r w:rsidR="00BD4B43">
        <w:rPr>
          <w:rFonts w:ascii="Arial" w:hAnsi="Arial" w:cs="Arial"/>
        </w:rPr>
        <w:t xml:space="preserve"> a general swee</w:t>
      </w:r>
      <w:r w:rsidR="00ED6921">
        <w:rPr>
          <w:rFonts w:ascii="Arial" w:hAnsi="Arial" w:cs="Arial"/>
        </w:rPr>
        <w:t>p up provision has been created</w:t>
      </w:r>
      <w:r w:rsidR="00BD4B43">
        <w:rPr>
          <w:rFonts w:ascii="Arial" w:hAnsi="Arial" w:cs="Arial"/>
        </w:rPr>
        <w:t xml:space="preserve"> in the form of section 4 GRB</w:t>
      </w:r>
      <w:r w:rsidR="00F73746">
        <w:rPr>
          <w:rFonts w:ascii="Arial" w:hAnsi="Arial" w:cs="Arial"/>
        </w:rPr>
        <w:t>, which applies to directly applicable and effective EU law that is not captured by section 3</w:t>
      </w:r>
      <w:r w:rsidR="00BD4B43">
        <w:rPr>
          <w:rFonts w:ascii="Arial" w:hAnsi="Arial" w:cs="Arial"/>
        </w:rPr>
        <w:t>. S</w:t>
      </w:r>
      <w:r w:rsidR="00F73746">
        <w:rPr>
          <w:rFonts w:ascii="Arial" w:hAnsi="Arial" w:cs="Arial"/>
        </w:rPr>
        <w:t xml:space="preserve">pecifically, section </w:t>
      </w:r>
      <w:r w:rsidR="00BD4B43">
        <w:rPr>
          <w:rFonts w:ascii="Arial" w:hAnsi="Arial" w:cs="Arial"/>
        </w:rPr>
        <w:t>4</w:t>
      </w:r>
      <w:r w:rsidR="00F73746">
        <w:rPr>
          <w:rFonts w:ascii="Arial" w:hAnsi="Arial" w:cs="Arial"/>
        </w:rPr>
        <w:t>(1) GRB</w:t>
      </w:r>
      <w:r w:rsidR="00BD4B43">
        <w:rPr>
          <w:rFonts w:ascii="Arial" w:hAnsi="Arial" w:cs="Arial"/>
        </w:rPr>
        <w:t xml:space="preserve"> provides that any “rights, powers, liabilities, obligations, restrictions, remedies a</w:t>
      </w:r>
      <w:r w:rsidR="00ED6921">
        <w:rPr>
          <w:rFonts w:ascii="Arial" w:hAnsi="Arial" w:cs="Arial"/>
        </w:rPr>
        <w:t xml:space="preserve">nd procedures” which are recognised and available in domestic law immediately before exit day by virtue of section 2(1) ECA will “continue on and after exit day to be recognised and available in domestic law”. </w:t>
      </w:r>
      <w:r w:rsidR="00444A12">
        <w:rPr>
          <w:rFonts w:ascii="Arial" w:hAnsi="Arial" w:cs="Arial"/>
        </w:rPr>
        <w:t xml:space="preserve">This language (of “rights, powers …” etc.) is </w:t>
      </w:r>
      <w:r w:rsidR="003E1534">
        <w:rPr>
          <w:rFonts w:ascii="Arial" w:hAnsi="Arial" w:cs="Arial"/>
        </w:rPr>
        <w:t>lifted</w:t>
      </w:r>
      <w:r w:rsidR="00444A12">
        <w:rPr>
          <w:rFonts w:ascii="Arial" w:hAnsi="Arial" w:cs="Arial"/>
        </w:rPr>
        <w:t xml:space="preserve"> from section 2(1) ECA itself. </w:t>
      </w:r>
    </w:p>
    <w:p w:rsidR="00532511" w:rsidRDefault="00444A12" w:rsidP="00532511">
      <w:pPr>
        <w:pStyle w:val="ListParagraph"/>
        <w:spacing w:after="240" w:line="360" w:lineRule="auto"/>
        <w:ind w:left="1134" w:firstLine="0"/>
        <w:contextualSpacing w:val="0"/>
        <w:jc w:val="both"/>
        <w:rPr>
          <w:rFonts w:ascii="Arial" w:hAnsi="Arial" w:cs="Arial"/>
        </w:rPr>
      </w:pPr>
      <w:r w:rsidRPr="0091458E">
        <w:rPr>
          <w:rFonts w:ascii="Arial" w:hAnsi="Arial" w:cs="Arial"/>
        </w:rPr>
        <w:t xml:space="preserve">The </w:t>
      </w:r>
      <w:r w:rsidR="00D326AD" w:rsidRPr="0091458E">
        <w:rPr>
          <w:rFonts w:ascii="Arial" w:hAnsi="Arial" w:cs="Arial"/>
        </w:rPr>
        <w:t xml:space="preserve">basic </w:t>
      </w:r>
      <w:r w:rsidR="00CF5897" w:rsidRPr="0091458E">
        <w:rPr>
          <w:rFonts w:ascii="Arial" w:hAnsi="Arial" w:cs="Arial"/>
        </w:rPr>
        <w:t>effect</w:t>
      </w:r>
      <w:r w:rsidRPr="0091458E">
        <w:rPr>
          <w:rFonts w:ascii="Arial" w:hAnsi="Arial" w:cs="Arial"/>
        </w:rPr>
        <w:t xml:space="preserve"> of section 4 GRB is</w:t>
      </w:r>
      <w:r w:rsidR="00CF5897" w:rsidRPr="0091458E">
        <w:rPr>
          <w:rFonts w:ascii="Arial" w:hAnsi="Arial" w:cs="Arial"/>
        </w:rPr>
        <w:t xml:space="preserve"> that any directly applicable or effective provisions of EU law (including Treaty articles and provisions of </w:t>
      </w:r>
      <w:r w:rsidR="00D326AD" w:rsidRPr="0091458E">
        <w:rPr>
          <w:rFonts w:ascii="Arial" w:hAnsi="Arial" w:cs="Arial"/>
        </w:rPr>
        <w:t xml:space="preserve">EU </w:t>
      </w:r>
      <w:r w:rsidR="00CF5897" w:rsidRPr="0091458E">
        <w:rPr>
          <w:rFonts w:ascii="Arial" w:hAnsi="Arial" w:cs="Arial"/>
        </w:rPr>
        <w:t>directives</w:t>
      </w:r>
      <w:r w:rsidR="00412602" w:rsidRPr="0091458E">
        <w:rPr>
          <w:rFonts w:ascii="Arial" w:hAnsi="Arial" w:cs="Arial"/>
        </w:rPr>
        <w:t xml:space="preserve">) will also form part of domestic law </w:t>
      </w:r>
      <w:r w:rsidR="00D326AD" w:rsidRPr="0091458E">
        <w:rPr>
          <w:rFonts w:ascii="Arial" w:hAnsi="Arial" w:cs="Arial"/>
        </w:rPr>
        <w:t>post-Brexit</w:t>
      </w:r>
      <w:r w:rsidR="001C5C4E" w:rsidRPr="0091458E">
        <w:rPr>
          <w:rFonts w:ascii="Arial" w:hAnsi="Arial" w:cs="Arial"/>
        </w:rPr>
        <w:t xml:space="preserve">. </w:t>
      </w:r>
    </w:p>
    <w:p w:rsidR="00107F0A" w:rsidRPr="0091458E" w:rsidRDefault="00C41DBF" w:rsidP="00532511">
      <w:pPr>
        <w:pStyle w:val="ListParagraph"/>
        <w:spacing w:after="240" w:line="360" w:lineRule="auto"/>
        <w:ind w:left="1134" w:firstLine="0"/>
        <w:contextualSpacing w:val="0"/>
        <w:jc w:val="both"/>
        <w:rPr>
          <w:rFonts w:ascii="Arial" w:hAnsi="Arial" w:cs="Arial"/>
        </w:rPr>
      </w:pPr>
      <w:r w:rsidRPr="0091458E">
        <w:rPr>
          <w:rFonts w:ascii="Arial" w:hAnsi="Arial" w:cs="Arial"/>
        </w:rPr>
        <w:t xml:space="preserve">That is, however, </w:t>
      </w:r>
      <w:r w:rsidR="00D326AD" w:rsidRPr="0091458E">
        <w:rPr>
          <w:rFonts w:ascii="Arial" w:hAnsi="Arial" w:cs="Arial"/>
        </w:rPr>
        <w:t xml:space="preserve">subject to section 4(2) GRB, which </w:t>
      </w:r>
      <w:r w:rsidRPr="0091458E">
        <w:rPr>
          <w:rFonts w:ascii="Arial" w:hAnsi="Arial" w:cs="Arial"/>
        </w:rPr>
        <w:t xml:space="preserve">contains </w:t>
      </w:r>
      <w:r w:rsidR="00F73746" w:rsidRPr="0091458E">
        <w:rPr>
          <w:rFonts w:ascii="Arial" w:hAnsi="Arial" w:cs="Arial"/>
        </w:rPr>
        <w:t>an important exception</w:t>
      </w:r>
      <w:r w:rsidR="00D326AD" w:rsidRPr="0091458E">
        <w:rPr>
          <w:rFonts w:ascii="Arial" w:hAnsi="Arial" w:cs="Arial"/>
        </w:rPr>
        <w:t xml:space="preserve">. In particular, section 4(2)(b) </w:t>
      </w:r>
      <w:r w:rsidR="00B5118C" w:rsidRPr="0091458E">
        <w:rPr>
          <w:rFonts w:ascii="Arial" w:hAnsi="Arial" w:cs="Arial"/>
        </w:rPr>
        <w:t>states that section 4(1) does not apply</w:t>
      </w:r>
      <w:r w:rsidR="00F73746" w:rsidRPr="0091458E">
        <w:rPr>
          <w:rFonts w:ascii="Arial" w:hAnsi="Arial" w:cs="Arial"/>
        </w:rPr>
        <w:t xml:space="preserve"> to rights, powers, liabilities</w:t>
      </w:r>
      <w:r w:rsidR="00B5118C" w:rsidRPr="0091458E">
        <w:rPr>
          <w:rFonts w:ascii="Arial" w:hAnsi="Arial" w:cs="Arial"/>
        </w:rPr>
        <w:t xml:space="preserve"> </w:t>
      </w:r>
      <w:r w:rsidR="00F73746" w:rsidRPr="0091458E">
        <w:rPr>
          <w:rFonts w:ascii="Arial" w:hAnsi="Arial" w:cs="Arial"/>
        </w:rPr>
        <w:t>etc.</w:t>
      </w:r>
      <w:r w:rsidR="00B5118C" w:rsidRPr="0091458E">
        <w:rPr>
          <w:rFonts w:ascii="Arial" w:hAnsi="Arial" w:cs="Arial"/>
        </w:rPr>
        <w:t xml:space="preserve"> so far as they “arise under an EU directive … a</w:t>
      </w:r>
      <w:r w:rsidR="00296BCD" w:rsidRPr="0091458E">
        <w:rPr>
          <w:rFonts w:ascii="Arial" w:hAnsi="Arial" w:cs="Arial"/>
        </w:rPr>
        <w:t>nd are not of a kind recog</w:t>
      </w:r>
      <w:r w:rsidR="00B5118C" w:rsidRPr="0091458E">
        <w:rPr>
          <w:rFonts w:ascii="Arial" w:hAnsi="Arial" w:cs="Arial"/>
        </w:rPr>
        <w:t>nised by the European Court or any court or tribunal in the United Kingdom in a case decided before exit day (whether or not as an essential part of the decision in this case</w:t>
      </w:r>
      <w:r w:rsidR="00296BCD" w:rsidRPr="0091458E">
        <w:rPr>
          <w:rFonts w:ascii="Arial" w:hAnsi="Arial" w:cs="Arial"/>
        </w:rPr>
        <w:t>)</w:t>
      </w:r>
      <w:r w:rsidR="00B5118C" w:rsidRPr="0091458E">
        <w:rPr>
          <w:rFonts w:ascii="Arial" w:hAnsi="Arial" w:cs="Arial"/>
        </w:rPr>
        <w:t xml:space="preserve">”. </w:t>
      </w:r>
      <w:r w:rsidR="0091458E" w:rsidRPr="0091458E">
        <w:rPr>
          <w:rFonts w:ascii="Arial" w:hAnsi="Arial" w:cs="Arial"/>
        </w:rPr>
        <w:t>T</w:t>
      </w:r>
      <w:r w:rsidR="00107F0A" w:rsidRPr="0091458E">
        <w:rPr>
          <w:rFonts w:ascii="Arial" w:hAnsi="Arial" w:cs="Arial"/>
        </w:rPr>
        <w:t xml:space="preserve">he </w:t>
      </w:r>
      <w:r w:rsidR="00B5118C" w:rsidRPr="0091458E">
        <w:rPr>
          <w:rFonts w:ascii="Arial" w:hAnsi="Arial" w:cs="Arial"/>
        </w:rPr>
        <w:t xml:space="preserve">Explanatory Notes </w:t>
      </w:r>
      <w:r w:rsidR="00107F0A" w:rsidRPr="0091458E">
        <w:rPr>
          <w:rFonts w:ascii="Arial" w:hAnsi="Arial" w:cs="Arial"/>
        </w:rPr>
        <w:t>offer the following explanation as to the</w:t>
      </w:r>
      <w:r w:rsidR="00F61725" w:rsidRPr="0091458E">
        <w:rPr>
          <w:rFonts w:ascii="Arial" w:hAnsi="Arial" w:cs="Arial"/>
        </w:rPr>
        <w:t xml:space="preserve"> intended</w:t>
      </w:r>
      <w:r w:rsidR="00107F0A" w:rsidRPr="0091458E">
        <w:rPr>
          <w:rFonts w:ascii="Arial" w:hAnsi="Arial" w:cs="Arial"/>
        </w:rPr>
        <w:t xml:space="preserve"> effect of </w:t>
      </w:r>
      <w:r w:rsidR="00F3733A">
        <w:rPr>
          <w:rFonts w:ascii="Arial" w:hAnsi="Arial" w:cs="Arial"/>
        </w:rPr>
        <w:t>this section</w:t>
      </w:r>
      <w:r w:rsidR="00107F0A" w:rsidRPr="0091458E">
        <w:rPr>
          <w:rFonts w:ascii="Arial" w:hAnsi="Arial" w:cs="Arial"/>
        </w:rPr>
        <w:t>:</w:t>
      </w:r>
      <w:bookmarkEnd w:id="3"/>
      <w:r w:rsidR="00107F0A" w:rsidRPr="0091458E">
        <w:rPr>
          <w:rFonts w:ascii="Arial" w:hAnsi="Arial" w:cs="Arial"/>
        </w:rPr>
        <w:t xml:space="preserve"> </w:t>
      </w:r>
      <w:r w:rsidR="00B5118C" w:rsidRPr="0091458E">
        <w:rPr>
          <w:rFonts w:ascii="Arial" w:hAnsi="Arial" w:cs="Arial"/>
        </w:rPr>
        <w:t xml:space="preserve"> </w:t>
      </w:r>
      <w:r w:rsidR="00D326AD" w:rsidRPr="0091458E">
        <w:rPr>
          <w:rFonts w:ascii="Arial" w:hAnsi="Arial" w:cs="Arial"/>
        </w:rPr>
        <w:t xml:space="preserve"> </w:t>
      </w:r>
    </w:p>
    <w:p w:rsidR="006D3199" w:rsidRPr="006D3199" w:rsidRDefault="00107F0A" w:rsidP="00316A4B">
      <w:pPr>
        <w:pStyle w:val="ListParagraph"/>
        <w:spacing w:after="360"/>
        <w:ind w:left="1701" w:right="567" w:firstLine="0"/>
        <w:contextualSpacing w:val="0"/>
        <w:jc w:val="both"/>
        <w:rPr>
          <w:rFonts w:ascii="Arial" w:hAnsi="Arial" w:cs="Arial"/>
        </w:rPr>
      </w:pPr>
      <w:r>
        <w:rPr>
          <w:rFonts w:ascii="Arial" w:hAnsi="Arial" w:cs="Arial"/>
        </w:rPr>
        <w:t>“</w:t>
      </w:r>
      <w:r w:rsidR="007B4BFE">
        <w:rPr>
          <w:rFonts w:ascii="Arial" w:hAnsi="Arial" w:cs="Arial"/>
        </w:rPr>
        <w:t>Where directly effective provisions of directives have been recognised by a court of tribunal before exit day, these will be converted into domestic law. However, any directly effective provisions of directives that have not been recognised prior to exit day (to the extent these might exist) will not be converted by this clause.”</w:t>
      </w:r>
      <w:r w:rsidR="007B4BFE">
        <w:rPr>
          <w:rStyle w:val="FootnoteReference"/>
          <w:rFonts w:ascii="Arial" w:hAnsi="Arial" w:cs="Arial"/>
        </w:rPr>
        <w:footnoteReference w:id="15"/>
      </w:r>
    </w:p>
    <w:p w:rsidR="00532511" w:rsidRDefault="00352818" w:rsidP="00422639">
      <w:pPr>
        <w:pStyle w:val="ListParagraph"/>
        <w:numPr>
          <w:ilvl w:val="1"/>
          <w:numId w:val="5"/>
        </w:numPr>
        <w:spacing w:after="240" w:line="360" w:lineRule="auto"/>
        <w:contextualSpacing w:val="0"/>
        <w:jc w:val="both"/>
        <w:rPr>
          <w:rFonts w:ascii="Arial" w:hAnsi="Arial" w:cs="Arial"/>
        </w:rPr>
      </w:pPr>
      <w:bookmarkStart w:id="4" w:name="_Ref488250922"/>
      <w:r>
        <w:rPr>
          <w:rFonts w:ascii="Arial" w:hAnsi="Arial" w:cs="Arial"/>
          <w:b/>
        </w:rPr>
        <w:t xml:space="preserve">EU jurisprudence. </w:t>
      </w:r>
      <w:r w:rsidR="004F731D">
        <w:rPr>
          <w:rFonts w:ascii="Arial" w:hAnsi="Arial" w:cs="Arial"/>
        </w:rPr>
        <w:t xml:space="preserve">Section 6 GRB makes provision </w:t>
      </w:r>
      <w:r w:rsidR="00F3733A">
        <w:rPr>
          <w:rFonts w:ascii="Arial" w:hAnsi="Arial" w:cs="Arial"/>
        </w:rPr>
        <w:t>for</w:t>
      </w:r>
      <w:r w:rsidR="004F731D">
        <w:rPr>
          <w:rFonts w:ascii="Arial" w:hAnsi="Arial" w:cs="Arial"/>
        </w:rPr>
        <w:t xml:space="preserve"> the interpretation of retained EU law</w:t>
      </w:r>
      <w:r>
        <w:rPr>
          <w:rFonts w:ascii="Arial" w:hAnsi="Arial" w:cs="Arial"/>
        </w:rPr>
        <w:t xml:space="preserve"> and the role to be played by EU jurisprudence post Brexit</w:t>
      </w:r>
      <w:r w:rsidR="004F731D">
        <w:rPr>
          <w:rFonts w:ascii="Arial" w:hAnsi="Arial" w:cs="Arial"/>
        </w:rPr>
        <w:t xml:space="preserve">. Specifically, </w:t>
      </w:r>
      <w:r w:rsidR="00F3733A">
        <w:rPr>
          <w:rFonts w:ascii="Arial" w:hAnsi="Arial" w:cs="Arial"/>
        </w:rPr>
        <w:t>under</w:t>
      </w:r>
      <w:r w:rsidR="00634767">
        <w:rPr>
          <w:rFonts w:ascii="Arial" w:hAnsi="Arial" w:cs="Arial"/>
        </w:rPr>
        <w:t xml:space="preserve"> section </w:t>
      </w:r>
      <w:r w:rsidR="00316A4B">
        <w:rPr>
          <w:rFonts w:ascii="Arial" w:hAnsi="Arial" w:cs="Arial"/>
        </w:rPr>
        <w:t>6(3)</w:t>
      </w:r>
      <w:r w:rsidR="00634767">
        <w:rPr>
          <w:rFonts w:ascii="Arial" w:hAnsi="Arial" w:cs="Arial"/>
        </w:rPr>
        <w:t>, a</w:t>
      </w:r>
      <w:r w:rsidR="00DB15D6">
        <w:rPr>
          <w:rFonts w:ascii="Arial" w:hAnsi="Arial" w:cs="Arial"/>
        </w:rPr>
        <w:t xml:space="preserve">ny question as to the </w:t>
      </w:r>
      <w:r w:rsidR="00FA361C">
        <w:rPr>
          <w:rFonts w:ascii="Arial" w:hAnsi="Arial" w:cs="Arial"/>
        </w:rPr>
        <w:t>“validity, meaning or effect”</w:t>
      </w:r>
      <w:r w:rsidR="00DB15D6">
        <w:rPr>
          <w:rFonts w:ascii="Arial" w:hAnsi="Arial" w:cs="Arial"/>
        </w:rPr>
        <w:t xml:space="preserve"> of </w:t>
      </w:r>
      <w:r w:rsidR="00FA361C">
        <w:rPr>
          <w:rFonts w:ascii="Arial" w:hAnsi="Arial" w:cs="Arial"/>
        </w:rPr>
        <w:t>any retained EU law</w:t>
      </w:r>
      <w:r w:rsidR="00F61725">
        <w:rPr>
          <w:rFonts w:ascii="Arial" w:hAnsi="Arial" w:cs="Arial"/>
        </w:rPr>
        <w:t xml:space="preserve"> (i.e. law which </w:t>
      </w:r>
      <w:r w:rsidR="004F731D">
        <w:rPr>
          <w:rFonts w:ascii="Arial" w:hAnsi="Arial" w:cs="Arial"/>
        </w:rPr>
        <w:t>is domestic law</w:t>
      </w:r>
      <w:r w:rsidR="00F61725">
        <w:rPr>
          <w:rFonts w:ascii="Arial" w:hAnsi="Arial" w:cs="Arial"/>
        </w:rPr>
        <w:t xml:space="preserve"> by virtue of either sections 2, 3 or 4 GRB)</w:t>
      </w:r>
      <w:r w:rsidR="00FA361C">
        <w:rPr>
          <w:rFonts w:ascii="Arial" w:hAnsi="Arial" w:cs="Arial"/>
        </w:rPr>
        <w:t xml:space="preserve"> </w:t>
      </w:r>
      <w:r w:rsidR="00572280">
        <w:rPr>
          <w:rFonts w:ascii="Arial" w:hAnsi="Arial" w:cs="Arial"/>
        </w:rPr>
        <w:t>which</w:t>
      </w:r>
      <w:r w:rsidR="00FD1207">
        <w:rPr>
          <w:rFonts w:ascii="Arial" w:hAnsi="Arial" w:cs="Arial"/>
        </w:rPr>
        <w:t xml:space="preserve"> arises after </w:t>
      </w:r>
      <w:r w:rsidR="00572280">
        <w:rPr>
          <w:rFonts w:ascii="Arial" w:hAnsi="Arial" w:cs="Arial"/>
        </w:rPr>
        <w:t>Brexit day is to be determined by the UK courts</w:t>
      </w:r>
      <w:r w:rsidR="00BA7AFC">
        <w:rPr>
          <w:rFonts w:ascii="Arial" w:hAnsi="Arial" w:cs="Arial"/>
        </w:rPr>
        <w:t>: (a) “in accordance with any retained case law and any retained general principles of EU law”; and (b) “having regard to the limits of EU competence immediately before exit day”</w:t>
      </w:r>
      <w:r w:rsidR="00DB15D6">
        <w:rPr>
          <w:rFonts w:ascii="Arial" w:hAnsi="Arial" w:cs="Arial"/>
        </w:rPr>
        <w:t xml:space="preserve">. </w:t>
      </w:r>
      <w:r w:rsidR="00F61725">
        <w:rPr>
          <w:rFonts w:ascii="Arial" w:hAnsi="Arial" w:cs="Arial"/>
        </w:rPr>
        <w:t xml:space="preserve">Taking each of these requirements in turn, the phrase “retained case law” encompasses both </w:t>
      </w:r>
      <w:r w:rsidR="00F73746">
        <w:rPr>
          <w:rFonts w:ascii="Arial" w:hAnsi="Arial" w:cs="Arial"/>
        </w:rPr>
        <w:t>judgments of domestic courts</w:t>
      </w:r>
      <w:r w:rsidR="00255FB3">
        <w:rPr>
          <w:rFonts w:ascii="Arial" w:hAnsi="Arial" w:cs="Arial"/>
        </w:rPr>
        <w:t xml:space="preserve"> and decisions of the </w:t>
      </w:r>
      <w:r w:rsidR="00F73746">
        <w:rPr>
          <w:rFonts w:ascii="Arial" w:hAnsi="Arial" w:cs="Arial"/>
        </w:rPr>
        <w:t>EU courts</w:t>
      </w:r>
      <w:r w:rsidR="00255FB3">
        <w:rPr>
          <w:rFonts w:ascii="Arial" w:hAnsi="Arial" w:cs="Arial"/>
        </w:rPr>
        <w:t xml:space="preserve">, </w:t>
      </w:r>
      <w:r w:rsidR="00F3733A">
        <w:rPr>
          <w:rFonts w:ascii="Arial" w:hAnsi="Arial" w:cs="Arial"/>
        </w:rPr>
        <w:t>that</w:t>
      </w:r>
      <w:r w:rsidR="00255FB3">
        <w:rPr>
          <w:rFonts w:ascii="Arial" w:hAnsi="Arial" w:cs="Arial"/>
        </w:rPr>
        <w:t xml:space="preserve"> were made prior to Brexit day and relate to anything to which sections 2, 3 or 4 apply (section 6(7) GRB). </w:t>
      </w:r>
      <w:r w:rsidR="00F3733A">
        <w:rPr>
          <w:rFonts w:ascii="Arial" w:hAnsi="Arial" w:cs="Arial"/>
        </w:rPr>
        <w:t>T</w:t>
      </w:r>
      <w:r w:rsidR="00F73746">
        <w:rPr>
          <w:rFonts w:ascii="Arial" w:hAnsi="Arial" w:cs="Arial"/>
        </w:rPr>
        <w:t>he</w:t>
      </w:r>
      <w:r w:rsidR="00255FB3">
        <w:rPr>
          <w:rFonts w:ascii="Arial" w:hAnsi="Arial" w:cs="Arial"/>
        </w:rPr>
        <w:t xml:space="preserve"> combined effect of sections 6(4) </w:t>
      </w:r>
      <w:r w:rsidR="00DB1B25">
        <w:rPr>
          <w:rFonts w:ascii="Arial" w:hAnsi="Arial" w:cs="Arial"/>
        </w:rPr>
        <w:t xml:space="preserve">and (5) is </w:t>
      </w:r>
      <w:r w:rsidR="00F3733A" w:rsidRPr="00F93AA2">
        <w:rPr>
          <w:rFonts w:ascii="Arial" w:hAnsi="Arial" w:cs="Arial"/>
        </w:rPr>
        <w:t xml:space="preserve">that EU </w:t>
      </w:r>
      <w:r w:rsidR="00532511" w:rsidRPr="00F93AA2">
        <w:rPr>
          <w:rFonts w:ascii="Arial" w:hAnsi="Arial" w:cs="Arial"/>
        </w:rPr>
        <w:t>jurisprudence</w:t>
      </w:r>
      <w:r w:rsidR="00F73746">
        <w:rPr>
          <w:rFonts w:ascii="Arial" w:hAnsi="Arial" w:cs="Arial"/>
        </w:rPr>
        <w:t xml:space="preserve"> will be given the</w:t>
      </w:r>
      <w:r w:rsidR="00DB1B25">
        <w:rPr>
          <w:rFonts w:ascii="Arial" w:hAnsi="Arial" w:cs="Arial"/>
        </w:rPr>
        <w:t xml:space="preserve"> same binding status as decisions of the UK Supreme Court. </w:t>
      </w:r>
      <w:r w:rsidR="004F731D">
        <w:rPr>
          <w:rFonts w:ascii="Arial" w:hAnsi="Arial" w:cs="Arial"/>
        </w:rPr>
        <w:t xml:space="preserve">Accordingly, </w:t>
      </w:r>
      <w:r w:rsidR="00F73746">
        <w:rPr>
          <w:rFonts w:ascii="Arial" w:hAnsi="Arial" w:cs="Arial"/>
        </w:rPr>
        <w:t>pre-Brexit</w:t>
      </w:r>
      <w:r w:rsidR="004F731D">
        <w:rPr>
          <w:rFonts w:ascii="Arial" w:hAnsi="Arial" w:cs="Arial"/>
        </w:rPr>
        <w:t xml:space="preserve"> EU </w:t>
      </w:r>
      <w:r w:rsidR="00F73746">
        <w:rPr>
          <w:rFonts w:ascii="Arial" w:hAnsi="Arial" w:cs="Arial"/>
        </w:rPr>
        <w:t>jurisprudence</w:t>
      </w:r>
      <w:r w:rsidR="00DB1B25">
        <w:rPr>
          <w:rFonts w:ascii="Arial" w:hAnsi="Arial" w:cs="Arial"/>
        </w:rPr>
        <w:t xml:space="preserve"> will be binding in all domestic courts and tribunals except the Supreme Court itself, which will have the jurisdiction to depart from such decisions “when it appears right to do so”.</w:t>
      </w:r>
      <w:r w:rsidR="00DB1B25">
        <w:rPr>
          <w:rStyle w:val="FootnoteReference"/>
          <w:rFonts w:ascii="Arial" w:hAnsi="Arial" w:cs="Arial"/>
        </w:rPr>
        <w:footnoteReference w:id="16"/>
      </w:r>
      <w:r w:rsidR="00DB1B25">
        <w:rPr>
          <w:rFonts w:ascii="Arial" w:hAnsi="Arial" w:cs="Arial"/>
        </w:rPr>
        <w:t xml:space="preserve"> The binding or precedential status of </w:t>
      </w:r>
      <w:r w:rsidR="00DB1B25" w:rsidRPr="00F3733A">
        <w:rPr>
          <w:rFonts w:ascii="Arial" w:hAnsi="Arial" w:cs="Arial"/>
          <w:u w:val="single"/>
        </w:rPr>
        <w:t>domestic</w:t>
      </w:r>
      <w:r w:rsidR="00DB1B25">
        <w:rPr>
          <w:rFonts w:ascii="Arial" w:hAnsi="Arial" w:cs="Arial"/>
        </w:rPr>
        <w:t xml:space="preserve"> judicial decisions which relate to </w:t>
      </w:r>
      <w:r w:rsidR="00813062">
        <w:rPr>
          <w:rFonts w:ascii="Arial" w:hAnsi="Arial" w:cs="Arial"/>
        </w:rPr>
        <w:t>EU law</w:t>
      </w:r>
      <w:r w:rsidR="004F731D">
        <w:rPr>
          <w:rFonts w:ascii="Arial" w:hAnsi="Arial" w:cs="Arial"/>
        </w:rPr>
        <w:t xml:space="preserve"> </w:t>
      </w:r>
      <w:r w:rsidR="00DB1B25">
        <w:rPr>
          <w:rFonts w:ascii="Arial" w:hAnsi="Arial" w:cs="Arial"/>
        </w:rPr>
        <w:t>is not touched upon by the GRB</w:t>
      </w:r>
      <w:r w:rsidR="00813062">
        <w:rPr>
          <w:rFonts w:ascii="Arial" w:hAnsi="Arial" w:cs="Arial"/>
        </w:rPr>
        <w:t xml:space="preserve"> and is therefore unaltered</w:t>
      </w:r>
      <w:r w:rsidR="00DB1B25">
        <w:rPr>
          <w:rFonts w:ascii="Arial" w:hAnsi="Arial" w:cs="Arial"/>
        </w:rPr>
        <w:t>.</w:t>
      </w:r>
      <w:r w:rsidR="00255FB3">
        <w:rPr>
          <w:rFonts w:ascii="Arial" w:hAnsi="Arial" w:cs="Arial"/>
        </w:rPr>
        <w:t xml:space="preserve"> </w:t>
      </w:r>
    </w:p>
    <w:p w:rsidR="00E91E75" w:rsidRDefault="000B5499" w:rsidP="00532511">
      <w:pPr>
        <w:pStyle w:val="ListParagraph"/>
        <w:spacing w:after="240" w:line="360" w:lineRule="auto"/>
        <w:ind w:left="1134" w:firstLine="0"/>
        <w:contextualSpacing w:val="0"/>
        <w:jc w:val="both"/>
        <w:rPr>
          <w:rFonts w:ascii="Arial" w:hAnsi="Arial" w:cs="Arial"/>
        </w:rPr>
      </w:pPr>
      <w:r>
        <w:rPr>
          <w:rFonts w:ascii="Arial" w:hAnsi="Arial" w:cs="Arial"/>
        </w:rPr>
        <w:t>A</w:t>
      </w:r>
      <w:r w:rsidR="00765130">
        <w:rPr>
          <w:rFonts w:ascii="Arial" w:hAnsi="Arial" w:cs="Arial"/>
        </w:rPr>
        <w:t>s to the requirement that the UK courts must have regard to the limits of EU competence</w:t>
      </w:r>
      <w:r w:rsidR="00F3733A">
        <w:rPr>
          <w:rFonts w:ascii="Arial" w:hAnsi="Arial" w:cs="Arial"/>
        </w:rPr>
        <w:t xml:space="preserve"> in interpreting retained EU law</w:t>
      </w:r>
      <w:r w:rsidR="00765130">
        <w:rPr>
          <w:rFonts w:ascii="Arial" w:hAnsi="Arial" w:cs="Arial"/>
        </w:rPr>
        <w:t xml:space="preserve">, this </w:t>
      </w:r>
      <w:r w:rsidR="00F73746">
        <w:rPr>
          <w:rFonts w:ascii="Arial" w:hAnsi="Arial" w:cs="Arial"/>
        </w:rPr>
        <w:t>may</w:t>
      </w:r>
      <w:r w:rsidR="00765130">
        <w:rPr>
          <w:rFonts w:ascii="Arial" w:hAnsi="Arial" w:cs="Arial"/>
        </w:rPr>
        <w:t xml:space="preserve"> mean that </w:t>
      </w:r>
      <w:r>
        <w:rPr>
          <w:rFonts w:ascii="Arial" w:hAnsi="Arial" w:cs="Arial"/>
        </w:rPr>
        <w:t xml:space="preserve">domestic courts </w:t>
      </w:r>
      <w:r w:rsidR="00813062">
        <w:rPr>
          <w:rFonts w:ascii="Arial" w:hAnsi="Arial" w:cs="Arial"/>
        </w:rPr>
        <w:t>will</w:t>
      </w:r>
      <w:r>
        <w:rPr>
          <w:rFonts w:ascii="Arial" w:hAnsi="Arial" w:cs="Arial"/>
        </w:rPr>
        <w:t xml:space="preserve"> be required to take into account Treaty provisions or provisions of a directive that although not directly effective are, under the current EU rules, relevant to the interpretation of either secondary EU legislation or domestic implementing legislation (e.g. because they provide the legal basis for the adoption of such legislation).</w:t>
      </w:r>
      <w:bookmarkEnd w:id="4"/>
      <w:r>
        <w:rPr>
          <w:rFonts w:ascii="Arial" w:hAnsi="Arial" w:cs="Arial"/>
        </w:rPr>
        <w:t xml:space="preserve"> </w:t>
      </w:r>
    </w:p>
    <w:p w:rsidR="00FB1E7A" w:rsidRPr="00FB1E7A" w:rsidRDefault="00FB1E7A" w:rsidP="00FB1E7A">
      <w:pPr>
        <w:pStyle w:val="ListParagraph"/>
        <w:numPr>
          <w:ilvl w:val="1"/>
          <w:numId w:val="5"/>
        </w:numPr>
        <w:spacing w:after="240" w:line="360" w:lineRule="auto"/>
        <w:contextualSpacing w:val="0"/>
        <w:jc w:val="both"/>
        <w:rPr>
          <w:rFonts w:ascii="Arial" w:hAnsi="Arial" w:cs="Arial"/>
        </w:rPr>
      </w:pPr>
      <w:bookmarkStart w:id="5" w:name="_Ref488252335"/>
      <w:r>
        <w:rPr>
          <w:rFonts w:ascii="Arial" w:hAnsi="Arial" w:cs="Arial"/>
          <w:b/>
        </w:rPr>
        <w:t xml:space="preserve">General principles. </w:t>
      </w:r>
      <w:r>
        <w:rPr>
          <w:rFonts w:ascii="Arial" w:hAnsi="Arial" w:cs="Arial"/>
        </w:rPr>
        <w:t xml:space="preserve">The position in relation to general principles is </w:t>
      </w:r>
      <w:r w:rsidR="00A9390C">
        <w:rPr>
          <w:rFonts w:ascii="Arial" w:hAnsi="Arial" w:cs="Arial"/>
        </w:rPr>
        <w:t>rather convoluted</w:t>
      </w:r>
      <w:r>
        <w:rPr>
          <w:rFonts w:ascii="Arial" w:hAnsi="Arial" w:cs="Arial"/>
        </w:rPr>
        <w:t>. The starting point appears to be that such principles are converted by virtue of section 4 GRB, insofar as they confer rights or obligations as a matter of EU law. This also appear</w:t>
      </w:r>
      <w:r w:rsidR="00F93AA2">
        <w:rPr>
          <w:rFonts w:ascii="Arial" w:hAnsi="Arial" w:cs="Arial"/>
        </w:rPr>
        <w:t>s</w:t>
      </w:r>
      <w:r>
        <w:rPr>
          <w:rFonts w:ascii="Arial" w:hAnsi="Arial" w:cs="Arial"/>
        </w:rPr>
        <w:t xml:space="preserve"> to be borne out by </w:t>
      </w:r>
      <w:r w:rsidRPr="00A80AE1">
        <w:rPr>
          <w:rFonts w:ascii="Arial" w:hAnsi="Arial" w:cs="Arial"/>
          <w:lang w:val="en-US"/>
        </w:rPr>
        <w:t>paragraph 2 of Schedule 1 to the GRB</w:t>
      </w:r>
      <w:r>
        <w:rPr>
          <w:rFonts w:ascii="Arial" w:hAnsi="Arial" w:cs="Arial"/>
          <w:lang w:val="en-US"/>
        </w:rPr>
        <w:t xml:space="preserve"> which</w:t>
      </w:r>
      <w:r w:rsidRPr="00A80AE1">
        <w:rPr>
          <w:rFonts w:ascii="Arial" w:hAnsi="Arial" w:cs="Arial"/>
          <w:lang w:val="en-US"/>
        </w:rPr>
        <w:t xml:space="preserve"> </w:t>
      </w:r>
      <w:r>
        <w:rPr>
          <w:rFonts w:ascii="Arial" w:hAnsi="Arial" w:cs="Arial"/>
          <w:lang w:val="en-US"/>
        </w:rPr>
        <w:t>excludes from conversion</w:t>
      </w:r>
      <w:r w:rsidRPr="00A80AE1">
        <w:rPr>
          <w:rFonts w:ascii="Arial" w:hAnsi="Arial" w:cs="Arial"/>
          <w:lang w:val="en-US"/>
        </w:rPr>
        <w:t xml:space="preserve"> general principles that have not been recognised by the European Court in a case decided before exit day</w:t>
      </w:r>
      <w:r>
        <w:rPr>
          <w:rFonts w:ascii="Arial" w:hAnsi="Arial" w:cs="Arial"/>
          <w:lang w:val="en-US"/>
        </w:rPr>
        <w:t>.</w:t>
      </w:r>
      <w:r>
        <w:rPr>
          <w:rFonts w:ascii="Arial" w:hAnsi="Arial" w:cs="Arial"/>
        </w:rPr>
        <w:t xml:space="preserve"> There would presumably be no need to do that unless general principles that pre-date Brexit day are being converted. However, it is also clear that to the extent general principles are being converted into domestic law, it is a partial conversion only. </w:t>
      </w:r>
      <w:r w:rsidR="00A9390C">
        <w:rPr>
          <w:rFonts w:ascii="Arial" w:hAnsi="Arial" w:cs="Arial"/>
        </w:rPr>
        <w:t>As currently drafted, the GRB makes clear that general principles will be relevant when domestic courts, post Brexit, are considering the validity, meaning or effect of retained EU law – i.e. they will be relevant to interpretation (see section 6(3)(a) GRB).</w:t>
      </w:r>
      <w:r>
        <w:rPr>
          <w:rFonts w:ascii="Arial" w:hAnsi="Arial" w:cs="Arial"/>
        </w:rPr>
        <w:t xml:space="preserve"> </w:t>
      </w:r>
      <w:r w:rsidR="00A9390C">
        <w:rPr>
          <w:rFonts w:ascii="Arial" w:hAnsi="Arial" w:cs="Arial"/>
        </w:rPr>
        <w:t xml:space="preserve">However, they will no longer be able to found a cause of action post Brexit. Thus, </w:t>
      </w:r>
      <w:r>
        <w:rPr>
          <w:rFonts w:ascii="Arial" w:hAnsi="Arial" w:cs="Arial"/>
        </w:rPr>
        <w:t>paragraph 3</w:t>
      </w:r>
      <w:r w:rsidR="00A9390C">
        <w:rPr>
          <w:rFonts w:ascii="Arial" w:hAnsi="Arial" w:cs="Arial"/>
        </w:rPr>
        <w:t>(1)</w:t>
      </w:r>
      <w:r>
        <w:rPr>
          <w:rFonts w:ascii="Arial" w:hAnsi="Arial" w:cs="Arial"/>
        </w:rPr>
        <w:t xml:space="preserve"> of Schedule 1 to the GRB provides that “there is no right of action in domestic law on or after exit day based on a failure to comply with any of the general principles of EU law”. And </w:t>
      </w:r>
      <w:r w:rsidR="00A9390C">
        <w:rPr>
          <w:rFonts w:ascii="Arial" w:hAnsi="Arial" w:cs="Arial"/>
        </w:rPr>
        <w:t>paragraph</w:t>
      </w:r>
      <w:r>
        <w:rPr>
          <w:rFonts w:ascii="Arial" w:hAnsi="Arial" w:cs="Arial"/>
        </w:rPr>
        <w:t xml:space="preserve"> 3(2) </w:t>
      </w:r>
      <w:r w:rsidR="00A9390C">
        <w:rPr>
          <w:rFonts w:ascii="Arial" w:hAnsi="Arial" w:cs="Arial"/>
        </w:rPr>
        <w:t>goes on to say</w:t>
      </w:r>
      <w:r>
        <w:rPr>
          <w:rFonts w:ascii="Arial" w:hAnsi="Arial" w:cs="Arial"/>
        </w:rPr>
        <w:t xml:space="preserve"> that “no court or tribunal or other public authority may, on or after exit day</w:t>
      </w:r>
      <w:r w:rsidR="00F3733A">
        <w:rPr>
          <w:rFonts w:ascii="Arial" w:hAnsi="Arial" w:cs="Arial"/>
        </w:rPr>
        <w:t xml:space="preserve"> </w:t>
      </w:r>
      <w:r>
        <w:rPr>
          <w:rFonts w:ascii="Arial" w:hAnsi="Arial" w:cs="Arial"/>
        </w:rPr>
        <w:t>– (a) disapply or quash any enactment or other rule of law, or (b) quash any conduct or otherwise decide that it is unlawful, because it is incompatible with any of the general principles of EU law”.</w:t>
      </w:r>
      <w:bookmarkEnd w:id="5"/>
      <w:r>
        <w:rPr>
          <w:rFonts w:ascii="Arial" w:hAnsi="Arial" w:cs="Arial"/>
        </w:rPr>
        <w:t xml:space="preserve"> </w:t>
      </w:r>
    </w:p>
    <w:p w:rsidR="003A6766" w:rsidRDefault="001E29C3" w:rsidP="00A9390C">
      <w:pPr>
        <w:pStyle w:val="ListParagraph"/>
        <w:numPr>
          <w:ilvl w:val="0"/>
          <w:numId w:val="5"/>
        </w:numPr>
        <w:spacing w:after="240" w:line="360" w:lineRule="auto"/>
        <w:contextualSpacing w:val="0"/>
        <w:jc w:val="both"/>
        <w:rPr>
          <w:rFonts w:ascii="Arial" w:hAnsi="Arial" w:cs="Arial"/>
        </w:rPr>
      </w:pPr>
      <w:bookmarkStart w:id="6" w:name="_Ref488252340"/>
      <w:r>
        <w:rPr>
          <w:rFonts w:ascii="Arial" w:hAnsi="Arial" w:cs="Arial"/>
        </w:rPr>
        <w:t xml:space="preserve">In this way, the </w:t>
      </w:r>
      <w:r w:rsidR="00003F0D">
        <w:rPr>
          <w:rFonts w:ascii="Arial" w:hAnsi="Arial" w:cs="Arial"/>
        </w:rPr>
        <w:t xml:space="preserve">GRB </w:t>
      </w:r>
      <w:r>
        <w:rPr>
          <w:rFonts w:ascii="Arial" w:hAnsi="Arial" w:cs="Arial"/>
        </w:rPr>
        <w:t xml:space="preserve">effectively </w:t>
      </w:r>
      <w:r w:rsidR="00003F0D">
        <w:rPr>
          <w:rFonts w:ascii="Arial" w:hAnsi="Arial" w:cs="Arial"/>
        </w:rPr>
        <w:t>takes</w:t>
      </w:r>
      <w:r>
        <w:rPr>
          <w:rFonts w:ascii="Arial" w:hAnsi="Arial" w:cs="Arial"/>
        </w:rPr>
        <w:t xml:space="preserve"> a freeze-frame of EU law as it applies </w:t>
      </w:r>
      <w:r w:rsidR="00F73746">
        <w:rPr>
          <w:rFonts w:ascii="Arial" w:hAnsi="Arial" w:cs="Arial"/>
        </w:rPr>
        <w:t>on</w:t>
      </w:r>
      <w:r w:rsidR="00112FF6">
        <w:rPr>
          <w:rFonts w:ascii="Arial" w:hAnsi="Arial" w:cs="Arial"/>
        </w:rPr>
        <w:t xml:space="preserve"> Brexit day</w:t>
      </w:r>
      <w:r>
        <w:rPr>
          <w:rFonts w:ascii="Arial" w:hAnsi="Arial" w:cs="Arial"/>
        </w:rPr>
        <w:t>. However, t</w:t>
      </w:r>
      <w:r w:rsidR="003A6766" w:rsidRPr="001E29C3">
        <w:rPr>
          <w:rFonts w:ascii="Arial" w:hAnsi="Arial" w:cs="Arial"/>
        </w:rPr>
        <w:t>he GRB</w:t>
      </w:r>
      <w:r>
        <w:rPr>
          <w:rFonts w:ascii="Arial" w:hAnsi="Arial" w:cs="Arial"/>
        </w:rPr>
        <w:t xml:space="preserve"> also</w:t>
      </w:r>
      <w:r w:rsidR="003A6766" w:rsidRPr="001E29C3">
        <w:rPr>
          <w:rFonts w:ascii="Arial" w:hAnsi="Arial" w:cs="Arial"/>
        </w:rPr>
        <w:t xml:space="preserve"> makes further provision for</w:t>
      </w:r>
      <w:r w:rsidR="00613D20" w:rsidRPr="001E29C3">
        <w:rPr>
          <w:rFonts w:ascii="Arial" w:hAnsi="Arial" w:cs="Arial"/>
        </w:rPr>
        <w:t xml:space="preserve"> certain</w:t>
      </w:r>
      <w:r w:rsidR="00DB15D6" w:rsidRPr="001E29C3">
        <w:rPr>
          <w:rFonts w:ascii="Arial" w:hAnsi="Arial" w:cs="Arial"/>
        </w:rPr>
        <w:t xml:space="preserve"> categories of EU law </w:t>
      </w:r>
      <w:r>
        <w:rPr>
          <w:rFonts w:ascii="Arial" w:hAnsi="Arial" w:cs="Arial"/>
        </w:rPr>
        <w:t>to be</w:t>
      </w:r>
      <w:r w:rsidR="00DB15D6" w:rsidRPr="001E29C3">
        <w:rPr>
          <w:rFonts w:ascii="Arial" w:hAnsi="Arial" w:cs="Arial"/>
        </w:rPr>
        <w:t xml:space="preserve"> positively </w:t>
      </w:r>
      <w:r w:rsidR="00DB15D6" w:rsidRPr="00F3733A">
        <w:rPr>
          <w:rFonts w:ascii="Arial" w:hAnsi="Arial" w:cs="Arial"/>
          <w:u w:val="single"/>
        </w:rPr>
        <w:t>exc</w:t>
      </w:r>
      <w:r w:rsidR="00613D20" w:rsidRPr="00F3733A">
        <w:rPr>
          <w:rFonts w:ascii="Arial" w:hAnsi="Arial" w:cs="Arial"/>
          <w:u w:val="single"/>
        </w:rPr>
        <w:t>luded</w:t>
      </w:r>
      <w:r w:rsidR="00613D20" w:rsidRPr="001E29C3">
        <w:rPr>
          <w:rFonts w:ascii="Arial" w:hAnsi="Arial" w:cs="Arial"/>
        </w:rPr>
        <w:t xml:space="preserve"> from </w:t>
      </w:r>
      <w:r w:rsidR="000B7FA6">
        <w:rPr>
          <w:rFonts w:ascii="Arial" w:hAnsi="Arial" w:cs="Arial"/>
        </w:rPr>
        <w:t>that</w:t>
      </w:r>
      <w:r w:rsidR="00613D20" w:rsidRPr="001E29C3">
        <w:rPr>
          <w:rFonts w:ascii="Arial" w:hAnsi="Arial" w:cs="Arial"/>
        </w:rPr>
        <w:t xml:space="preserve"> </w:t>
      </w:r>
      <w:r w:rsidR="000F25DA">
        <w:rPr>
          <w:rFonts w:ascii="Arial" w:hAnsi="Arial" w:cs="Arial"/>
        </w:rPr>
        <w:t>freeze-frame</w:t>
      </w:r>
      <w:r w:rsidR="00613D20" w:rsidRPr="001E29C3">
        <w:rPr>
          <w:rFonts w:ascii="Arial" w:hAnsi="Arial" w:cs="Arial"/>
        </w:rPr>
        <w:t xml:space="preserve"> </w:t>
      </w:r>
      <w:r w:rsidR="00F3733A">
        <w:rPr>
          <w:rFonts w:ascii="Arial" w:hAnsi="Arial" w:cs="Arial"/>
        </w:rPr>
        <w:t>such that they</w:t>
      </w:r>
      <w:r w:rsidR="00613D20" w:rsidRPr="001E29C3">
        <w:rPr>
          <w:rFonts w:ascii="Arial" w:hAnsi="Arial" w:cs="Arial"/>
        </w:rPr>
        <w:t xml:space="preserve"> will simply disappear post-Brexit</w:t>
      </w:r>
      <w:r w:rsidR="00DB15D6" w:rsidRPr="001E29C3">
        <w:rPr>
          <w:rFonts w:ascii="Arial" w:hAnsi="Arial" w:cs="Arial"/>
        </w:rPr>
        <w:t xml:space="preserve">. </w:t>
      </w:r>
      <w:r w:rsidR="00A9390C">
        <w:rPr>
          <w:rFonts w:ascii="Arial" w:hAnsi="Arial" w:cs="Arial"/>
        </w:rPr>
        <w:t>Chief amongst these is the EU Charter of Fundamental Rights (the “</w:t>
      </w:r>
      <w:r w:rsidR="00A9390C">
        <w:rPr>
          <w:rFonts w:ascii="Arial" w:hAnsi="Arial" w:cs="Arial"/>
          <w:b/>
        </w:rPr>
        <w:t>Charter</w:t>
      </w:r>
      <w:r w:rsidR="00A9390C">
        <w:rPr>
          <w:rFonts w:ascii="Arial" w:hAnsi="Arial" w:cs="Arial"/>
        </w:rPr>
        <w:t xml:space="preserve">”). </w:t>
      </w:r>
      <w:r w:rsidR="00180568">
        <w:rPr>
          <w:rFonts w:ascii="Arial" w:hAnsi="Arial" w:cs="Arial"/>
        </w:rPr>
        <w:t xml:space="preserve">Section 5(4) </w:t>
      </w:r>
      <w:r w:rsidR="007C56E8">
        <w:rPr>
          <w:rFonts w:ascii="Arial" w:hAnsi="Arial" w:cs="Arial"/>
        </w:rPr>
        <w:t xml:space="preserve">GRB </w:t>
      </w:r>
      <w:r w:rsidR="00180568">
        <w:rPr>
          <w:rFonts w:ascii="Arial" w:hAnsi="Arial" w:cs="Arial"/>
        </w:rPr>
        <w:t xml:space="preserve">provides that the </w:t>
      </w:r>
      <w:r w:rsidR="00A9390C">
        <w:rPr>
          <w:rFonts w:ascii="Arial" w:hAnsi="Arial" w:cs="Arial"/>
        </w:rPr>
        <w:t>Charter</w:t>
      </w:r>
      <w:r w:rsidR="00180568">
        <w:rPr>
          <w:rFonts w:ascii="Arial" w:hAnsi="Arial" w:cs="Arial"/>
        </w:rPr>
        <w:t xml:space="preserve"> will not form part of domestic law </w:t>
      </w:r>
      <w:r w:rsidR="007C56E8">
        <w:rPr>
          <w:rFonts w:ascii="Arial" w:hAnsi="Arial" w:cs="Arial"/>
        </w:rPr>
        <w:t>post Brexit</w:t>
      </w:r>
      <w:r w:rsidR="00180568">
        <w:rPr>
          <w:rFonts w:ascii="Arial" w:hAnsi="Arial" w:cs="Arial"/>
        </w:rPr>
        <w:t xml:space="preserve">. </w:t>
      </w:r>
      <w:r w:rsidR="007C56E8">
        <w:rPr>
          <w:rFonts w:ascii="Arial" w:hAnsi="Arial" w:cs="Arial"/>
        </w:rPr>
        <w:t xml:space="preserve">However, section 5(5) GRB says that this “does not affect the retention in domestic law on or after exit day in accordance with this Act of any fundamental rights or principles which exist irrespective of the Charter”. </w:t>
      </w:r>
      <w:r w:rsidR="00FB1E7A">
        <w:rPr>
          <w:rFonts w:ascii="Arial" w:hAnsi="Arial" w:cs="Arial"/>
        </w:rPr>
        <w:t xml:space="preserve">The implications of this are considered further below. </w:t>
      </w:r>
      <w:r w:rsidR="00A9390C">
        <w:rPr>
          <w:rFonts w:ascii="Arial" w:hAnsi="Arial" w:cs="Arial"/>
        </w:rPr>
        <w:t xml:space="preserve">In addition, </w:t>
      </w:r>
      <w:r w:rsidR="00A9390C" w:rsidRPr="00A9390C">
        <w:rPr>
          <w:rFonts w:ascii="Arial" w:hAnsi="Arial" w:cs="Arial"/>
        </w:rPr>
        <w:t>p</w:t>
      </w:r>
      <w:r w:rsidR="00572280">
        <w:rPr>
          <w:rFonts w:ascii="Arial" w:hAnsi="Arial" w:cs="Arial"/>
        </w:rPr>
        <w:t xml:space="preserve">aragraph 4 of Schedule 1 to the GRB </w:t>
      </w:r>
      <w:r w:rsidR="00F3733A">
        <w:rPr>
          <w:rFonts w:ascii="Arial" w:hAnsi="Arial" w:cs="Arial"/>
        </w:rPr>
        <w:t>expunges</w:t>
      </w:r>
      <w:r>
        <w:rPr>
          <w:rFonts w:ascii="Arial" w:hAnsi="Arial" w:cs="Arial"/>
        </w:rPr>
        <w:t xml:space="preserve"> </w:t>
      </w:r>
      <w:r w:rsidR="00F3733A">
        <w:rPr>
          <w:rFonts w:ascii="Arial" w:hAnsi="Arial" w:cs="Arial"/>
        </w:rPr>
        <w:t xml:space="preserve">the </w:t>
      </w:r>
      <w:r>
        <w:rPr>
          <w:rFonts w:ascii="Arial" w:hAnsi="Arial" w:cs="Arial"/>
          <w:i/>
        </w:rPr>
        <w:t>Francovich</w:t>
      </w:r>
      <w:r>
        <w:rPr>
          <w:rFonts w:ascii="Arial" w:hAnsi="Arial" w:cs="Arial"/>
        </w:rPr>
        <w:t xml:space="preserve"> </w:t>
      </w:r>
      <w:r w:rsidR="00F3733A">
        <w:rPr>
          <w:rFonts w:ascii="Arial" w:hAnsi="Arial" w:cs="Arial"/>
        </w:rPr>
        <w:t>damages remedy from UK law from Brexit day onwards</w:t>
      </w:r>
      <w:r w:rsidR="00572280">
        <w:rPr>
          <w:rFonts w:ascii="Arial" w:hAnsi="Arial" w:cs="Arial"/>
        </w:rPr>
        <w:t>.</w:t>
      </w:r>
      <w:bookmarkEnd w:id="6"/>
      <w:r w:rsidR="00572280">
        <w:rPr>
          <w:rFonts w:ascii="Arial" w:hAnsi="Arial" w:cs="Arial"/>
        </w:rPr>
        <w:t xml:space="preserve"> </w:t>
      </w:r>
    </w:p>
    <w:p w:rsidR="00DB15D6" w:rsidRDefault="00DB15D6" w:rsidP="002D2655">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As for EU law that </w:t>
      </w:r>
      <w:r w:rsidRPr="000F25DA">
        <w:rPr>
          <w:rFonts w:ascii="Arial" w:hAnsi="Arial" w:cs="Arial"/>
          <w:u w:val="single"/>
        </w:rPr>
        <w:t>post-dates</w:t>
      </w:r>
      <w:r>
        <w:rPr>
          <w:rFonts w:ascii="Arial" w:hAnsi="Arial" w:cs="Arial"/>
        </w:rPr>
        <w:t xml:space="preserve"> the commencement of the GRB, </w:t>
      </w:r>
      <w:r w:rsidR="00A9390C">
        <w:rPr>
          <w:rFonts w:ascii="Arial" w:hAnsi="Arial" w:cs="Arial"/>
        </w:rPr>
        <w:t xml:space="preserve">this receives limited attention in the bill. Section </w:t>
      </w:r>
      <w:r w:rsidR="00D83FE5">
        <w:rPr>
          <w:rFonts w:ascii="Arial" w:hAnsi="Arial" w:cs="Arial"/>
        </w:rPr>
        <w:t xml:space="preserve">6(1) </w:t>
      </w:r>
      <w:r w:rsidR="000B7FA6">
        <w:rPr>
          <w:rFonts w:ascii="Arial" w:hAnsi="Arial" w:cs="Arial"/>
        </w:rPr>
        <w:t>GRB</w:t>
      </w:r>
      <w:r w:rsidR="00D83FE5">
        <w:rPr>
          <w:rFonts w:ascii="Arial" w:hAnsi="Arial" w:cs="Arial"/>
        </w:rPr>
        <w:t xml:space="preserve"> makes clear that the</w:t>
      </w:r>
      <w:r w:rsidR="00A9390C">
        <w:rPr>
          <w:rFonts w:ascii="Arial" w:hAnsi="Arial" w:cs="Arial"/>
        </w:rPr>
        <w:t xml:space="preserve"> UK’s</w:t>
      </w:r>
      <w:r w:rsidR="00D83FE5">
        <w:rPr>
          <w:rFonts w:ascii="Arial" w:hAnsi="Arial" w:cs="Arial"/>
        </w:rPr>
        <w:t xml:space="preserve"> domestic courts will not be bound by any principles laid down or decisions made on or after exit day by the </w:t>
      </w:r>
      <w:r w:rsidR="00A9390C">
        <w:rPr>
          <w:rFonts w:ascii="Arial" w:hAnsi="Arial" w:cs="Arial"/>
        </w:rPr>
        <w:t>EU Courts</w:t>
      </w:r>
      <w:r w:rsidR="00D83FE5">
        <w:rPr>
          <w:rFonts w:ascii="Arial" w:hAnsi="Arial" w:cs="Arial"/>
        </w:rPr>
        <w:t xml:space="preserve"> and cannot refer any matter to the </w:t>
      </w:r>
      <w:r w:rsidR="00A9390C">
        <w:rPr>
          <w:rFonts w:ascii="Arial" w:hAnsi="Arial" w:cs="Arial"/>
        </w:rPr>
        <w:t>EU Courts</w:t>
      </w:r>
      <w:r w:rsidR="00D83FE5">
        <w:rPr>
          <w:rFonts w:ascii="Arial" w:hAnsi="Arial" w:cs="Arial"/>
        </w:rPr>
        <w:t xml:space="preserve">. </w:t>
      </w:r>
      <w:r w:rsidR="00F3733A">
        <w:rPr>
          <w:rFonts w:ascii="Arial" w:hAnsi="Arial" w:cs="Arial"/>
        </w:rPr>
        <w:t>Under</w:t>
      </w:r>
      <w:r w:rsidR="00D83FE5">
        <w:rPr>
          <w:rFonts w:ascii="Arial" w:hAnsi="Arial" w:cs="Arial"/>
        </w:rPr>
        <w:t xml:space="preserve"> section 6(2) GRB, however, although domestic courts and tribunals “need not have regard to anything done on or after exit day by the European Court, another EU entity or the EU”</w:t>
      </w:r>
      <w:r w:rsidR="00492F9C">
        <w:rPr>
          <w:rFonts w:ascii="Arial" w:hAnsi="Arial" w:cs="Arial"/>
        </w:rPr>
        <w:t>, the court</w:t>
      </w:r>
      <w:r w:rsidR="00D83FE5">
        <w:rPr>
          <w:rFonts w:ascii="Arial" w:hAnsi="Arial" w:cs="Arial"/>
        </w:rPr>
        <w:t xml:space="preserve"> “may do so if it considers it appropriate to do so”.</w:t>
      </w:r>
      <w:r w:rsidR="00613D20">
        <w:rPr>
          <w:rFonts w:ascii="Arial" w:hAnsi="Arial" w:cs="Arial"/>
        </w:rPr>
        <w:t xml:space="preserve"> </w:t>
      </w:r>
      <w:r w:rsidR="00A32F5A">
        <w:rPr>
          <w:rFonts w:ascii="Arial" w:hAnsi="Arial" w:cs="Arial"/>
        </w:rPr>
        <w:t xml:space="preserve">This opens the door for continued reliance on EU case law and soft law post </w:t>
      </w:r>
      <w:r w:rsidR="00492F9C">
        <w:rPr>
          <w:rFonts w:ascii="Arial" w:hAnsi="Arial" w:cs="Arial"/>
        </w:rPr>
        <w:t>Brexit</w:t>
      </w:r>
      <w:r w:rsidR="00A32F5A">
        <w:rPr>
          <w:rFonts w:ascii="Arial" w:hAnsi="Arial" w:cs="Arial"/>
        </w:rPr>
        <w:t xml:space="preserve">. </w:t>
      </w:r>
    </w:p>
    <w:p w:rsidR="00CD42CD" w:rsidRDefault="000F25DA" w:rsidP="002D2655">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Finally,</w:t>
      </w:r>
      <w:r w:rsidR="00003F0D">
        <w:rPr>
          <w:rFonts w:ascii="Arial" w:hAnsi="Arial" w:cs="Arial"/>
        </w:rPr>
        <w:t xml:space="preserve"> </w:t>
      </w:r>
      <w:r>
        <w:rPr>
          <w:rFonts w:ascii="Arial" w:hAnsi="Arial" w:cs="Arial"/>
        </w:rPr>
        <w:t>the GRB</w:t>
      </w:r>
      <w:r w:rsidR="000B7FA6">
        <w:rPr>
          <w:rFonts w:ascii="Arial" w:hAnsi="Arial" w:cs="Arial"/>
        </w:rPr>
        <w:t xml:space="preserve"> also</w:t>
      </w:r>
      <w:r>
        <w:rPr>
          <w:rFonts w:ascii="Arial" w:hAnsi="Arial" w:cs="Arial"/>
        </w:rPr>
        <w:t xml:space="preserve"> makes </w:t>
      </w:r>
      <w:r w:rsidR="00A9390C">
        <w:rPr>
          <w:rFonts w:ascii="Arial" w:hAnsi="Arial" w:cs="Arial"/>
        </w:rPr>
        <w:t xml:space="preserve">substantial </w:t>
      </w:r>
      <w:r>
        <w:rPr>
          <w:rFonts w:ascii="Arial" w:hAnsi="Arial" w:cs="Arial"/>
        </w:rPr>
        <w:t>provision for</w:t>
      </w:r>
      <w:r w:rsidR="008F64ED">
        <w:rPr>
          <w:rFonts w:ascii="Arial" w:hAnsi="Arial" w:cs="Arial"/>
        </w:rPr>
        <w:t xml:space="preserve"> amendments to be made to the EU</w:t>
      </w:r>
      <w:r>
        <w:rPr>
          <w:rFonts w:ascii="Arial" w:hAnsi="Arial" w:cs="Arial"/>
        </w:rPr>
        <w:t xml:space="preserve"> law that is converted into domestic law</w:t>
      </w:r>
      <w:r w:rsidR="00CD42CD">
        <w:rPr>
          <w:rFonts w:ascii="Arial" w:hAnsi="Arial" w:cs="Arial"/>
        </w:rPr>
        <w:t xml:space="preserve"> in order to ensure </w:t>
      </w:r>
      <w:r w:rsidR="000B7FA6">
        <w:rPr>
          <w:rFonts w:ascii="Arial" w:hAnsi="Arial" w:cs="Arial"/>
        </w:rPr>
        <w:t>its</w:t>
      </w:r>
      <w:r w:rsidR="00CD42CD">
        <w:rPr>
          <w:rFonts w:ascii="Arial" w:hAnsi="Arial" w:cs="Arial"/>
        </w:rPr>
        <w:t xml:space="preserve"> “functional</w:t>
      </w:r>
      <w:r w:rsidR="000B7FA6">
        <w:rPr>
          <w:rFonts w:ascii="Arial" w:hAnsi="Arial" w:cs="Arial"/>
        </w:rPr>
        <w:t>ity</w:t>
      </w:r>
      <w:r w:rsidR="00CD42CD">
        <w:rPr>
          <w:rFonts w:ascii="Arial" w:hAnsi="Arial" w:cs="Arial"/>
        </w:rPr>
        <w:t>”</w:t>
      </w:r>
      <w:r>
        <w:rPr>
          <w:rFonts w:ascii="Arial" w:hAnsi="Arial" w:cs="Arial"/>
        </w:rPr>
        <w:t xml:space="preserve">. </w:t>
      </w:r>
      <w:r w:rsidR="000B7FA6">
        <w:rPr>
          <w:rFonts w:ascii="Arial" w:hAnsi="Arial" w:cs="Arial"/>
        </w:rPr>
        <w:t>The inclusion of wide</w:t>
      </w:r>
      <w:r>
        <w:rPr>
          <w:rFonts w:ascii="Arial" w:hAnsi="Arial" w:cs="Arial"/>
        </w:rPr>
        <w:t xml:space="preserve"> delegated powers</w:t>
      </w:r>
      <w:r w:rsidR="00492F9C">
        <w:rPr>
          <w:rFonts w:ascii="Arial" w:hAnsi="Arial" w:cs="Arial"/>
        </w:rPr>
        <w:t xml:space="preserve"> </w:t>
      </w:r>
      <w:r w:rsidR="00CD42CD">
        <w:rPr>
          <w:rFonts w:ascii="Arial" w:hAnsi="Arial" w:cs="Arial"/>
        </w:rPr>
        <w:t xml:space="preserve">for this purpose </w:t>
      </w:r>
      <w:r w:rsidR="000B7FA6">
        <w:rPr>
          <w:rFonts w:ascii="Arial" w:hAnsi="Arial" w:cs="Arial"/>
        </w:rPr>
        <w:t>was</w:t>
      </w:r>
      <w:r w:rsidR="00CD42CD">
        <w:rPr>
          <w:rFonts w:ascii="Arial" w:hAnsi="Arial" w:cs="Arial"/>
        </w:rPr>
        <w:t xml:space="preserve"> foreshadowed in the White Paper</w:t>
      </w:r>
      <w:r w:rsidR="00003F0D">
        <w:rPr>
          <w:rFonts w:ascii="Arial" w:hAnsi="Arial" w:cs="Arial"/>
        </w:rPr>
        <w:t xml:space="preserve"> as follows</w:t>
      </w:r>
      <w:r w:rsidR="00CD42CD">
        <w:rPr>
          <w:rFonts w:ascii="Arial" w:hAnsi="Arial" w:cs="Arial"/>
        </w:rPr>
        <w:t xml:space="preserve">: </w:t>
      </w:r>
    </w:p>
    <w:p w:rsidR="000B7FA6" w:rsidRDefault="000B7FA6" w:rsidP="000A1A49">
      <w:pPr>
        <w:pStyle w:val="ListParagraph"/>
        <w:spacing w:after="360"/>
        <w:ind w:left="1134" w:right="567" w:firstLine="0"/>
        <w:contextualSpacing w:val="0"/>
        <w:jc w:val="both"/>
        <w:rPr>
          <w:rFonts w:ascii="Arial" w:hAnsi="Arial" w:cs="Arial"/>
        </w:rPr>
      </w:pPr>
      <w:r>
        <w:rPr>
          <w:rFonts w:ascii="Arial" w:hAnsi="Arial" w:cs="Arial"/>
        </w:rPr>
        <w:t>“It is crucial that the Government is equipped to make all the necessary corrections to the statute book before we leave the UK to ensure a smooth and orderly withdrawal. To achieve this, the power to enable this correction will need to allow changes to be made to the full body of EU-derived law. This will necessarily include existing primary as well as secondary legislation which implements our EU obligations, as well as directly applicable EU law which will be converted into domestic law once we leave. It will also include the power to transfer to UK bodies or ministers powers that are contained in EU-derived law and which are currently exercised by EU bodies. This does mean that the power will be wide in terms of the legislation to which it can be used to make changes.”</w:t>
      </w:r>
      <w:r>
        <w:rPr>
          <w:rStyle w:val="FootnoteReference"/>
          <w:rFonts w:ascii="Arial" w:hAnsi="Arial" w:cs="Arial"/>
        </w:rPr>
        <w:footnoteReference w:id="17"/>
      </w:r>
      <w:r>
        <w:rPr>
          <w:rFonts w:ascii="Arial" w:hAnsi="Arial" w:cs="Arial"/>
        </w:rPr>
        <w:t xml:space="preserve"> </w:t>
      </w:r>
    </w:p>
    <w:p w:rsidR="00CD42CD" w:rsidRDefault="00492F9C" w:rsidP="002D2655">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Section 7 of</w:t>
      </w:r>
      <w:r w:rsidR="000A1A49">
        <w:rPr>
          <w:rFonts w:ascii="Arial" w:hAnsi="Arial" w:cs="Arial"/>
        </w:rPr>
        <w:t xml:space="preserve"> the GRB </w:t>
      </w:r>
      <w:r>
        <w:rPr>
          <w:rFonts w:ascii="Arial" w:hAnsi="Arial" w:cs="Arial"/>
        </w:rPr>
        <w:t xml:space="preserve">contains extensive delegated powers </w:t>
      </w:r>
      <w:r w:rsidR="00CF3C93" w:rsidRPr="00CF3C93">
        <w:rPr>
          <w:rFonts w:ascii="Arial" w:hAnsi="Arial" w:cs="Arial"/>
        </w:rPr>
        <w:t>(colloquially known as “Henry VIII clauses” to the extent that they enable the amendment of primary legislation by secondary legislation)</w:t>
      </w:r>
      <w:r w:rsidR="00A9390C">
        <w:rPr>
          <w:rFonts w:ascii="Arial" w:hAnsi="Arial" w:cs="Arial"/>
        </w:rPr>
        <w:t xml:space="preserve">. In broad terms, Ministers are enabled to make “such provision” as is considered appropriate to “prevent, remedy or mitigate” any failure of retained EU law to operate effectively or any other deficiency in retained EU law, arising from the withdrawal of the UK </w:t>
      </w:r>
      <w:r w:rsidR="0076366E">
        <w:rPr>
          <w:rFonts w:ascii="Arial" w:hAnsi="Arial" w:cs="Arial"/>
        </w:rPr>
        <w:t>from the EU (section 7(1)). This broad power</w:t>
      </w:r>
      <w:r w:rsidR="000A1A49">
        <w:rPr>
          <w:rFonts w:ascii="Arial" w:hAnsi="Arial" w:cs="Arial"/>
        </w:rPr>
        <w:t xml:space="preserve"> is</w:t>
      </w:r>
      <w:r w:rsidR="00A9390C">
        <w:rPr>
          <w:rFonts w:ascii="Arial" w:hAnsi="Arial" w:cs="Arial"/>
        </w:rPr>
        <w:t xml:space="preserve"> subject to certain limitations, including that </w:t>
      </w:r>
      <w:r w:rsidR="0076366E">
        <w:rPr>
          <w:rFonts w:ascii="Arial" w:hAnsi="Arial" w:cs="Arial"/>
        </w:rPr>
        <w:t>any such regulations</w:t>
      </w:r>
      <w:r w:rsidR="00A9390C">
        <w:rPr>
          <w:rFonts w:ascii="Arial" w:hAnsi="Arial" w:cs="Arial"/>
        </w:rPr>
        <w:t xml:space="preserve"> will have to be made within two years of Brexit day (section 7(7)</w:t>
      </w:r>
      <w:r w:rsidR="0076366E">
        <w:rPr>
          <w:rFonts w:ascii="Arial" w:hAnsi="Arial" w:cs="Arial"/>
        </w:rPr>
        <w:t xml:space="preserve">) and that they may not be used for the purpose of imposing taxation, creating a criminal offence, making retrospective provision, amending, repealing or revoking the Human Rights Act 1998 or amending or repealing the Northern Ireland Act 1998 (section 7(6)). It is already clear that the scope of </w:t>
      </w:r>
      <w:r w:rsidR="00CF3C93">
        <w:rPr>
          <w:rFonts w:ascii="Arial" w:hAnsi="Arial" w:cs="Arial"/>
        </w:rPr>
        <w:t>section 7</w:t>
      </w:r>
      <w:r w:rsidR="0076366E">
        <w:rPr>
          <w:rFonts w:ascii="Arial" w:hAnsi="Arial" w:cs="Arial"/>
        </w:rPr>
        <w:t xml:space="preserve"> is going to be a highly controversial issue during the passage of the bill.  </w:t>
      </w:r>
    </w:p>
    <w:p w:rsidR="002D2655" w:rsidRPr="002D2655" w:rsidRDefault="000A1A49" w:rsidP="00CF3C93">
      <w:pPr>
        <w:tabs>
          <w:tab w:val="left" w:pos="6471"/>
        </w:tabs>
        <w:spacing w:after="240" w:line="360" w:lineRule="auto"/>
        <w:ind w:left="0" w:firstLine="0"/>
        <w:jc w:val="both"/>
        <w:rPr>
          <w:rFonts w:ascii="Arial" w:hAnsi="Arial" w:cs="Arial"/>
          <w:b/>
        </w:rPr>
      </w:pPr>
      <w:r>
        <w:rPr>
          <w:rFonts w:ascii="Arial" w:hAnsi="Arial" w:cs="Arial"/>
          <w:b/>
        </w:rPr>
        <w:t>THE HIERARCHY OF LEGAL NORMS POST GRB</w:t>
      </w:r>
      <w:r w:rsidR="00CF3C93">
        <w:rPr>
          <w:rFonts w:ascii="Arial" w:hAnsi="Arial" w:cs="Arial"/>
          <w:b/>
        </w:rPr>
        <w:tab/>
      </w:r>
    </w:p>
    <w:p w:rsidR="00423504" w:rsidRDefault="00492F9C" w:rsidP="007B4CDB">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Set against the framework described above, the first “unknown” </w:t>
      </w:r>
      <w:r w:rsidR="00423504">
        <w:rPr>
          <w:rFonts w:ascii="Arial" w:hAnsi="Arial" w:cs="Arial"/>
        </w:rPr>
        <w:t>for discussion</w:t>
      </w:r>
      <w:r>
        <w:rPr>
          <w:rFonts w:ascii="Arial" w:hAnsi="Arial" w:cs="Arial"/>
        </w:rPr>
        <w:t xml:space="preserve"> </w:t>
      </w:r>
      <w:r w:rsidR="00423504">
        <w:rPr>
          <w:rFonts w:ascii="Arial" w:hAnsi="Arial" w:cs="Arial"/>
        </w:rPr>
        <w:t>relates to the hierarchy of l</w:t>
      </w:r>
      <w:r>
        <w:rPr>
          <w:rFonts w:ascii="Arial" w:hAnsi="Arial" w:cs="Arial"/>
        </w:rPr>
        <w:t>egal norms that will exist post-</w:t>
      </w:r>
      <w:r w:rsidR="00423504">
        <w:rPr>
          <w:rFonts w:ascii="Arial" w:hAnsi="Arial" w:cs="Arial"/>
        </w:rPr>
        <w:t xml:space="preserve">Brexit, as a result of the GRB, and the impact that a changed hierarchy will have on the ability of individuals to challenge domestic measures </w:t>
      </w:r>
      <w:r w:rsidR="00A32F5A">
        <w:rPr>
          <w:rFonts w:ascii="Arial" w:hAnsi="Arial" w:cs="Arial"/>
        </w:rPr>
        <w:t xml:space="preserve">or aspects of retained EU law </w:t>
      </w:r>
      <w:r w:rsidR="00423504">
        <w:rPr>
          <w:rFonts w:ascii="Arial" w:hAnsi="Arial" w:cs="Arial"/>
        </w:rPr>
        <w:t xml:space="preserve">on EU-law based grounds. </w:t>
      </w:r>
    </w:p>
    <w:p w:rsidR="000A1A49" w:rsidRDefault="00492F9C" w:rsidP="007B4CDB">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Two particular questions arise</w:t>
      </w:r>
      <w:r w:rsidR="000A1A49">
        <w:rPr>
          <w:rFonts w:ascii="Arial" w:hAnsi="Arial" w:cs="Arial"/>
        </w:rPr>
        <w:t>. First, there is the issue of how EU-</w:t>
      </w:r>
      <w:r w:rsidR="0094374C">
        <w:rPr>
          <w:rFonts w:ascii="Arial" w:hAnsi="Arial" w:cs="Arial"/>
        </w:rPr>
        <w:t>derived law which, per sections 2, 3 and 4</w:t>
      </w:r>
      <w:r w:rsidR="000A1A49">
        <w:rPr>
          <w:rFonts w:ascii="Arial" w:hAnsi="Arial" w:cs="Arial"/>
        </w:rPr>
        <w:t xml:space="preserve"> GRB</w:t>
      </w:r>
      <w:r w:rsidR="00717C38">
        <w:rPr>
          <w:rFonts w:ascii="Arial" w:hAnsi="Arial" w:cs="Arial"/>
        </w:rPr>
        <w:t>, is now to become domestic law,</w:t>
      </w:r>
      <w:r w:rsidR="000A1A49">
        <w:rPr>
          <w:rFonts w:ascii="Arial" w:hAnsi="Arial" w:cs="Arial"/>
        </w:rPr>
        <w:t xml:space="preserve"> will interact with other domestic law (“original” domestic law). Second</w:t>
      </w:r>
      <w:r>
        <w:rPr>
          <w:rFonts w:ascii="Arial" w:hAnsi="Arial" w:cs="Arial"/>
        </w:rPr>
        <w:t>ly</w:t>
      </w:r>
      <w:r w:rsidR="000A1A49">
        <w:rPr>
          <w:rFonts w:ascii="Arial" w:hAnsi="Arial" w:cs="Arial"/>
        </w:rPr>
        <w:t xml:space="preserve">, there is the issue of how the hierarchy of laws within the EU legal order itself is to be replicated within the body of EU-derived domestic law. </w:t>
      </w:r>
    </w:p>
    <w:p w:rsidR="00786507" w:rsidRPr="0079697B" w:rsidRDefault="0079697B" w:rsidP="0079697B">
      <w:pPr>
        <w:spacing w:after="240" w:line="360" w:lineRule="auto"/>
        <w:ind w:left="0" w:firstLine="0"/>
        <w:jc w:val="both"/>
        <w:rPr>
          <w:rFonts w:ascii="Arial" w:hAnsi="Arial" w:cs="Arial"/>
        </w:rPr>
      </w:pPr>
      <w:r>
        <w:rPr>
          <w:rFonts w:ascii="Arial" w:hAnsi="Arial" w:cs="Arial"/>
          <w:i/>
        </w:rPr>
        <w:t>The relationship between “EU-derived” domestic law and “original” domestic law</w:t>
      </w:r>
    </w:p>
    <w:p w:rsidR="00981C39" w:rsidRDefault="0079697B" w:rsidP="002D2655">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It is a fundamental feature of EU law that it is supreme vis-à-vis the national law of individual Member States</w:t>
      </w:r>
      <w:r w:rsidR="00BB7AD2">
        <w:rPr>
          <w:rFonts w:ascii="Arial" w:hAnsi="Arial" w:cs="Arial"/>
        </w:rPr>
        <w:t xml:space="preserve"> and can have direct applicability or effect in national legal systems</w:t>
      </w:r>
      <w:r>
        <w:rPr>
          <w:rFonts w:ascii="Arial" w:hAnsi="Arial" w:cs="Arial"/>
        </w:rPr>
        <w:t xml:space="preserve">. </w:t>
      </w:r>
      <w:r w:rsidR="00981C39">
        <w:rPr>
          <w:rFonts w:ascii="Arial" w:hAnsi="Arial" w:cs="Arial"/>
        </w:rPr>
        <w:t>The</w:t>
      </w:r>
      <w:r>
        <w:rPr>
          <w:rFonts w:ascii="Arial" w:hAnsi="Arial" w:cs="Arial"/>
        </w:rPr>
        <w:t xml:space="preserve"> foundations for the doctrine</w:t>
      </w:r>
      <w:r w:rsidR="00BB7AD2">
        <w:rPr>
          <w:rFonts w:ascii="Arial" w:hAnsi="Arial" w:cs="Arial"/>
        </w:rPr>
        <w:t>s</w:t>
      </w:r>
      <w:r>
        <w:rPr>
          <w:rFonts w:ascii="Arial" w:hAnsi="Arial" w:cs="Arial"/>
        </w:rPr>
        <w:t xml:space="preserve"> of supremacy</w:t>
      </w:r>
      <w:r w:rsidR="00BB7AD2">
        <w:rPr>
          <w:rFonts w:ascii="Arial" w:hAnsi="Arial" w:cs="Arial"/>
        </w:rPr>
        <w:t xml:space="preserve"> and</w:t>
      </w:r>
      <w:r w:rsidR="00A32F5A">
        <w:rPr>
          <w:rFonts w:ascii="Arial" w:hAnsi="Arial" w:cs="Arial"/>
        </w:rPr>
        <w:t xml:space="preserve"> the</w:t>
      </w:r>
      <w:r w:rsidR="00BB7AD2">
        <w:rPr>
          <w:rFonts w:ascii="Arial" w:hAnsi="Arial" w:cs="Arial"/>
        </w:rPr>
        <w:t xml:space="preserve"> direct effect</w:t>
      </w:r>
      <w:r w:rsidR="00A32F5A">
        <w:rPr>
          <w:rFonts w:ascii="Arial" w:hAnsi="Arial" w:cs="Arial"/>
        </w:rPr>
        <w:t xml:space="preserve"> of directives</w:t>
      </w:r>
      <w:r>
        <w:rPr>
          <w:rFonts w:ascii="Arial" w:hAnsi="Arial" w:cs="Arial"/>
        </w:rPr>
        <w:t xml:space="preserve"> were laid by the </w:t>
      </w:r>
      <w:r w:rsidR="00492F9C">
        <w:rPr>
          <w:rFonts w:ascii="Arial" w:hAnsi="Arial" w:cs="Arial"/>
        </w:rPr>
        <w:t>CJEU</w:t>
      </w:r>
      <w:r>
        <w:rPr>
          <w:rFonts w:ascii="Arial" w:hAnsi="Arial" w:cs="Arial"/>
        </w:rPr>
        <w:t xml:space="preserve"> </w:t>
      </w:r>
      <w:r w:rsidR="00981C39">
        <w:rPr>
          <w:rFonts w:ascii="Arial" w:hAnsi="Arial" w:cs="Arial"/>
        </w:rPr>
        <w:t>in its earliest jurisprudence. EU practitioner</w:t>
      </w:r>
      <w:r w:rsidR="00492F9C">
        <w:rPr>
          <w:rFonts w:ascii="Arial" w:hAnsi="Arial" w:cs="Arial"/>
        </w:rPr>
        <w:t>s</w:t>
      </w:r>
      <w:r w:rsidR="00981C39">
        <w:rPr>
          <w:rFonts w:ascii="Arial" w:hAnsi="Arial" w:cs="Arial"/>
        </w:rPr>
        <w:t xml:space="preserve"> will be familiar with the Court’s </w:t>
      </w:r>
      <w:r w:rsidR="00553EDF">
        <w:rPr>
          <w:rFonts w:ascii="Arial" w:hAnsi="Arial" w:cs="Arial"/>
        </w:rPr>
        <w:t>declaration</w:t>
      </w:r>
      <w:r w:rsidR="00981C39">
        <w:rPr>
          <w:rFonts w:ascii="Arial" w:hAnsi="Arial" w:cs="Arial"/>
        </w:rPr>
        <w:t xml:space="preserve"> in</w:t>
      </w:r>
      <w:r w:rsidR="00553EDF">
        <w:rPr>
          <w:rFonts w:ascii="Arial" w:hAnsi="Arial" w:cs="Arial"/>
        </w:rPr>
        <w:t xml:space="preserve"> </w:t>
      </w:r>
      <w:r w:rsidR="00553EDF">
        <w:rPr>
          <w:rFonts w:ascii="Arial" w:hAnsi="Arial" w:cs="Arial"/>
          <w:i/>
        </w:rPr>
        <w:t>Costa v ENEL</w:t>
      </w:r>
      <w:r w:rsidR="00492F9C">
        <w:rPr>
          <w:rFonts w:ascii="Arial" w:hAnsi="Arial" w:cs="Arial"/>
        </w:rPr>
        <w:t xml:space="preserve"> </w:t>
      </w:r>
      <w:r w:rsidR="00981C39">
        <w:rPr>
          <w:rFonts w:ascii="Arial" w:hAnsi="Arial" w:cs="Arial"/>
        </w:rPr>
        <w:t xml:space="preserve">that: </w:t>
      </w:r>
    </w:p>
    <w:p w:rsidR="00981C39" w:rsidRPr="00423504" w:rsidRDefault="00981C39" w:rsidP="00981C39">
      <w:pPr>
        <w:pStyle w:val="ListParagraph"/>
        <w:spacing w:after="240"/>
        <w:ind w:left="1134" w:right="567" w:firstLine="0"/>
        <w:contextualSpacing w:val="0"/>
        <w:jc w:val="both"/>
        <w:rPr>
          <w:rFonts w:ascii="Arial" w:hAnsi="Arial" w:cs="Arial"/>
        </w:rPr>
      </w:pPr>
      <w:r>
        <w:rPr>
          <w:rFonts w:ascii="Arial" w:hAnsi="Arial" w:cs="Arial"/>
        </w:rPr>
        <w:t>“</w:t>
      </w:r>
      <w:r w:rsidRPr="00423504">
        <w:rPr>
          <w:rFonts w:ascii="Arial" w:hAnsi="Arial" w:cs="Arial"/>
        </w:rPr>
        <w:t xml:space="preserve">The law stemming from the Treaty, an independent source of law, could not, because of its special and original nature, be overridden by domestic legal provisions, however framed, without being deprived of its character as Community law and without the legal basis of the Community itself being called into question. </w:t>
      </w:r>
    </w:p>
    <w:p w:rsidR="0079697B" w:rsidRDefault="00981C39" w:rsidP="00A24205">
      <w:pPr>
        <w:pStyle w:val="ListParagraph"/>
        <w:spacing w:after="360"/>
        <w:ind w:left="1134" w:right="567" w:firstLine="0"/>
        <w:contextualSpacing w:val="0"/>
        <w:jc w:val="both"/>
        <w:rPr>
          <w:rFonts w:ascii="Arial" w:hAnsi="Arial" w:cs="Arial"/>
        </w:rPr>
      </w:pPr>
      <w:r w:rsidRPr="00423504">
        <w:rPr>
          <w:rFonts w:ascii="Arial" w:hAnsi="Arial" w:cs="Arial"/>
        </w:rPr>
        <w:t>The transfer by the states from their domestic legal system to the Community legal system of the rights and obligations arising under the Treaty carries with it a permanent limitation of their sovereign rights, against which a subsequent unilateral act incompatible with the concept of the Community cannot prevail</w:t>
      </w:r>
      <w:r>
        <w:rPr>
          <w:rFonts w:ascii="Arial" w:hAnsi="Arial" w:cs="Arial"/>
        </w:rPr>
        <w:t>.”</w:t>
      </w:r>
      <w:r w:rsidR="00553EDF">
        <w:rPr>
          <w:rStyle w:val="FootnoteReference"/>
          <w:rFonts w:ascii="Arial" w:hAnsi="Arial" w:cs="Arial"/>
        </w:rPr>
        <w:footnoteReference w:id="18"/>
      </w:r>
    </w:p>
    <w:p w:rsidR="00BB7AD2" w:rsidRDefault="00981C39" w:rsidP="00782752">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The consequences of </w:t>
      </w:r>
      <w:r w:rsidR="00A24205">
        <w:rPr>
          <w:rFonts w:ascii="Arial" w:hAnsi="Arial" w:cs="Arial"/>
        </w:rPr>
        <w:t>the</w:t>
      </w:r>
      <w:r>
        <w:rPr>
          <w:rFonts w:ascii="Arial" w:hAnsi="Arial" w:cs="Arial"/>
        </w:rPr>
        <w:t xml:space="preserve"> line of jurisprudence </w:t>
      </w:r>
      <w:r w:rsidR="00A24205">
        <w:rPr>
          <w:rFonts w:ascii="Arial" w:hAnsi="Arial" w:cs="Arial"/>
        </w:rPr>
        <w:t>that started with</w:t>
      </w:r>
      <w:r w:rsidR="0076366E">
        <w:rPr>
          <w:rFonts w:ascii="Arial" w:hAnsi="Arial" w:cs="Arial"/>
        </w:rPr>
        <w:t xml:space="preserve"> cases such as</w:t>
      </w:r>
      <w:r w:rsidR="00782752">
        <w:rPr>
          <w:rFonts w:ascii="Arial" w:hAnsi="Arial" w:cs="Arial"/>
        </w:rPr>
        <w:t xml:space="preserve"> </w:t>
      </w:r>
      <w:r w:rsidR="00A24205">
        <w:rPr>
          <w:rFonts w:ascii="Arial" w:hAnsi="Arial" w:cs="Arial"/>
          <w:i/>
        </w:rPr>
        <w:t xml:space="preserve">Costa </w:t>
      </w:r>
      <w:r w:rsidR="00A32F5A">
        <w:rPr>
          <w:rFonts w:ascii="Arial" w:hAnsi="Arial" w:cs="Arial"/>
        </w:rPr>
        <w:t xml:space="preserve">and </w:t>
      </w:r>
      <w:r w:rsidR="00A32F5A" w:rsidRPr="00A32F5A">
        <w:rPr>
          <w:rFonts w:ascii="Arial" w:hAnsi="Arial" w:cs="Arial"/>
          <w:i/>
        </w:rPr>
        <w:t>Van Gend en Loos</w:t>
      </w:r>
      <w:r w:rsidR="00A32F5A" w:rsidRPr="00A32F5A">
        <w:rPr>
          <w:rFonts w:ascii="Arial" w:hAnsi="Arial" w:cs="Arial"/>
        </w:rPr>
        <w:t xml:space="preserve"> </w:t>
      </w:r>
      <w:r w:rsidR="00A24205">
        <w:rPr>
          <w:rFonts w:ascii="Arial" w:hAnsi="Arial" w:cs="Arial"/>
        </w:rPr>
        <w:t xml:space="preserve">have been far-reaching. </w:t>
      </w:r>
      <w:r w:rsidR="00492F9C">
        <w:rPr>
          <w:rFonts w:ascii="Arial" w:hAnsi="Arial" w:cs="Arial"/>
        </w:rPr>
        <w:t>It</w:t>
      </w:r>
      <w:r w:rsidR="009374A2">
        <w:rPr>
          <w:rFonts w:ascii="Arial" w:hAnsi="Arial" w:cs="Arial"/>
        </w:rPr>
        <w:t xml:space="preserve"> is now well established, as</w:t>
      </w:r>
      <w:r w:rsidR="00BB7AD2">
        <w:rPr>
          <w:rFonts w:ascii="Arial" w:hAnsi="Arial" w:cs="Arial"/>
        </w:rPr>
        <w:t xml:space="preserve"> a matter of EU law</w:t>
      </w:r>
      <w:r w:rsidR="009374A2">
        <w:rPr>
          <w:rFonts w:ascii="Arial" w:hAnsi="Arial" w:cs="Arial"/>
        </w:rPr>
        <w:t xml:space="preserve">, </w:t>
      </w:r>
      <w:r w:rsidR="00BB7AD2">
        <w:rPr>
          <w:rFonts w:ascii="Arial" w:hAnsi="Arial" w:cs="Arial"/>
        </w:rPr>
        <w:t>that:</w:t>
      </w:r>
      <w:r w:rsidR="000F556E">
        <w:rPr>
          <w:rFonts w:ascii="Arial" w:hAnsi="Arial" w:cs="Arial"/>
        </w:rPr>
        <w:t xml:space="preserve"> </w:t>
      </w:r>
    </w:p>
    <w:p w:rsidR="00BB7AD2" w:rsidRDefault="0041083A" w:rsidP="00BB7AD2">
      <w:pPr>
        <w:pStyle w:val="ListParagraph"/>
        <w:numPr>
          <w:ilvl w:val="1"/>
          <w:numId w:val="5"/>
        </w:numPr>
        <w:spacing w:after="240" w:line="360" w:lineRule="auto"/>
        <w:contextualSpacing w:val="0"/>
        <w:jc w:val="both"/>
        <w:rPr>
          <w:rFonts w:ascii="Arial" w:hAnsi="Arial" w:cs="Arial"/>
        </w:rPr>
      </w:pPr>
      <w:r>
        <w:rPr>
          <w:rFonts w:ascii="Arial" w:hAnsi="Arial" w:cs="Arial"/>
        </w:rPr>
        <w:t>in</w:t>
      </w:r>
      <w:r w:rsidR="000F556E">
        <w:rPr>
          <w:rFonts w:ascii="Arial" w:hAnsi="Arial" w:cs="Arial"/>
        </w:rPr>
        <w:t xml:space="preserve"> </w:t>
      </w:r>
      <w:r w:rsidR="00981C39" w:rsidRPr="000F556E">
        <w:rPr>
          <w:rFonts w:ascii="Arial" w:hAnsi="Arial" w:cs="Arial"/>
        </w:rPr>
        <w:t>the event of a conflict between</w:t>
      </w:r>
      <w:r w:rsidR="00A24205" w:rsidRPr="000F556E">
        <w:rPr>
          <w:rFonts w:ascii="Arial" w:hAnsi="Arial" w:cs="Arial"/>
        </w:rPr>
        <w:t xml:space="preserve"> a</w:t>
      </w:r>
      <w:r w:rsidR="00FB79D8" w:rsidRPr="000F556E">
        <w:rPr>
          <w:rFonts w:ascii="Arial" w:hAnsi="Arial" w:cs="Arial"/>
        </w:rPr>
        <w:t xml:space="preserve"> </w:t>
      </w:r>
      <w:r w:rsidR="00A24205" w:rsidRPr="000F556E">
        <w:rPr>
          <w:rFonts w:ascii="Arial" w:hAnsi="Arial" w:cs="Arial"/>
        </w:rPr>
        <w:t xml:space="preserve">directly applicable or effective provision of </w:t>
      </w:r>
      <w:r w:rsidR="00981C39" w:rsidRPr="000F556E">
        <w:rPr>
          <w:rFonts w:ascii="Arial" w:hAnsi="Arial" w:cs="Arial"/>
        </w:rPr>
        <w:t>EU</w:t>
      </w:r>
      <w:r w:rsidR="00FB79D8" w:rsidRPr="000F556E">
        <w:rPr>
          <w:rFonts w:ascii="Arial" w:hAnsi="Arial" w:cs="Arial"/>
        </w:rPr>
        <w:t xml:space="preserve"> law</w:t>
      </w:r>
      <w:r w:rsidR="00981C39" w:rsidRPr="000F556E">
        <w:rPr>
          <w:rFonts w:ascii="Arial" w:hAnsi="Arial" w:cs="Arial"/>
        </w:rPr>
        <w:t xml:space="preserve"> and</w:t>
      </w:r>
      <w:r w:rsidR="00A24205" w:rsidRPr="000F556E">
        <w:rPr>
          <w:rFonts w:ascii="Arial" w:hAnsi="Arial" w:cs="Arial"/>
        </w:rPr>
        <w:t xml:space="preserve"> a provision of</w:t>
      </w:r>
      <w:r w:rsidR="00981C39" w:rsidRPr="000F556E">
        <w:rPr>
          <w:rFonts w:ascii="Arial" w:hAnsi="Arial" w:cs="Arial"/>
        </w:rPr>
        <w:t xml:space="preserve"> national law, </w:t>
      </w:r>
      <w:r w:rsidR="00A24205" w:rsidRPr="000F556E">
        <w:rPr>
          <w:rFonts w:ascii="Arial" w:hAnsi="Arial" w:cs="Arial"/>
        </w:rPr>
        <w:t>the latter must be disapplied</w:t>
      </w:r>
      <w:r w:rsidR="002D1152" w:rsidRPr="000F556E">
        <w:rPr>
          <w:rFonts w:ascii="Arial" w:hAnsi="Arial" w:cs="Arial"/>
        </w:rPr>
        <w:t>, regardless of its form or place in the national legal hierarchy</w:t>
      </w:r>
      <w:r>
        <w:rPr>
          <w:rFonts w:ascii="Arial" w:hAnsi="Arial" w:cs="Arial"/>
        </w:rPr>
        <w:t>;</w:t>
      </w:r>
      <w:r w:rsidR="001E29C3">
        <w:rPr>
          <w:rStyle w:val="FootnoteReference"/>
          <w:rFonts w:ascii="Arial" w:hAnsi="Arial" w:cs="Arial"/>
        </w:rPr>
        <w:footnoteReference w:id="19"/>
      </w:r>
      <w:r w:rsidR="00A24205" w:rsidRPr="000F556E">
        <w:rPr>
          <w:rFonts w:ascii="Arial" w:hAnsi="Arial" w:cs="Arial"/>
        </w:rPr>
        <w:t xml:space="preserve"> </w:t>
      </w:r>
    </w:p>
    <w:p w:rsidR="00BB7AD2" w:rsidRDefault="0041083A" w:rsidP="00BB7AD2">
      <w:pPr>
        <w:pStyle w:val="ListParagraph"/>
        <w:numPr>
          <w:ilvl w:val="1"/>
          <w:numId w:val="5"/>
        </w:numPr>
        <w:spacing w:after="240" w:line="360" w:lineRule="auto"/>
        <w:contextualSpacing w:val="0"/>
        <w:jc w:val="both"/>
        <w:rPr>
          <w:rFonts w:ascii="Arial" w:hAnsi="Arial" w:cs="Arial"/>
        </w:rPr>
      </w:pPr>
      <w:r>
        <w:rPr>
          <w:rFonts w:ascii="Arial" w:hAnsi="Arial" w:cs="Arial"/>
        </w:rPr>
        <w:t>t</w:t>
      </w:r>
      <w:r w:rsidR="00BB7AD2">
        <w:rPr>
          <w:rFonts w:ascii="Arial" w:hAnsi="Arial" w:cs="Arial"/>
        </w:rPr>
        <w:t>he</w:t>
      </w:r>
      <w:r w:rsidR="000F556E">
        <w:rPr>
          <w:rFonts w:ascii="Arial" w:hAnsi="Arial" w:cs="Arial"/>
        </w:rPr>
        <w:t xml:space="preserve"> </w:t>
      </w:r>
      <w:r w:rsidR="002D1152" w:rsidRPr="000F556E">
        <w:rPr>
          <w:rFonts w:ascii="Arial" w:hAnsi="Arial" w:cs="Arial"/>
        </w:rPr>
        <w:t>obligation to disapply conflicting national laws applies not only to national courts but also to relevant administrative agencies</w:t>
      </w:r>
      <w:r>
        <w:rPr>
          <w:rFonts w:ascii="Arial" w:hAnsi="Arial" w:cs="Arial"/>
        </w:rPr>
        <w:t>;</w:t>
      </w:r>
      <w:r w:rsidR="002D1152">
        <w:rPr>
          <w:rStyle w:val="FootnoteReference"/>
          <w:rFonts w:ascii="Arial" w:hAnsi="Arial" w:cs="Arial"/>
        </w:rPr>
        <w:footnoteReference w:id="20"/>
      </w:r>
      <w:r w:rsidR="003474E6">
        <w:rPr>
          <w:rFonts w:ascii="Arial" w:hAnsi="Arial" w:cs="Arial"/>
        </w:rPr>
        <w:t xml:space="preserve"> </w:t>
      </w:r>
    </w:p>
    <w:p w:rsidR="000F556E" w:rsidRPr="00782752" w:rsidRDefault="0041083A" w:rsidP="00BB7AD2">
      <w:pPr>
        <w:pStyle w:val="ListParagraph"/>
        <w:numPr>
          <w:ilvl w:val="1"/>
          <w:numId w:val="5"/>
        </w:numPr>
        <w:spacing w:after="240" w:line="360" w:lineRule="auto"/>
        <w:contextualSpacing w:val="0"/>
        <w:jc w:val="both"/>
        <w:rPr>
          <w:rFonts w:ascii="Arial" w:hAnsi="Arial" w:cs="Arial"/>
        </w:rPr>
      </w:pPr>
      <w:r>
        <w:rPr>
          <w:rFonts w:ascii="Arial" w:hAnsi="Arial" w:cs="Arial"/>
        </w:rPr>
        <w:t>i</w:t>
      </w:r>
      <w:r w:rsidR="00BB7AD2">
        <w:rPr>
          <w:rFonts w:ascii="Arial" w:hAnsi="Arial" w:cs="Arial"/>
        </w:rPr>
        <w:t xml:space="preserve">t is </w:t>
      </w:r>
      <w:r w:rsidR="00782752" w:rsidRPr="00782752">
        <w:rPr>
          <w:rFonts w:ascii="Arial" w:hAnsi="Arial" w:cs="Arial"/>
        </w:rPr>
        <w:t xml:space="preserve">open to individuals to challenge </w:t>
      </w:r>
      <w:r w:rsidR="00717C38">
        <w:rPr>
          <w:rFonts w:ascii="Arial" w:hAnsi="Arial" w:cs="Arial"/>
        </w:rPr>
        <w:t>a Member</w:t>
      </w:r>
      <w:r w:rsidR="00782752" w:rsidRPr="00782752">
        <w:rPr>
          <w:rFonts w:ascii="Arial" w:hAnsi="Arial" w:cs="Arial"/>
        </w:rPr>
        <w:t xml:space="preserve"> State</w:t>
      </w:r>
      <w:r w:rsidR="00717C38">
        <w:rPr>
          <w:rFonts w:ascii="Arial" w:hAnsi="Arial" w:cs="Arial"/>
        </w:rPr>
        <w:t>’s failure to implement a</w:t>
      </w:r>
      <w:r w:rsidR="009374A2">
        <w:rPr>
          <w:rFonts w:ascii="Arial" w:hAnsi="Arial" w:cs="Arial"/>
        </w:rPr>
        <w:t xml:space="preserve"> directive </w:t>
      </w:r>
      <w:r w:rsidR="00782752" w:rsidRPr="00782752">
        <w:rPr>
          <w:rFonts w:ascii="Arial" w:hAnsi="Arial" w:cs="Arial"/>
        </w:rPr>
        <w:t>properly or at all</w:t>
      </w:r>
      <w:r w:rsidR="00717C38">
        <w:rPr>
          <w:rFonts w:ascii="Arial" w:hAnsi="Arial" w:cs="Arial"/>
        </w:rPr>
        <w:t xml:space="preserve"> and individuals can rely on provisions of a directive before their national court in order to </w:t>
      </w:r>
      <w:r w:rsidR="00423504">
        <w:rPr>
          <w:rFonts w:ascii="Arial" w:hAnsi="Arial" w:cs="Arial"/>
        </w:rPr>
        <w:t xml:space="preserve">achieve </w:t>
      </w:r>
      <w:r w:rsidR="00717C38">
        <w:rPr>
          <w:rFonts w:ascii="Arial" w:hAnsi="Arial" w:cs="Arial"/>
        </w:rPr>
        <w:t>that (provided they are unconditional and sufficiently precise to be capable of having direct effect).</w:t>
      </w:r>
      <w:r w:rsidR="00BB7AD2">
        <w:rPr>
          <w:rStyle w:val="FootnoteReference"/>
          <w:rFonts w:ascii="Arial" w:hAnsi="Arial" w:cs="Arial"/>
        </w:rPr>
        <w:footnoteReference w:id="21"/>
      </w:r>
      <w:r w:rsidR="00782752" w:rsidRPr="00782752">
        <w:rPr>
          <w:rFonts w:ascii="Arial" w:hAnsi="Arial" w:cs="Arial"/>
        </w:rPr>
        <w:t xml:space="preserve"> </w:t>
      </w:r>
      <w:r w:rsidR="00717C38">
        <w:rPr>
          <w:rFonts w:ascii="Arial" w:hAnsi="Arial" w:cs="Arial"/>
        </w:rPr>
        <w:t>Individuals can also challenge</w:t>
      </w:r>
      <w:r w:rsidR="000A04B3">
        <w:rPr>
          <w:rFonts w:ascii="Arial" w:hAnsi="Arial" w:cs="Arial"/>
        </w:rPr>
        <w:t xml:space="preserve"> the incorrect </w:t>
      </w:r>
      <w:r w:rsidR="000A04B3" w:rsidRPr="000A04B3">
        <w:rPr>
          <w:rFonts w:ascii="Arial" w:hAnsi="Arial" w:cs="Arial"/>
        </w:rPr>
        <w:t>application</w:t>
      </w:r>
      <w:r w:rsidR="000A04B3">
        <w:rPr>
          <w:rFonts w:ascii="Arial" w:hAnsi="Arial" w:cs="Arial"/>
        </w:rPr>
        <w:t xml:space="preserve"> of a directive even after it has been domestically implemented</w:t>
      </w:r>
      <w:r>
        <w:rPr>
          <w:rFonts w:ascii="Arial" w:hAnsi="Arial" w:cs="Arial"/>
        </w:rPr>
        <w:t>;</w:t>
      </w:r>
      <w:r w:rsidR="00782752">
        <w:rPr>
          <w:rStyle w:val="FootnoteReference"/>
          <w:rFonts w:ascii="Arial" w:hAnsi="Arial" w:cs="Arial"/>
        </w:rPr>
        <w:footnoteReference w:id="22"/>
      </w:r>
      <w:r w:rsidR="00782752" w:rsidRPr="00782752">
        <w:rPr>
          <w:rFonts w:ascii="Arial" w:hAnsi="Arial" w:cs="Arial"/>
        </w:rPr>
        <w:t xml:space="preserve"> </w:t>
      </w:r>
    </w:p>
    <w:p w:rsidR="00981C39" w:rsidRDefault="0041083A" w:rsidP="00981C39">
      <w:pPr>
        <w:pStyle w:val="ListParagraph"/>
        <w:numPr>
          <w:ilvl w:val="1"/>
          <w:numId w:val="5"/>
        </w:numPr>
        <w:spacing w:after="240" w:line="360" w:lineRule="auto"/>
        <w:contextualSpacing w:val="0"/>
        <w:jc w:val="both"/>
        <w:rPr>
          <w:rFonts w:ascii="Arial" w:hAnsi="Arial" w:cs="Arial"/>
        </w:rPr>
      </w:pPr>
      <w:r>
        <w:rPr>
          <w:rFonts w:ascii="Arial" w:hAnsi="Arial" w:cs="Arial"/>
        </w:rPr>
        <w:t>t</w:t>
      </w:r>
      <w:r w:rsidR="009374A2">
        <w:rPr>
          <w:rFonts w:ascii="Arial" w:hAnsi="Arial" w:cs="Arial"/>
        </w:rPr>
        <w:t>he</w:t>
      </w:r>
      <w:r w:rsidR="00BB7AD2">
        <w:rPr>
          <w:rFonts w:ascii="Arial" w:hAnsi="Arial" w:cs="Arial"/>
        </w:rPr>
        <w:t xml:space="preserve"> principle of harmonious interpretation </w:t>
      </w:r>
      <w:r w:rsidR="009374A2">
        <w:rPr>
          <w:rFonts w:ascii="Arial" w:hAnsi="Arial" w:cs="Arial"/>
        </w:rPr>
        <w:t>imposes</w:t>
      </w:r>
      <w:r w:rsidR="00981C39">
        <w:rPr>
          <w:rFonts w:ascii="Arial" w:hAnsi="Arial" w:cs="Arial"/>
        </w:rPr>
        <w:t xml:space="preserve"> </w:t>
      </w:r>
      <w:r w:rsidR="00B3292B">
        <w:rPr>
          <w:rFonts w:ascii="Arial" w:hAnsi="Arial" w:cs="Arial"/>
        </w:rPr>
        <w:t>a strong</w:t>
      </w:r>
      <w:r w:rsidR="00981C39">
        <w:rPr>
          <w:rFonts w:ascii="Arial" w:hAnsi="Arial" w:cs="Arial"/>
        </w:rPr>
        <w:t xml:space="preserve"> interpretive obligation</w:t>
      </w:r>
      <w:r w:rsidR="009374A2">
        <w:rPr>
          <w:rFonts w:ascii="Arial" w:hAnsi="Arial" w:cs="Arial"/>
        </w:rPr>
        <w:t xml:space="preserve"> on national courts</w:t>
      </w:r>
      <w:r w:rsidR="00B3292B">
        <w:rPr>
          <w:rFonts w:ascii="Arial" w:hAnsi="Arial" w:cs="Arial"/>
        </w:rPr>
        <w:t xml:space="preserve">, </w:t>
      </w:r>
      <w:r w:rsidR="009374A2">
        <w:rPr>
          <w:rFonts w:ascii="Arial" w:hAnsi="Arial" w:cs="Arial"/>
        </w:rPr>
        <w:t xml:space="preserve">as a result of which they are required to interpret </w:t>
      </w:r>
      <w:r w:rsidR="00BB7AD2">
        <w:rPr>
          <w:rFonts w:ascii="Arial" w:hAnsi="Arial" w:cs="Arial"/>
        </w:rPr>
        <w:t xml:space="preserve">all </w:t>
      </w:r>
      <w:r w:rsidR="00B3292B">
        <w:rPr>
          <w:rFonts w:ascii="Arial" w:hAnsi="Arial" w:cs="Arial"/>
        </w:rPr>
        <w:t xml:space="preserve">national law </w:t>
      </w:r>
      <w:r w:rsidR="00BB7AD2">
        <w:rPr>
          <w:rFonts w:ascii="Arial" w:hAnsi="Arial" w:cs="Arial"/>
        </w:rPr>
        <w:t xml:space="preserve">(and not </w:t>
      </w:r>
      <w:r w:rsidR="009374A2">
        <w:rPr>
          <w:rFonts w:ascii="Arial" w:hAnsi="Arial" w:cs="Arial"/>
        </w:rPr>
        <w:t>merely</w:t>
      </w:r>
      <w:r w:rsidR="00BB7AD2">
        <w:rPr>
          <w:rFonts w:ascii="Arial" w:hAnsi="Arial" w:cs="Arial"/>
        </w:rPr>
        <w:t xml:space="preserve"> </w:t>
      </w:r>
      <w:r w:rsidR="00A3446C">
        <w:rPr>
          <w:rFonts w:ascii="Arial" w:hAnsi="Arial" w:cs="Arial"/>
        </w:rPr>
        <w:t xml:space="preserve">specific </w:t>
      </w:r>
      <w:r w:rsidR="00BB7AD2">
        <w:rPr>
          <w:rFonts w:ascii="Arial" w:hAnsi="Arial" w:cs="Arial"/>
        </w:rPr>
        <w:t xml:space="preserve">implementing measures) </w:t>
      </w:r>
      <w:r w:rsidR="00B3292B">
        <w:rPr>
          <w:rFonts w:ascii="Arial" w:hAnsi="Arial" w:cs="Arial"/>
        </w:rPr>
        <w:t>in the light of</w:t>
      </w:r>
      <w:r w:rsidR="009374A2">
        <w:rPr>
          <w:rFonts w:ascii="Arial" w:hAnsi="Arial" w:cs="Arial"/>
        </w:rPr>
        <w:t xml:space="preserve"> relevant</w:t>
      </w:r>
      <w:r w:rsidR="00B3292B">
        <w:rPr>
          <w:rFonts w:ascii="Arial" w:hAnsi="Arial" w:cs="Arial"/>
        </w:rPr>
        <w:t xml:space="preserve"> directives</w:t>
      </w:r>
      <w:r>
        <w:rPr>
          <w:rFonts w:ascii="Arial" w:hAnsi="Arial" w:cs="Arial"/>
        </w:rPr>
        <w:t>;</w:t>
      </w:r>
      <w:r w:rsidR="00B3292B">
        <w:rPr>
          <w:rStyle w:val="FootnoteReference"/>
          <w:rFonts w:ascii="Arial" w:hAnsi="Arial" w:cs="Arial"/>
        </w:rPr>
        <w:footnoteReference w:id="23"/>
      </w:r>
      <w:r>
        <w:rPr>
          <w:rFonts w:ascii="Arial" w:hAnsi="Arial" w:cs="Arial"/>
        </w:rPr>
        <w:t xml:space="preserve"> and </w:t>
      </w:r>
      <w:r w:rsidR="00981C39">
        <w:rPr>
          <w:rFonts w:ascii="Arial" w:hAnsi="Arial" w:cs="Arial"/>
        </w:rPr>
        <w:t xml:space="preserve"> </w:t>
      </w:r>
    </w:p>
    <w:p w:rsidR="009374A2" w:rsidRDefault="009374A2" w:rsidP="00981C39">
      <w:pPr>
        <w:pStyle w:val="ListParagraph"/>
        <w:numPr>
          <w:ilvl w:val="1"/>
          <w:numId w:val="5"/>
        </w:numPr>
        <w:spacing w:after="240" w:line="360" w:lineRule="auto"/>
        <w:contextualSpacing w:val="0"/>
        <w:jc w:val="both"/>
        <w:rPr>
          <w:rFonts w:ascii="Arial" w:hAnsi="Arial" w:cs="Arial"/>
        </w:rPr>
      </w:pPr>
      <w:r>
        <w:rPr>
          <w:rFonts w:ascii="Arial" w:hAnsi="Arial" w:cs="Arial"/>
        </w:rPr>
        <w:t xml:space="preserve">Member States </w:t>
      </w:r>
      <w:r w:rsidR="004A1736">
        <w:rPr>
          <w:rFonts w:ascii="Arial" w:hAnsi="Arial" w:cs="Arial"/>
        </w:rPr>
        <w:t>are</w:t>
      </w:r>
      <w:r>
        <w:rPr>
          <w:rFonts w:ascii="Arial" w:hAnsi="Arial" w:cs="Arial"/>
        </w:rPr>
        <w:t xml:space="preserve"> required to ensure that procedures and remedies available</w:t>
      </w:r>
      <w:r w:rsidR="0041083A">
        <w:rPr>
          <w:rFonts w:ascii="Arial" w:hAnsi="Arial" w:cs="Arial"/>
        </w:rPr>
        <w:t xml:space="preserve"> for the enforcement of an</w:t>
      </w:r>
      <w:r>
        <w:rPr>
          <w:rFonts w:ascii="Arial" w:hAnsi="Arial" w:cs="Arial"/>
        </w:rPr>
        <w:t xml:space="preserve"> EU law cause of action are</w:t>
      </w:r>
      <w:r w:rsidR="000A04B3" w:rsidRPr="000A04B3">
        <w:rPr>
          <w:rFonts w:ascii="Arial" w:hAnsi="Arial" w:cs="Arial"/>
        </w:rPr>
        <w:t xml:space="preserve"> </w:t>
      </w:r>
      <w:r w:rsidR="000A04B3">
        <w:rPr>
          <w:rFonts w:ascii="Arial" w:hAnsi="Arial" w:cs="Arial"/>
        </w:rPr>
        <w:t>effective for the purpose of exercising the EU right in question and</w:t>
      </w:r>
      <w:r>
        <w:rPr>
          <w:rFonts w:ascii="Arial" w:hAnsi="Arial" w:cs="Arial"/>
        </w:rPr>
        <w:t xml:space="preserve"> equivalent to (i.e. no less favourable than) those governing the same right of action on an internal matter</w:t>
      </w:r>
      <w:r w:rsidR="004A1736">
        <w:rPr>
          <w:rFonts w:ascii="Arial" w:hAnsi="Arial" w:cs="Arial"/>
        </w:rPr>
        <w:t>.</w:t>
      </w:r>
      <w:r w:rsidR="003B6D78">
        <w:rPr>
          <w:rStyle w:val="FootnoteReference"/>
          <w:rFonts w:ascii="Arial" w:hAnsi="Arial" w:cs="Arial"/>
        </w:rPr>
        <w:footnoteReference w:id="24"/>
      </w:r>
      <w:r w:rsidR="004A1736">
        <w:rPr>
          <w:rFonts w:ascii="Arial" w:hAnsi="Arial" w:cs="Arial"/>
        </w:rPr>
        <w:t xml:space="preserve"> </w:t>
      </w:r>
    </w:p>
    <w:p w:rsidR="00492F9C" w:rsidRDefault="00191B33" w:rsidP="002D2655">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The </w:t>
      </w:r>
      <w:r w:rsidR="003B6D78">
        <w:rPr>
          <w:rFonts w:ascii="Arial" w:hAnsi="Arial" w:cs="Arial"/>
        </w:rPr>
        <w:t xml:space="preserve">issue which therefore arises upon </w:t>
      </w:r>
      <w:r w:rsidR="00492F9C">
        <w:rPr>
          <w:rFonts w:ascii="Arial" w:hAnsi="Arial" w:cs="Arial"/>
        </w:rPr>
        <w:t>the transmogrification</w:t>
      </w:r>
      <w:r w:rsidR="003B6D78">
        <w:rPr>
          <w:rFonts w:ascii="Arial" w:hAnsi="Arial" w:cs="Arial"/>
        </w:rPr>
        <w:t xml:space="preserve"> of the EU acquis into domestic law is how</w:t>
      </w:r>
      <w:r>
        <w:rPr>
          <w:rFonts w:ascii="Arial" w:hAnsi="Arial" w:cs="Arial"/>
        </w:rPr>
        <w:t xml:space="preserve"> </w:t>
      </w:r>
      <w:r w:rsidR="003B6D78">
        <w:rPr>
          <w:rFonts w:ascii="Arial" w:hAnsi="Arial" w:cs="Arial"/>
        </w:rPr>
        <w:t>the long-established</w:t>
      </w:r>
      <w:r>
        <w:rPr>
          <w:rFonts w:ascii="Arial" w:hAnsi="Arial" w:cs="Arial"/>
        </w:rPr>
        <w:t xml:space="preserve"> </w:t>
      </w:r>
      <w:r w:rsidR="003B6D78">
        <w:rPr>
          <w:rFonts w:ascii="Arial" w:hAnsi="Arial" w:cs="Arial"/>
        </w:rPr>
        <w:t>doctrines</w:t>
      </w:r>
      <w:r>
        <w:rPr>
          <w:rFonts w:ascii="Arial" w:hAnsi="Arial" w:cs="Arial"/>
        </w:rPr>
        <w:t xml:space="preserve"> of supremacy</w:t>
      </w:r>
      <w:r w:rsidR="003B6D78">
        <w:rPr>
          <w:rFonts w:ascii="Arial" w:hAnsi="Arial" w:cs="Arial"/>
        </w:rPr>
        <w:t xml:space="preserve"> and direct effect</w:t>
      </w:r>
      <w:r>
        <w:rPr>
          <w:rFonts w:ascii="Arial" w:hAnsi="Arial" w:cs="Arial"/>
        </w:rPr>
        <w:t xml:space="preserve">, </w:t>
      </w:r>
      <w:r w:rsidR="003B6D78">
        <w:rPr>
          <w:rFonts w:ascii="Arial" w:hAnsi="Arial" w:cs="Arial"/>
        </w:rPr>
        <w:t xml:space="preserve">entailing all the constituent elements described above, </w:t>
      </w:r>
      <w:r>
        <w:rPr>
          <w:rFonts w:ascii="Arial" w:hAnsi="Arial" w:cs="Arial"/>
        </w:rPr>
        <w:t xml:space="preserve">will manifest </w:t>
      </w:r>
      <w:r w:rsidR="003B6D78">
        <w:rPr>
          <w:rFonts w:ascii="Arial" w:hAnsi="Arial" w:cs="Arial"/>
        </w:rPr>
        <w:t>themselves</w:t>
      </w:r>
      <w:r>
        <w:rPr>
          <w:rFonts w:ascii="Arial" w:hAnsi="Arial" w:cs="Arial"/>
        </w:rPr>
        <w:t xml:space="preserve"> </w:t>
      </w:r>
      <w:r w:rsidR="003B6D78">
        <w:rPr>
          <w:rFonts w:ascii="Arial" w:hAnsi="Arial" w:cs="Arial"/>
        </w:rPr>
        <w:t xml:space="preserve">in the new domestic order. </w:t>
      </w:r>
      <w:r w:rsidR="00492F9C">
        <w:rPr>
          <w:rFonts w:ascii="Arial" w:hAnsi="Arial" w:cs="Arial"/>
        </w:rPr>
        <w:t>Several “conflict” scenarios might arise</w:t>
      </w:r>
      <w:r w:rsidR="003B6D78">
        <w:rPr>
          <w:rFonts w:ascii="Arial" w:hAnsi="Arial" w:cs="Arial"/>
        </w:rPr>
        <w:t>.</w:t>
      </w:r>
    </w:p>
    <w:p w:rsidR="00191B33" w:rsidRPr="00492F9C" w:rsidRDefault="00492F9C" w:rsidP="00492F9C">
      <w:pPr>
        <w:pStyle w:val="ListParagraph"/>
        <w:numPr>
          <w:ilvl w:val="0"/>
          <w:numId w:val="18"/>
        </w:numPr>
        <w:spacing w:after="240" w:line="360" w:lineRule="auto"/>
        <w:contextualSpacing w:val="0"/>
        <w:jc w:val="both"/>
        <w:rPr>
          <w:rFonts w:ascii="Arial" w:hAnsi="Arial" w:cs="Arial"/>
          <w:u w:val="single"/>
        </w:rPr>
      </w:pPr>
      <w:r w:rsidRPr="00492F9C">
        <w:rPr>
          <w:rFonts w:ascii="Arial" w:hAnsi="Arial" w:cs="Arial"/>
          <w:u w:val="single"/>
        </w:rPr>
        <w:t>Conflict between</w:t>
      </w:r>
      <w:r>
        <w:rPr>
          <w:rFonts w:ascii="Arial" w:hAnsi="Arial" w:cs="Arial"/>
          <w:u w:val="single"/>
        </w:rPr>
        <w:t xml:space="preserve"> </w:t>
      </w:r>
      <w:r w:rsidRPr="00492F9C">
        <w:rPr>
          <w:rFonts w:ascii="Arial" w:hAnsi="Arial" w:cs="Arial"/>
          <w:u w:val="single"/>
        </w:rPr>
        <w:t xml:space="preserve">EU-derived domestic law and </w:t>
      </w:r>
      <w:r w:rsidR="00C90A8D">
        <w:rPr>
          <w:rFonts w:ascii="Arial" w:hAnsi="Arial" w:cs="Arial"/>
          <w:u w:val="single"/>
        </w:rPr>
        <w:t xml:space="preserve">pre-Brexit </w:t>
      </w:r>
      <w:r w:rsidRPr="00492F9C">
        <w:rPr>
          <w:rFonts w:ascii="Arial" w:hAnsi="Arial" w:cs="Arial"/>
          <w:u w:val="single"/>
        </w:rPr>
        <w:t>“original” domestic law</w:t>
      </w:r>
    </w:p>
    <w:p w:rsidR="003B6D78" w:rsidRDefault="00492F9C" w:rsidP="002D2655">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I</w:t>
      </w:r>
      <w:r w:rsidR="003B6D78">
        <w:rPr>
          <w:rFonts w:ascii="Arial" w:hAnsi="Arial" w:cs="Arial"/>
        </w:rPr>
        <w:t xml:space="preserve">magine the situation </w:t>
      </w:r>
      <w:r w:rsidR="00191B33">
        <w:rPr>
          <w:rFonts w:ascii="Arial" w:hAnsi="Arial" w:cs="Arial"/>
        </w:rPr>
        <w:t xml:space="preserve">where </w:t>
      </w:r>
      <w:r w:rsidR="003B6D78">
        <w:rPr>
          <w:rFonts w:ascii="Arial" w:hAnsi="Arial" w:cs="Arial"/>
        </w:rPr>
        <w:t>a provision of</w:t>
      </w:r>
      <w:r w:rsidR="00191B33">
        <w:rPr>
          <w:rFonts w:ascii="Arial" w:hAnsi="Arial" w:cs="Arial"/>
        </w:rPr>
        <w:t xml:space="preserve"> EU-derived domestic law</w:t>
      </w:r>
      <w:r w:rsidR="003B6D78">
        <w:rPr>
          <w:rFonts w:ascii="Arial" w:hAnsi="Arial" w:cs="Arial"/>
        </w:rPr>
        <w:t xml:space="preserve"> conflicts with a provision of </w:t>
      </w:r>
      <w:r>
        <w:rPr>
          <w:rFonts w:ascii="Arial" w:hAnsi="Arial" w:cs="Arial"/>
        </w:rPr>
        <w:t>“</w:t>
      </w:r>
      <w:r w:rsidR="00191B33">
        <w:rPr>
          <w:rFonts w:ascii="Arial" w:hAnsi="Arial" w:cs="Arial"/>
        </w:rPr>
        <w:t>original</w:t>
      </w:r>
      <w:r>
        <w:rPr>
          <w:rFonts w:ascii="Arial" w:hAnsi="Arial" w:cs="Arial"/>
        </w:rPr>
        <w:t>”</w:t>
      </w:r>
      <w:r w:rsidR="003B6D78">
        <w:rPr>
          <w:rFonts w:ascii="Arial" w:hAnsi="Arial" w:cs="Arial"/>
        </w:rPr>
        <w:t xml:space="preserve"> domestic law</w:t>
      </w:r>
      <w:r>
        <w:rPr>
          <w:rFonts w:ascii="Arial" w:hAnsi="Arial" w:cs="Arial"/>
        </w:rPr>
        <w:t>,</w:t>
      </w:r>
      <w:r w:rsidR="00191B33">
        <w:rPr>
          <w:rFonts w:ascii="Arial" w:hAnsi="Arial" w:cs="Arial"/>
        </w:rPr>
        <w:t xml:space="preserve"> </w:t>
      </w:r>
      <w:r w:rsidR="000918E6">
        <w:rPr>
          <w:rFonts w:ascii="Arial" w:hAnsi="Arial" w:cs="Arial"/>
        </w:rPr>
        <w:t>both of which pre-date</w:t>
      </w:r>
      <w:r w:rsidR="00191B33">
        <w:rPr>
          <w:rFonts w:ascii="Arial" w:hAnsi="Arial" w:cs="Arial"/>
        </w:rPr>
        <w:t xml:space="preserve"> </w:t>
      </w:r>
      <w:r>
        <w:rPr>
          <w:rFonts w:ascii="Arial" w:hAnsi="Arial" w:cs="Arial"/>
        </w:rPr>
        <w:t>Brexit</w:t>
      </w:r>
      <w:r w:rsidR="00191B33">
        <w:rPr>
          <w:rFonts w:ascii="Arial" w:hAnsi="Arial" w:cs="Arial"/>
        </w:rPr>
        <w:t xml:space="preserve">. </w:t>
      </w:r>
      <w:r>
        <w:rPr>
          <w:rFonts w:ascii="Arial" w:hAnsi="Arial" w:cs="Arial"/>
        </w:rPr>
        <w:t>Section</w:t>
      </w:r>
      <w:r w:rsidR="00D1394F">
        <w:rPr>
          <w:rFonts w:ascii="Arial" w:hAnsi="Arial" w:cs="Arial"/>
        </w:rPr>
        <w:t xml:space="preserve"> 5(2)</w:t>
      </w:r>
      <w:r>
        <w:rPr>
          <w:rFonts w:ascii="Arial" w:hAnsi="Arial" w:cs="Arial"/>
        </w:rPr>
        <w:t xml:space="preserve"> GRB</w:t>
      </w:r>
      <w:r w:rsidR="003B6D78">
        <w:rPr>
          <w:rFonts w:ascii="Arial" w:hAnsi="Arial" w:cs="Arial"/>
        </w:rPr>
        <w:t xml:space="preserve"> </w:t>
      </w:r>
      <w:r w:rsidR="00A32F5A">
        <w:rPr>
          <w:rFonts w:ascii="Arial" w:hAnsi="Arial" w:cs="Arial"/>
        </w:rPr>
        <w:t>tells us</w:t>
      </w:r>
      <w:r w:rsidR="00191B33">
        <w:rPr>
          <w:rFonts w:ascii="Arial" w:hAnsi="Arial" w:cs="Arial"/>
        </w:rPr>
        <w:t xml:space="preserve"> that </w:t>
      </w:r>
      <w:r w:rsidR="00D1394F">
        <w:rPr>
          <w:rFonts w:ascii="Arial" w:hAnsi="Arial" w:cs="Arial"/>
        </w:rPr>
        <w:t>“the principle of supremacy of EU law continues to apply on or after exit day so far as relevant to the interpretation, disapplication or quashing of any enactment or rule of law passed or made before exit day”</w:t>
      </w:r>
      <w:r w:rsidR="00191B33">
        <w:rPr>
          <w:rFonts w:ascii="Arial" w:hAnsi="Arial" w:cs="Arial"/>
        </w:rPr>
        <w:t xml:space="preserve">. </w:t>
      </w:r>
      <w:r w:rsidR="0041083A">
        <w:rPr>
          <w:rFonts w:ascii="Arial" w:hAnsi="Arial" w:cs="Arial"/>
        </w:rPr>
        <w:t xml:space="preserve">The White Paper explains the intention behind this provision in the following terms: </w:t>
      </w:r>
    </w:p>
    <w:p w:rsidR="0041083A" w:rsidRDefault="0041083A" w:rsidP="0041083A">
      <w:pPr>
        <w:pStyle w:val="ListParagraph"/>
        <w:spacing w:after="360"/>
        <w:ind w:left="1134" w:right="567" w:firstLine="0"/>
        <w:contextualSpacing w:val="0"/>
        <w:jc w:val="both"/>
        <w:rPr>
          <w:rFonts w:ascii="Arial" w:hAnsi="Arial" w:cs="Arial"/>
        </w:rPr>
      </w:pPr>
      <w:r>
        <w:rPr>
          <w:rFonts w:ascii="Arial" w:hAnsi="Arial" w:cs="Arial"/>
        </w:rPr>
        <w:t>“</w:t>
      </w:r>
      <w:r w:rsidR="00A3446C">
        <w:rPr>
          <w:rFonts w:ascii="Arial" w:hAnsi="Arial" w:cs="Arial"/>
        </w:rPr>
        <w:t xml:space="preserve">If, after exit, a conflict arises between two pre-exit laws, one of which is an EU-derived law and the other not, then the EU-derived law will continue to take precedence over the other pre-exit law. </w:t>
      </w:r>
      <w:r>
        <w:rPr>
          <w:rFonts w:ascii="Arial" w:hAnsi="Arial" w:cs="Arial"/>
        </w:rPr>
        <w:t>Any other approach would change the law and create uncertainty as to its meaning. This approach will give coherence to the statute book, while putting Parliament back in control.</w:t>
      </w:r>
      <w:r w:rsidR="00A3446C">
        <w:rPr>
          <w:rFonts w:ascii="Arial" w:hAnsi="Arial" w:cs="Arial"/>
        </w:rPr>
        <w:t xml:space="preserve"> Once the UK has left the EU, Parliament (and, where appropriate, the devolved legislatures) will be able to change these laws wherever it is considered desirable.</w:t>
      </w:r>
      <w:r>
        <w:rPr>
          <w:rFonts w:ascii="Arial" w:hAnsi="Arial" w:cs="Arial"/>
        </w:rPr>
        <w:t>”</w:t>
      </w:r>
      <w:r w:rsidR="001B000A">
        <w:rPr>
          <w:rStyle w:val="FootnoteReference"/>
          <w:rFonts w:ascii="Arial" w:hAnsi="Arial" w:cs="Arial"/>
        </w:rPr>
        <w:footnoteReference w:id="25"/>
      </w:r>
    </w:p>
    <w:p w:rsidR="00896E4D" w:rsidRDefault="00A3446C" w:rsidP="002D2655">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In other words, the intention </w:t>
      </w:r>
      <w:r w:rsidR="00515C45">
        <w:rPr>
          <w:rFonts w:ascii="Arial" w:hAnsi="Arial" w:cs="Arial"/>
        </w:rPr>
        <w:t>appears to be that</w:t>
      </w:r>
      <w:r w:rsidR="002762A3">
        <w:rPr>
          <w:rFonts w:ascii="Arial" w:hAnsi="Arial" w:cs="Arial"/>
        </w:rPr>
        <w:t xml:space="preserve"> </w:t>
      </w:r>
      <w:r>
        <w:rPr>
          <w:rFonts w:ascii="Arial" w:hAnsi="Arial" w:cs="Arial"/>
        </w:rPr>
        <w:t xml:space="preserve">the supremacy doctrine </w:t>
      </w:r>
      <w:r w:rsidR="00A32F5A">
        <w:rPr>
          <w:rFonts w:ascii="Arial" w:hAnsi="Arial" w:cs="Arial"/>
        </w:rPr>
        <w:t>will be</w:t>
      </w:r>
      <w:r w:rsidR="002762A3">
        <w:rPr>
          <w:rFonts w:ascii="Arial" w:hAnsi="Arial" w:cs="Arial"/>
        </w:rPr>
        <w:t xml:space="preserve"> replicated in</w:t>
      </w:r>
      <w:r w:rsidR="00886DDE">
        <w:rPr>
          <w:rFonts w:ascii="Arial" w:hAnsi="Arial" w:cs="Arial"/>
        </w:rPr>
        <w:t xml:space="preserve"> respect of</w:t>
      </w:r>
      <w:r>
        <w:rPr>
          <w:rFonts w:ascii="Arial" w:hAnsi="Arial" w:cs="Arial"/>
        </w:rPr>
        <w:t xml:space="preserve"> pre-Brexit </w:t>
      </w:r>
      <w:r w:rsidR="00886DDE">
        <w:rPr>
          <w:rFonts w:ascii="Arial" w:hAnsi="Arial" w:cs="Arial"/>
        </w:rPr>
        <w:t xml:space="preserve">EU derived </w:t>
      </w:r>
      <w:r>
        <w:rPr>
          <w:rFonts w:ascii="Arial" w:hAnsi="Arial" w:cs="Arial"/>
        </w:rPr>
        <w:t xml:space="preserve">law. </w:t>
      </w:r>
      <w:r w:rsidR="00492F9C">
        <w:rPr>
          <w:rFonts w:ascii="Arial" w:hAnsi="Arial" w:cs="Arial"/>
        </w:rPr>
        <w:t>But</w:t>
      </w:r>
      <w:r w:rsidR="002762A3">
        <w:rPr>
          <w:rFonts w:ascii="Arial" w:hAnsi="Arial" w:cs="Arial"/>
        </w:rPr>
        <w:t xml:space="preserve"> the way in which section 5(2)</w:t>
      </w:r>
      <w:r>
        <w:rPr>
          <w:rFonts w:ascii="Arial" w:hAnsi="Arial" w:cs="Times New Roman"/>
        </w:rPr>
        <w:t xml:space="preserve"> GRB </w:t>
      </w:r>
      <w:r w:rsidR="00A32F5A">
        <w:rPr>
          <w:rFonts w:ascii="Arial" w:hAnsi="Arial" w:cs="Times New Roman"/>
        </w:rPr>
        <w:t>will apply in practice is likely to</w:t>
      </w:r>
      <w:r>
        <w:rPr>
          <w:rFonts w:ascii="Arial" w:hAnsi="Arial" w:cs="Times New Roman"/>
        </w:rPr>
        <w:t xml:space="preserve"> vary significantly depending on the type of EU law that has been converted.</w:t>
      </w:r>
      <w:r>
        <w:rPr>
          <w:rFonts w:ascii="Arial" w:hAnsi="Arial" w:cs="Arial"/>
        </w:rPr>
        <w:t xml:space="preserve"> In respect of </w:t>
      </w:r>
      <w:r w:rsidR="00896E4D" w:rsidRPr="00492F9C">
        <w:rPr>
          <w:rFonts w:ascii="Arial" w:hAnsi="Arial" w:cs="Arial"/>
          <w:u w:val="single"/>
        </w:rPr>
        <w:t>regulations</w:t>
      </w:r>
      <w:r w:rsidR="00896E4D">
        <w:rPr>
          <w:rFonts w:ascii="Arial" w:hAnsi="Arial" w:cs="Arial"/>
        </w:rPr>
        <w:t xml:space="preserve"> and </w:t>
      </w:r>
      <w:r w:rsidR="00492F9C">
        <w:rPr>
          <w:rFonts w:ascii="Arial" w:hAnsi="Arial" w:cs="Arial"/>
          <w:u w:val="single"/>
        </w:rPr>
        <w:t>directly effective T</w:t>
      </w:r>
      <w:r w:rsidR="00896E4D" w:rsidRPr="00492F9C">
        <w:rPr>
          <w:rFonts w:ascii="Arial" w:hAnsi="Arial" w:cs="Arial"/>
          <w:u w:val="single"/>
        </w:rPr>
        <w:t>reaty provisions</w:t>
      </w:r>
      <w:r w:rsidR="00896E4D">
        <w:rPr>
          <w:rFonts w:ascii="Arial" w:hAnsi="Arial" w:cs="Arial"/>
        </w:rPr>
        <w:t xml:space="preserve">, </w:t>
      </w:r>
      <w:r w:rsidR="00A32F5A">
        <w:rPr>
          <w:rFonts w:ascii="Arial" w:hAnsi="Arial" w:cs="Arial"/>
        </w:rPr>
        <w:t>for example</w:t>
      </w:r>
      <w:r>
        <w:rPr>
          <w:rFonts w:ascii="Arial" w:hAnsi="Arial" w:cs="Arial"/>
        </w:rPr>
        <w:t xml:space="preserve">, </w:t>
      </w:r>
      <w:r w:rsidR="00886DDE">
        <w:rPr>
          <w:rFonts w:ascii="Arial" w:hAnsi="Arial" w:cs="Arial"/>
        </w:rPr>
        <w:t>one can anticipate that the</w:t>
      </w:r>
      <w:r>
        <w:rPr>
          <w:rFonts w:ascii="Arial" w:hAnsi="Arial" w:cs="Arial"/>
        </w:rPr>
        <w:t xml:space="preserve"> section </w:t>
      </w:r>
      <w:r w:rsidR="00886DDE">
        <w:rPr>
          <w:rFonts w:ascii="Arial" w:hAnsi="Arial" w:cs="Arial"/>
        </w:rPr>
        <w:t>will apply</w:t>
      </w:r>
      <w:r>
        <w:rPr>
          <w:rFonts w:ascii="Arial" w:hAnsi="Arial" w:cs="Arial"/>
        </w:rPr>
        <w:t xml:space="preserve"> in a relatively straightforward manner</w:t>
      </w:r>
      <w:r w:rsidR="00896E4D">
        <w:rPr>
          <w:rFonts w:ascii="Arial" w:hAnsi="Arial" w:cs="Arial"/>
        </w:rPr>
        <w:t xml:space="preserve">. Such regulations and Treaty provisions will continue to provide a basis for the disapplication of “original” domestic legislation, whether primary or secondary, that pre-exists the commencement of the GRB. A challenge to such domestic legislation on the basis of incompatibility with an EU Treaty provision or regulation will therefore remain possible post-Brexit. </w:t>
      </w:r>
    </w:p>
    <w:p w:rsidR="003B522B" w:rsidRDefault="00492F9C" w:rsidP="003B522B">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But for</w:t>
      </w:r>
      <w:r w:rsidR="00896E4D">
        <w:rPr>
          <w:rFonts w:ascii="Arial" w:hAnsi="Arial" w:cs="Arial"/>
        </w:rPr>
        <w:t xml:space="preserve"> </w:t>
      </w:r>
      <w:r w:rsidR="00A250F3">
        <w:rPr>
          <w:rFonts w:ascii="Arial" w:hAnsi="Arial" w:cs="Arial"/>
        </w:rPr>
        <w:t xml:space="preserve">EU law challenges that are currently based on </w:t>
      </w:r>
      <w:r w:rsidR="00A250F3" w:rsidRPr="00492F9C">
        <w:rPr>
          <w:rFonts w:ascii="Arial" w:hAnsi="Arial" w:cs="Arial"/>
          <w:u w:val="single"/>
        </w:rPr>
        <w:t>directives</w:t>
      </w:r>
      <w:r w:rsidR="00A250F3">
        <w:rPr>
          <w:rFonts w:ascii="Arial" w:hAnsi="Arial" w:cs="Arial"/>
        </w:rPr>
        <w:t xml:space="preserve">, the position becomes significantly more complex. </w:t>
      </w:r>
      <w:r w:rsidR="00A32F5A">
        <w:rPr>
          <w:rFonts w:ascii="Arial" w:hAnsi="Arial" w:cs="Arial"/>
        </w:rPr>
        <w:t xml:space="preserve">This is for a number of reasons. </w:t>
      </w:r>
    </w:p>
    <w:p w:rsidR="00A32F5A" w:rsidRPr="003B522B" w:rsidRDefault="00492F9C" w:rsidP="003B522B">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At the outset</w:t>
      </w:r>
      <w:r w:rsidR="00A32F5A" w:rsidRPr="003B522B">
        <w:rPr>
          <w:rFonts w:ascii="Arial" w:hAnsi="Arial" w:cs="Arial"/>
        </w:rPr>
        <w:t xml:space="preserve">, the current approach taken in the GRB to the question of the conversion of directives is liable to lead to </w:t>
      </w:r>
      <w:r w:rsidR="00E95F8E" w:rsidRPr="003B522B">
        <w:rPr>
          <w:rFonts w:ascii="Arial" w:hAnsi="Arial" w:cs="Arial"/>
        </w:rPr>
        <w:t xml:space="preserve">substantial uncertainties as to precisely what has been converted into domestic law immediately on or after exit day. As explained above, the starting point in the GRB </w:t>
      </w:r>
      <w:r w:rsidR="00A32F5A" w:rsidRPr="003B522B">
        <w:rPr>
          <w:rFonts w:ascii="Arial" w:hAnsi="Arial" w:cs="Arial"/>
        </w:rPr>
        <w:t>is that all directly effective provisions of directives</w:t>
      </w:r>
      <w:r w:rsidR="00E95F8E" w:rsidRPr="003B522B">
        <w:rPr>
          <w:rFonts w:ascii="Arial" w:hAnsi="Arial" w:cs="Arial"/>
        </w:rPr>
        <w:t xml:space="preserve"> will </w:t>
      </w:r>
      <w:r w:rsidR="00A04181" w:rsidRPr="003B522B">
        <w:rPr>
          <w:rFonts w:ascii="Arial" w:hAnsi="Arial" w:cs="Arial"/>
        </w:rPr>
        <w:t>continue to form</w:t>
      </w:r>
      <w:r w:rsidR="00E95F8E" w:rsidRPr="003B522B">
        <w:rPr>
          <w:rFonts w:ascii="Arial" w:hAnsi="Arial" w:cs="Arial"/>
        </w:rPr>
        <w:t xml:space="preserve"> part of domestic law after exit day, as a result of section 4(1) GRB. However, that is subject to section 4(2)(b) GRB which excludes </w:t>
      </w:r>
      <w:r w:rsidR="0076366E">
        <w:rPr>
          <w:rFonts w:ascii="Arial" w:hAnsi="Arial" w:cs="Arial"/>
        </w:rPr>
        <w:t xml:space="preserve">from conversion </w:t>
      </w:r>
      <w:r w:rsidR="00E95F8E" w:rsidRPr="003B522B">
        <w:rPr>
          <w:rFonts w:ascii="Arial" w:hAnsi="Arial" w:cs="Arial"/>
        </w:rPr>
        <w:t>any rights, powers</w:t>
      </w:r>
      <w:r w:rsidR="0076366E">
        <w:rPr>
          <w:rFonts w:ascii="Arial" w:hAnsi="Arial" w:cs="Arial"/>
        </w:rPr>
        <w:t>, obligations</w:t>
      </w:r>
      <w:r w:rsidR="00E95F8E" w:rsidRPr="003B522B">
        <w:rPr>
          <w:rFonts w:ascii="Arial" w:hAnsi="Arial" w:cs="Arial"/>
        </w:rPr>
        <w:t xml:space="preserve"> etc., insofar as they arise under an EU directive “</w:t>
      </w:r>
      <w:r w:rsidR="00A32F5A" w:rsidRPr="003B522B">
        <w:rPr>
          <w:rFonts w:ascii="Arial" w:hAnsi="Arial" w:cs="Arial"/>
        </w:rPr>
        <w:t xml:space="preserve">and </w:t>
      </w:r>
      <w:r w:rsidR="00A32F5A" w:rsidRPr="003B522B">
        <w:rPr>
          <w:rFonts w:ascii="Arial" w:hAnsi="Arial" w:cs="Arial"/>
          <w:u w:val="single"/>
        </w:rPr>
        <w:t>are not of a kind recognised</w:t>
      </w:r>
      <w:r w:rsidR="00A32F5A" w:rsidRPr="003B522B">
        <w:rPr>
          <w:rFonts w:ascii="Arial" w:hAnsi="Arial" w:cs="Arial"/>
        </w:rPr>
        <w:t xml:space="preserve"> by the European Court or any court or tribunal in the United Kingdom in a case decided before exit day (</w:t>
      </w:r>
      <w:r w:rsidR="00A32F5A" w:rsidRPr="003B522B">
        <w:rPr>
          <w:rFonts w:ascii="Arial" w:hAnsi="Arial" w:cs="Arial"/>
          <w:u w:val="single"/>
        </w:rPr>
        <w:t>whether or not as an essential part of the decision in this case</w:t>
      </w:r>
      <w:r w:rsidR="00A32F5A" w:rsidRPr="003B522B">
        <w:rPr>
          <w:rFonts w:ascii="Arial" w:hAnsi="Arial" w:cs="Arial"/>
        </w:rPr>
        <w:t>)”</w:t>
      </w:r>
      <w:r w:rsidR="00E95F8E" w:rsidRPr="003B522B">
        <w:rPr>
          <w:rFonts w:ascii="Arial" w:hAnsi="Arial" w:cs="Arial"/>
        </w:rPr>
        <w:t xml:space="preserve"> (emphasis</w:t>
      </w:r>
      <w:r>
        <w:rPr>
          <w:rFonts w:ascii="Arial" w:hAnsi="Arial" w:cs="Arial"/>
        </w:rPr>
        <w:t xml:space="preserve"> added</w:t>
      </w:r>
      <w:r w:rsidR="00E95F8E" w:rsidRPr="003B522B">
        <w:rPr>
          <w:rFonts w:ascii="Arial" w:hAnsi="Arial" w:cs="Arial"/>
        </w:rPr>
        <w:t>)</w:t>
      </w:r>
      <w:r w:rsidR="00A32F5A" w:rsidRPr="003B522B">
        <w:rPr>
          <w:rFonts w:ascii="Arial" w:hAnsi="Arial" w:cs="Arial"/>
        </w:rPr>
        <w:t>.</w:t>
      </w:r>
      <w:r w:rsidR="00E95F8E" w:rsidRPr="003B522B">
        <w:rPr>
          <w:rFonts w:ascii="Arial" w:hAnsi="Arial" w:cs="Arial"/>
        </w:rPr>
        <w:t xml:space="preserve"> In other words, the test for whether a provision of a directive is being converted into domestic law is not whether, as a matter of EU law, it would be capable of having vertical direct effect on the basis of </w:t>
      </w:r>
      <w:r w:rsidR="00C64B4C">
        <w:rPr>
          <w:rFonts w:ascii="Arial" w:hAnsi="Arial" w:cs="Arial"/>
        </w:rPr>
        <w:t>EU</w:t>
      </w:r>
      <w:r w:rsidR="00E95F8E" w:rsidRPr="003B522B">
        <w:rPr>
          <w:rFonts w:ascii="Arial" w:hAnsi="Arial" w:cs="Arial"/>
        </w:rPr>
        <w:t xml:space="preserve"> jurisprudence as it stands at exit day; rather, the approach taken is whether the right or power has been “recognised” by either the EU judicature or domestic courts prior to exit day</w:t>
      </w:r>
      <w:r w:rsidR="00C64B4C">
        <w:rPr>
          <w:rFonts w:ascii="Arial" w:hAnsi="Arial" w:cs="Arial"/>
        </w:rPr>
        <w:t xml:space="preserve"> as being capable of having direct effect</w:t>
      </w:r>
      <w:r w:rsidR="00E95F8E" w:rsidRPr="003B522B">
        <w:rPr>
          <w:rFonts w:ascii="Arial" w:hAnsi="Arial" w:cs="Arial"/>
        </w:rPr>
        <w:t xml:space="preserve">. </w:t>
      </w:r>
    </w:p>
    <w:p w:rsidR="00DB0B2C" w:rsidRPr="00A04181" w:rsidRDefault="00492F9C" w:rsidP="00A04181">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This</w:t>
      </w:r>
      <w:r w:rsidR="00A04181">
        <w:rPr>
          <w:rFonts w:ascii="Arial" w:hAnsi="Arial" w:cs="Arial"/>
        </w:rPr>
        <w:t xml:space="preserve"> </w:t>
      </w:r>
      <w:r>
        <w:rPr>
          <w:rFonts w:ascii="Arial" w:hAnsi="Arial" w:cs="Arial"/>
        </w:rPr>
        <w:t>approach gives rise to</w:t>
      </w:r>
      <w:r w:rsidR="00A04181">
        <w:rPr>
          <w:rFonts w:ascii="Arial" w:hAnsi="Arial" w:cs="Arial"/>
        </w:rPr>
        <w:t xml:space="preserve"> substantial uncertainties as to precisely which elements of which directives are being converted. </w:t>
      </w:r>
      <w:r w:rsidR="00C90A8D">
        <w:rPr>
          <w:rFonts w:ascii="Arial" w:hAnsi="Arial" w:cs="Arial"/>
        </w:rPr>
        <w:t>An</w:t>
      </w:r>
      <w:r w:rsidR="00E95F8E">
        <w:rPr>
          <w:rFonts w:ascii="Arial" w:hAnsi="Arial" w:cs="Arial"/>
        </w:rPr>
        <w:t xml:space="preserve"> immediate question </w:t>
      </w:r>
      <w:r w:rsidR="00C90A8D">
        <w:rPr>
          <w:rFonts w:ascii="Arial" w:hAnsi="Arial" w:cs="Arial"/>
        </w:rPr>
        <w:t>(</w:t>
      </w:r>
      <w:r w:rsidR="00E95F8E">
        <w:rPr>
          <w:rFonts w:ascii="Arial" w:hAnsi="Arial" w:cs="Arial"/>
        </w:rPr>
        <w:t xml:space="preserve">which one can easily imagine </w:t>
      </w:r>
      <w:r w:rsidR="001B4283">
        <w:rPr>
          <w:rFonts w:ascii="Arial" w:hAnsi="Arial" w:cs="Arial"/>
        </w:rPr>
        <w:t>giving</w:t>
      </w:r>
      <w:r w:rsidR="00C90A8D">
        <w:rPr>
          <w:rFonts w:ascii="Arial" w:hAnsi="Arial" w:cs="Arial"/>
        </w:rPr>
        <w:t xml:space="preserve"> rise to satellite litigation)</w:t>
      </w:r>
      <w:r w:rsidR="00E95F8E">
        <w:rPr>
          <w:rFonts w:ascii="Arial" w:hAnsi="Arial" w:cs="Arial"/>
        </w:rPr>
        <w:t xml:space="preserve"> is what is meant by the term “recognised”</w:t>
      </w:r>
      <w:r w:rsidR="00C90A8D">
        <w:rPr>
          <w:rFonts w:ascii="Arial" w:hAnsi="Arial" w:cs="Arial"/>
        </w:rPr>
        <w:t>?</w:t>
      </w:r>
      <w:r w:rsidR="00E95F8E">
        <w:rPr>
          <w:rFonts w:ascii="Arial" w:hAnsi="Arial" w:cs="Arial"/>
        </w:rPr>
        <w:t xml:space="preserve"> The subsection makes clear that the recognition does not have to form part of the essential reasoning of the case – i.e. it does not have </w:t>
      </w:r>
      <w:r w:rsidR="001B4283">
        <w:rPr>
          <w:rFonts w:ascii="Arial" w:hAnsi="Arial" w:cs="Arial"/>
        </w:rPr>
        <w:t>to constitute binding</w:t>
      </w:r>
      <w:r w:rsidR="00E95F8E">
        <w:rPr>
          <w:rFonts w:ascii="Arial" w:hAnsi="Arial" w:cs="Arial"/>
        </w:rPr>
        <w:t xml:space="preserve"> </w:t>
      </w:r>
      <w:r w:rsidR="00E95F8E" w:rsidRPr="001B4283">
        <w:rPr>
          <w:rFonts w:ascii="Arial" w:hAnsi="Arial" w:cs="Arial"/>
          <w:i/>
        </w:rPr>
        <w:t>ratio</w:t>
      </w:r>
      <w:r w:rsidR="00E95F8E">
        <w:rPr>
          <w:rFonts w:ascii="Arial" w:hAnsi="Arial" w:cs="Arial"/>
        </w:rPr>
        <w:t xml:space="preserve"> but could be an </w:t>
      </w:r>
      <w:r w:rsidR="00E95F8E" w:rsidRPr="001B4283">
        <w:rPr>
          <w:rFonts w:ascii="Arial" w:hAnsi="Arial" w:cs="Arial"/>
          <w:i/>
        </w:rPr>
        <w:t>obiter</w:t>
      </w:r>
      <w:r w:rsidR="00E95F8E">
        <w:rPr>
          <w:rFonts w:ascii="Arial" w:hAnsi="Arial" w:cs="Arial"/>
        </w:rPr>
        <w:t xml:space="preserve"> reference. But of course there is a sliding scale of </w:t>
      </w:r>
      <w:r w:rsidR="00E95F8E" w:rsidRPr="001B4283">
        <w:rPr>
          <w:rFonts w:ascii="Arial" w:hAnsi="Arial" w:cs="Arial"/>
          <w:i/>
        </w:rPr>
        <w:t>obiter</w:t>
      </w:r>
      <w:r w:rsidR="00E95F8E">
        <w:rPr>
          <w:rFonts w:ascii="Arial" w:hAnsi="Arial" w:cs="Arial"/>
        </w:rPr>
        <w:t xml:space="preserve"> recognition and </w:t>
      </w:r>
      <w:r w:rsidR="001B4283">
        <w:rPr>
          <w:rFonts w:ascii="Arial" w:hAnsi="Arial" w:cs="Arial"/>
        </w:rPr>
        <w:t xml:space="preserve">the bill provides no further guidance as to what degree of recognition </w:t>
      </w:r>
      <w:r w:rsidR="00A04181">
        <w:rPr>
          <w:rFonts w:ascii="Arial" w:hAnsi="Arial" w:cs="Arial"/>
        </w:rPr>
        <w:t>is to</w:t>
      </w:r>
      <w:r w:rsidR="001B4283">
        <w:rPr>
          <w:rFonts w:ascii="Arial" w:hAnsi="Arial" w:cs="Arial"/>
        </w:rPr>
        <w:t xml:space="preserve"> be regarded as sufficient</w:t>
      </w:r>
      <w:r w:rsidR="00E95F8E">
        <w:rPr>
          <w:rFonts w:ascii="Arial" w:hAnsi="Arial" w:cs="Arial"/>
        </w:rPr>
        <w:t xml:space="preserve">. What if a court </w:t>
      </w:r>
      <w:r w:rsidR="00A04181">
        <w:rPr>
          <w:rFonts w:ascii="Arial" w:hAnsi="Arial" w:cs="Arial"/>
        </w:rPr>
        <w:t>has, prior to exit day, accepted</w:t>
      </w:r>
      <w:r w:rsidR="00E95F8E">
        <w:rPr>
          <w:rFonts w:ascii="Arial" w:hAnsi="Arial" w:cs="Arial"/>
        </w:rPr>
        <w:t xml:space="preserve"> that it is likely that a provision of a directive is capable </w:t>
      </w:r>
      <w:r w:rsidR="00DB0B2C">
        <w:rPr>
          <w:rFonts w:ascii="Arial" w:hAnsi="Arial" w:cs="Arial"/>
        </w:rPr>
        <w:t>of having direct effec</w:t>
      </w:r>
      <w:r w:rsidR="001B4283">
        <w:rPr>
          <w:rFonts w:ascii="Arial" w:hAnsi="Arial" w:cs="Arial"/>
        </w:rPr>
        <w:t xml:space="preserve">t but </w:t>
      </w:r>
      <w:r w:rsidR="00C90A8D">
        <w:rPr>
          <w:rFonts w:ascii="Arial" w:hAnsi="Arial" w:cs="Arial"/>
        </w:rPr>
        <w:t>has not conclusively decided</w:t>
      </w:r>
      <w:r w:rsidR="001B4283">
        <w:rPr>
          <w:rFonts w:ascii="Arial" w:hAnsi="Arial" w:cs="Arial"/>
        </w:rPr>
        <w:t xml:space="preserve"> the point? </w:t>
      </w:r>
      <w:r w:rsidR="00C90A8D">
        <w:rPr>
          <w:rFonts w:ascii="Arial" w:hAnsi="Arial" w:cs="Arial"/>
        </w:rPr>
        <w:t>What</w:t>
      </w:r>
      <w:r w:rsidR="001B4283">
        <w:rPr>
          <w:rFonts w:ascii="Arial" w:hAnsi="Arial" w:cs="Arial"/>
        </w:rPr>
        <w:t xml:space="preserve"> </w:t>
      </w:r>
      <w:r w:rsidR="00DB0B2C">
        <w:rPr>
          <w:rFonts w:ascii="Arial" w:hAnsi="Arial" w:cs="Arial"/>
        </w:rPr>
        <w:t>if a</w:t>
      </w:r>
      <w:r w:rsidR="00A04181">
        <w:rPr>
          <w:rFonts w:ascii="Arial" w:hAnsi="Arial" w:cs="Arial"/>
        </w:rPr>
        <w:t xml:space="preserve"> pre-exit</w:t>
      </w:r>
      <w:r w:rsidR="00DB0B2C">
        <w:rPr>
          <w:rFonts w:ascii="Arial" w:hAnsi="Arial" w:cs="Arial"/>
        </w:rPr>
        <w:t xml:space="preserve"> judgment records that </w:t>
      </w:r>
      <w:r w:rsidR="00A04181">
        <w:rPr>
          <w:rFonts w:ascii="Arial" w:hAnsi="Arial" w:cs="Arial"/>
        </w:rPr>
        <w:t>a</w:t>
      </w:r>
      <w:r w:rsidR="00DB0B2C">
        <w:rPr>
          <w:rFonts w:ascii="Arial" w:hAnsi="Arial" w:cs="Arial"/>
        </w:rPr>
        <w:t xml:space="preserve"> case was argued on the </w:t>
      </w:r>
      <w:r w:rsidR="00C90A8D">
        <w:rPr>
          <w:rFonts w:ascii="Arial" w:hAnsi="Arial" w:cs="Arial"/>
        </w:rPr>
        <w:t>premise</w:t>
      </w:r>
      <w:r w:rsidR="00DB0B2C">
        <w:rPr>
          <w:rFonts w:ascii="Arial" w:hAnsi="Arial" w:cs="Arial"/>
        </w:rPr>
        <w:t xml:space="preserve"> that a provision of a directive is capable of having direct effect</w:t>
      </w:r>
      <w:r w:rsidR="00C90A8D">
        <w:rPr>
          <w:rFonts w:ascii="Arial" w:hAnsi="Arial" w:cs="Arial"/>
        </w:rPr>
        <w:t>,</w:t>
      </w:r>
      <w:r w:rsidR="001B4283">
        <w:rPr>
          <w:rFonts w:ascii="Arial" w:hAnsi="Arial" w:cs="Arial"/>
        </w:rPr>
        <w:t xml:space="preserve"> but says nothing further</w:t>
      </w:r>
      <w:r w:rsidR="00C90A8D">
        <w:rPr>
          <w:rFonts w:ascii="Arial" w:hAnsi="Arial" w:cs="Arial"/>
        </w:rPr>
        <w:t xml:space="preserve"> about whether that premise is correct</w:t>
      </w:r>
      <w:r w:rsidR="001B4283">
        <w:rPr>
          <w:rFonts w:ascii="Arial" w:hAnsi="Arial" w:cs="Arial"/>
        </w:rPr>
        <w:t>? Will such passing references suffice to convert the EU law obligation into a domestic obligation</w:t>
      </w:r>
      <w:r w:rsidR="00A04181">
        <w:rPr>
          <w:rFonts w:ascii="Arial" w:hAnsi="Arial" w:cs="Arial"/>
        </w:rPr>
        <w:t>? And how will the position be affected by subsequent appeals?</w:t>
      </w:r>
      <w:r w:rsidR="00DB0B2C">
        <w:rPr>
          <w:rFonts w:ascii="Arial" w:hAnsi="Arial" w:cs="Arial"/>
        </w:rPr>
        <w:t xml:space="preserve"> </w:t>
      </w:r>
      <w:r w:rsidR="00A04181">
        <w:rPr>
          <w:rFonts w:ascii="Arial" w:hAnsi="Arial" w:cs="Arial"/>
        </w:rPr>
        <w:t xml:space="preserve">All of that will presumably fall to be worked out </w:t>
      </w:r>
      <w:r w:rsidR="00C90A8D">
        <w:rPr>
          <w:rFonts w:ascii="Arial" w:hAnsi="Arial" w:cs="Arial"/>
        </w:rPr>
        <w:t>through</w:t>
      </w:r>
      <w:r w:rsidR="00A04181">
        <w:rPr>
          <w:rFonts w:ascii="Arial" w:hAnsi="Arial" w:cs="Arial"/>
        </w:rPr>
        <w:t xml:space="preserve"> litigation</w:t>
      </w:r>
      <w:r w:rsidR="00C90A8D">
        <w:rPr>
          <w:rFonts w:ascii="Arial" w:hAnsi="Arial" w:cs="Arial"/>
        </w:rPr>
        <w:t>,</w:t>
      </w:r>
      <w:r w:rsidR="00C64B4C" w:rsidRPr="00C64B4C">
        <w:rPr>
          <w:rFonts w:ascii="Arial" w:hAnsi="Arial" w:cs="Arial"/>
        </w:rPr>
        <w:t xml:space="preserve"> but in the meantime the position is unclear</w:t>
      </w:r>
      <w:r w:rsidR="00C64B4C">
        <w:rPr>
          <w:rFonts w:ascii="Arial" w:hAnsi="Arial" w:cs="Arial"/>
        </w:rPr>
        <w:t>.</w:t>
      </w:r>
    </w:p>
    <w:p w:rsidR="00C64B4C" w:rsidRDefault="00C90A8D" w:rsidP="009D7291">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Another</w:t>
      </w:r>
      <w:r w:rsidR="00DB0B2C">
        <w:rPr>
          <w:rFonts w:ascii="Arial" w:hAnsi="Arial" w:cs="Arial"/>
        </w:rPr>
        <w:t xml:space="preserve"> </w:t>
      </w:r>
      <w:r w:rsidR="00A04181">
        <w:rPr>
          <w:rFonts w:ascii="Arial" w:hAnsi="Arial" w:cs="Arial"/>
        </w:rPr>
        <w:t xml:space="preserve">difficulty is in identifying </w:t>
      </w:r>
      <w:r w:rsidR="00A04181" w:rsidRPr="00C90A8D">
        <w:rPr>
          <w:rFonts w:ascii="Arial" w:hAnsi="Arial" w:cs="Arial"/>
          <w:u w:val="single"/>
        </w:rPr>
        <w:t>what</w:t>
      </w:r>
      <w:r w:rsidR="00A04181">
        <w:rPr>
          <w:rFonts w:ascii="Arial" w:hAnsi="Arial" w:cs="Arial"/>
        </w:rPr>
        <w:t xml:space="preserve"> it is that is required to have been recognised by the EU / UK courts prior to Brexit. </w:t>
      </w:r>
      <w:r w:rsidR="00A04181" w:rsidRPr="00A04181">
        <w:rPr>
          <w:rFonts w:ascii="Arial" w:hAnsi="Arial" w:cs="Arial"/>
        </w:rPr>
        <w:t>As noted at §</w:t>
      </w:r>
      <w:r w:rsidR="00C64B4C">
        <w:rPr>
          <w:rFonts w:ascii="Arial" w:hAnsi="Arial" w:cs="Arial"/>
        </w:rPr>
        <w:fldChar w:fldCharType="begin"/>
      </w:r>
      <w:r w:rsidR="00C64B4C">
        <w:rPr>
          <w:rFonts w:ascii="Arial" w:hAnsi="Arial" w:cs="Arial"/>
        </w:rPr>
        <w:instrText xml:space="preserve"> REF _Ref488250065 \w \h </w:instrText>
      </w:r>
      <w:r w:rsidR="00C64B4C">
        <w:rPr>
          <w:rFonts w:ascii="Arial" w:hAnsi="Arial" w:cs="Arial"/>
        </w:rPr>
      </w:r>
      <w:r w:rsidR="00C64B4C">
        <w:rPr>
          <w:rFonts w:ascii="Arial" w:hAnsi="Arial" w:cs="Arial"/>
        </w:rPr>
        <w:fldChar w:fldCharType="separate"/>
      </w:r>
      <w:r w:rsidR="00C92EA6">
        <w:rPr>
          <w:rFonts w:ascii="Arial" w:hAnsi="Arial" w:cs="Arial"/>
        </w:rPr>
        <w:t>12.c</w:t>
      </w:r>
      <w:r w:rsidR="00C64B4C">
        <w:rPr>
          <w:rFonts w:ascii="Arial" w:hAnsi="Arial" w:cs="Arial"/>
        </w:rPr>
        <w:fldChar w:fldCharType="end"/>
      </w:r>
      <w:r w:rsidR="00C64B4C">
        <w:rPr>
          <w:rFonts w:ascii="Arial" w:hAnsi="Arial" w:cs="Arial"/>
        </w:rPr>
        <w:t xml:space="preserve"> </w:t>
      </w:r>
      <w:r w:rsidR="00A04181" w:rsidRPr="00A04181">
        <w:rPr>
          <w:rFonts w:ascii="Arial" w:hAnsi="Arial" w:cs="Arial"/>
        </w:rPr>
        <w:t>above</w:t>
      </w:r>
      <w:r w:rsidR="00A04181">
        <w:rPr>
          <w:rFonts w:ascii="Arial" w:hAnsi="Arial" w:cs="Arial"/>
        </w:rPr>
        <w:t xml:space="preserve">, </w:t>
      </w:r>
      <w:r w:rsidR="00A04181" w:rsidRPr="00A04181">
        <w:rPr>
          <w:rFonts w:ascii="Arial" w:hAnsi="Arial" w:cs="Arial"/>
        </w:rPr>
        <w:t>the Explanatory Notes suggest</w:t>
      </w:r>
      <w:r w:rsidR="00A04181">
        <w:rPr>
          <w:rFonts w:ascii="Arial" w:hAnsi="Arial" w:cs="Arial"/>
        </w:rPr>
        <w:t xml:space="preserve"> that</w:t>
      </w:r>
      <w:r w:rsidR="00A04181" w:rsidRPr="00A04181">
        <w:rPr>
          <w:rFonts w:ascii="Arial" w:hAnsi="Arial" w:cs="Arial"/>
        </w:rPr>
        <w:t xml:space="preserve"> </w:t>
      </w:r>
      <w:r w:rsidR="001B4283">
        <w:rPr>
          <w:rFonts w:ascii="Arial" w:hAnsi="Arial" w:cs="Arial"/>
        </w:rPr>
        <w:t>the effect of section</w:t>
      </w:r>
      <w:r w:rsidR="00C64B4C">
        <w:rPr>
          <w:rFonts w:ascii="Arial" w:hAnsi="Arial" w:cs="Arial"/>
        </w:rPr>
        <w:t xml:space="preserve"> 4(2)(b)</w:t>
      </w:r>
      <w:r w:rsidR="00DB0B2C">
        <w:rPr>
          <w:rFonts w:ascii="Arial" w:hAnsi="Arial" w:cs="Arial"/>
        </w:rPr>
        <w:t xml:space="preserve"> is that for a provision of a directive to be relied on in the UK courts post-Brexit that </w:t>
      </w:r>
      <w:r w:rsidR="00DB0B2C" w:rsidRPr="00A04181">
        <w:rPr>
          <w:rFonts w:ascii="Arial" w:hAnsi="Arial" w:cs="Arial"/>
          <w:u w:val="single"/>
        </w:rPr>
        <w:t>specific</w:t>
      </w:r>
      <w:r w:rsidR="00DB0B2C">
        <w:rPr>
          <w:rFonts w:ascii="Arial" w:hAnsi="Arial" w:cs="Arial"/>
        </w:rPr>
        <w:t xml:space="preserve"> provision must have been recognised as having direct effect prior to Brexit. </w:t>
      </w:r>
    </w:p>
    <w:p w:rsidR="009D7291" w:rsidRPr="009D7291" w:rsidRDefault="00C90A8D" w:rsidP="009D7291">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However that will lead to</w:t>
      </w:r>
      <w:r w:rsidR="00C64B4C">
        <w:rPr>
          <w:rFonts w:ascii="Arial" w:hAnsi="Arial" w:cs="Arial"/>
        </w:rPr>
        <w:t xml:space="preserve"> </w:t>
      </w:r>
      <w:r w:rsidR="009D7291">
        <w:rPr>
          <w:rFonts w:ascii="Arial" w:hAnsi="Arial" w:cs="Arial"/>
        </w:rPr>
        <w:t xml:space="preserve">arbitrary results. </w:t>
      </w:r>
      <w:r>
        <w:rPr>
          <w:rFonts w:ascii="Arial" w:hAnsi="Arial" w:cs="Arial"/>
        </w:rPr>
        <w:t>Whether</w:t>
      </w:r>
      <w:r w:rsidR="009D7291">
        <w:rPr>
          <w:rFonts w:ascii="Arial" w:hAnsi="Arial" w:cs="Arial"/>
        </w:rPr>
        <w:t xml:space="preserve"> a specific provision of a specific directive will have been litigated prior to Brexit is </w:t>
      </w:r>
      <w:r w:rsidR="00026DDB">
        <w:rPr>
          <w:rFonts w:ascii="Arial" w:hAnsi="Arial" w:cs="Arial"/>
        </w:rPr>
        <w:t xml:space="preserve">far </w:t>
      </w:r>
      <w:r w:rsidR="009D7291">
        <w:rPr>
          <w:rFonts w:ascii="Arial" w:hAnsi="Arial" w:cs="Arial"/>
        </w:rPr>
        <w:t xml:space="preserve">more likely to be the product of chance than </w:t>
      </w:r>
      <w:r w:rsidR="00026DDB">
        <w:rPr>
          <w:rFonts w:ascii="Arial" w:hAnsi="Arial" w:cs="Arial"/>
        </w:rPr>
        <w:t>design</w:t>
      </w:r>
      <w:r w:rsidR="009D7291">
        <w:rPr>
          <w:rFonts w:ascii="Arial" w:hAnsi="Arial" w:cs="Arial"/>
        </w:rPr>
        <w:t>. For directives whose implementation period lapses shortly before Brexit</w:t>
      </w:r>
      <w:r>
        <w:rPr>
          <w:rFonts w:ascii="Arial" w:hAnsi="Arial" w:cs="Arial"/>
        </w:rPr>
        <w:t xml:space="preserve"> </w:t>
      </w:r>
      <w:r w:rsidR="009D7291">
        <w:rPr>
          <w:rFonts w:ascii="Arial" w:hAnsi="Arial" w:cs="Arial"/>
        </w:rPr>
        <w:t>there may well be little time to litigate</w:t>
      </w:r>
      <w:r w:rsidR="00026DDB">
        <w:rPr>
          <w:rFonts w:ascii="Arial" w:hAnsi="Arial" w:cs="Arial"/>
        </w:rPr>
        <w:t xml:space="preserve"> before exit day</w:t>
      </w:r>
      <w:r w:rsidR="009D7291">
        <w:rPr>
          <w:rFonts w:ascii="Arial" w:hAnsi="Arial" w:cs="Arial"/>
        </w:rPr>
        <w:t xml:space="preserve">. And </w:t>
      </w:r>
      <w:r w:rsidR="00026DDB">
        <w:rPr>
          <w:rFonts w:ascii="Arial" w:hAnsi="Arial" w:cs="Arial"/>
        </w:rPr>
        <w:t>in respect of</w:t>
      </w:r>
      <w:r w:rsidR="009D7291">
        <w:rPr>
          <w:rFonts w:ascii="Arial" w:hAnsi="Arial" w:cs="Arial"/>
        </w:rPr>
        <w:t xml:space="preserve"> longer-standing directives, the</w:t>
      </w:r>
      <w:r w:rsidR="00026DDB">
        <w:rPr>
          <w:rFonts w:ascii="Arial" w:hAnsi="Arial" w:cs="Arial"/>
        </w:rPr>
        <w:t xml:space="preserve">re can be no automatic assumption that the reason why a particular provision of the directive has not been </w:t>
      </w:r>
      <w:r>
        <w:rPr>
          <w:rFonts w:ascii="Arial" w:hAnsi="Arial" w:cs="Arial"/>
        </w:rPr>
        <w:t xml:space="preserve">specifically </w:t>
      </w:r>
      <w:r w:rsidR="00026DDB">
        <w:rPr>
          <w:rFonts w:ascii="Arial" w:hAnsi="Arial" w:cs="Arial"/>
        </w:rPr>
        <w:t>pronounced upon by the courts is because it is not capable of having direct effect. Making the future recognition of the vertical direct effect of directives contingent upon whether a specific provision has been litigated prior to exit day (rather than making it consistent with the substantive EU law test) is</w:t>
      </w:r>
      <w:r>
        <w:rPr>
          <w:rFonts w:ascii="Arial" w:hAnsi="Arial" w:cs="Arial"/>
        </w:rPr>
        <w:t xml:space="preserve"> therefore</w:t>
      </w:r>
      <w:r w:rsidR="00026DDB">
        <w:rPr>
          <w:rFonts w:ascii="Arial" w:hAnsi="Arial" w:cs="Arial"/>
        </w:rPr>
        <w:t xml:space="preserve"> both arbitrary and inconsistent</w:t>
      </w:r>
      <w:r w:rsidR="009D7291">
        <w:rPr>
          <w:rFonts w:ascii="Arial" w:hAnsi="Arial" w:cs="Arial"/>
        </w:rPr>
        <w:t xml:space="preserve"> with the Government’s stated objective </w:t>
      </w:r>
      <w:r w:rsidR="009D7291" w:rsidRPr="009D7291">
        <w:rPr>
          <w:rFonts w:ascii="Arial" w:hAnsi="Arial" w:cs="Arial"/>
        </w:rPr>
        <w:t>of ensuring that “legal rights and obligations in the UK should where possible be the same after we have left the EU as they were immediately before we left”.</w:t>
      </w:r>
      <w:r w:rsidR="009D7291" w:rsidRPr="009D7291">
        <w:rPr>
          <w:rFonts w:ascii="Arial" w:hAnsi="Arial" w:cs="Arial"/>
          <w:vertAlign w:val="superscript"/>
        </w:rPr>
        <w:footnoteReference w:id="26"/>
      </w:r>
    </w:p>
    <w:p w:rsidR="00E94EDB" w:rsidRDefault="00C90A8D" w:rsidP="00E95F8E">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An alternative construction is, however, suggested by the language of</w:t>
      </w:r>
      <w:r w:rsidR="001B4283">
        <w:rPr>
          <w:rFonts w:ascii="Arial" w:hAnsi="Arial" w:cs="Arial"/>
        </w:rPr>
        <w:t xml:space="preserve"> </w:t>
      </w:r>
      <w:r w:rsidR="00F30DC0">
        <w:rPr>
          <w:rFonts w:ascii="Arial" w:hAnsi="Arial" w:cs="Arial"/>
        </w:rPr>
        <w:t>section 4(2)(b)</w:t>
      </w:r>
      <w:r w:rsidR="00E94EDB">
        <w:rPr>
          <w:rFonts w:ascii="Arial" w:hAnsi="Arial" w:cs="Arial"/>
        </w:rPr>
        <w:t xml:space="preserve"> </w:t>
      </w:r>
      <w:r>
        <w:rPr>
          <w:rFonts w:ascii="Arial" w:hAnsi="Arial" w:cs="Arial"/>
        </w:rPr>
        <w:t>which refers to</w:t>
      </w:r>
      <w:r w:rsidR="00E94EDB">
        <w:rPr>
          <w:rFonts w:ascii="Arial" w:hAnsi="Arial" w:cs="Arial"/>
        </w:rPr>
        <w:t xml:space="preserve"> “right</w:t>
      </w:r>
      <w:r>
        <w:rPr>
          <w:rFonts w:ascii="Arial" w:hAnsi="Arial" w:cs="Arial"/>
        </w:rPr>
        <w:t>s</w:t>
      </w:r>
      <w:r w:rsidR="00E94EDB">
        <w:rPr>
          <w:rFonts w:ascii="Arial" w:hAnsi="Arial" w:cs="Arial"/>
        </w:rPr>
        <w:t>, power</w:t>
      </w:r>
      <w:r>
        <w:rPr>
          <w:rFonts w:ascii="Arial" w:hAnsi="Arial" w:cs="Arial"/>
        </w:rPr>
        <w:t>s</w:t>
      </w:r>
      <w:r w:rsidR="00E94EDB">
        <w:rPr>
          <w:rFonts w:ascii="Arial" w:hAnsi="Arial" w:cs="Arial"/>
        </w:rPr>
        <w:t>, obligation</w:t>
      </w:r>
      <w:r>
        <w:rPr>
          <w:rFonts w:ascii="Arial" w:hAnsi="Arial" w:cs="Arial"/>
        </w:rPr>
        <w:t>s</w:t>
      </w:r>
      <w:r w:rsidR="00E94EDB">
        <w:rPr>
          <w:rFonts w:ascii="Arial" w:hAnsi="Arial" w:cs="Arial"/>
        </w:rPr>
        <w:t>” etc</w:t>
      </w:r>
      <w:r w:rsidR="00C64B4C">
        <w:rPr>
          <w:rFonts w:ascii="Arial" w:hAnsi="Arial" w:cs="Arial"/>
        </w:rPr>
        <w:t>.</w:t>
      </w:r>
      <w:r w:rsidR="00E94EDB">
        <w:rPr>
          <w:rFonts w:ascii="Arial" w:hAnsi="Arial" w:cs="Arial"/>
        </w:rPr>
        <w:t xml:space="preserve"> </w:t>
      </w:r>
      <w:r>
        <w:rPr>
          <w:rFonts w:ascii="Arial" w:hAnsi="Arial" w:cs="Arial"/>
        </w:rPr>
        <w:t>that are</w:t>
      </w:r>
      <w:r w:rsidR="00E94EDB">
        <w:rPr>
          <w:rFonts w:ascii="Arial" w:hAnsi="Arial" w:cs="Arial"/>
        </w:rPr>
        <w:t xml:space="preserve"> “of a kind” that has been recognised by the courts prior to Brexit. </w:t>
      </w:r>
      <w:r w:rsidR="00F30DC0">
        <w:rPr>
          <w:rFonts w:ascii="Arial" w:hAnsi="Arial" w:cs="Arial"/>
        </w:rPr>
        <w:t xml:space="preserve">That </w:t>
      </w:r>
      <w:r>
        <w:rPr>
          <w:rFonts w:ascii="Arial" w:hAnsi="Arial" w:cs="Arial"/>
        </w:rPr>
        <w:t>wording</w:t>
      </w:r>
      <w:r w:rsidR="00F30DC0">
        <w:rPr>
          <w:rFonts w:ascii="Arial" w:hAnsi="Arial" w:cs="Arial"/>
        </w:rPr>
        <w:t xml:space="preserve"> (“of a kind”) </w:t>
      </w:r>
      <w:r>
        <w:rPr>
          <w:rFonts w:ascii="Arial" w:hAnsi="Arial" w:cs="Arial"/>
        </w:rPr>
        <w:t>might indicate</w:t>
      </w:r>
      <w:r w:rsidR="00F30DC0">
        <w:rPr>
          <w:rFonts w:ascii="Arial" w:hAnsi="Arial" w:cs="Arial"/>
        </w:rPr>
        <w:t xml:space="preserve"> that the proper question is not whether the</w:t>
      </w:r>
      <w:r w:rsidR="009D7291">
        <w:rPr>
          <w:rFonts w:ascii="Arial" w:hAnsi="Arial" w:cs="Arial"/>
        </w:rPr>
        <w:t xml:space="preserve"> </w:t>
      </w:r>
      <w:r w:rsidR="009D7291" w:rsidRPr="00C90A8D">
        <w:rPr>
          <w:rFonts w:ascii="Arial" w:hAnsi="Arial" w:cs="Arial"/>
          <w:u w:val="single"/>
        </w:rPr>
        <w:t>specific</w:t>
      </w:r>
      <w:r w:rsidR="00F30DC0" w:rsidRPr="00C90A8D">
        <w:rPr>
          <w:rFonts w:ascii="Arial" w:hAnsi="Arial" w:cs="Arial"/>
          <w:u w:val="single"/>
        </w:rPr>
        <w:t xml:space="preserve"> provision</w:t>
      </w:r>
      <w:r w:rsidR="00F30DC0">
        <w:rPr>
          <w:rFonts w:ascii="Arial" w:hAnsi="Arial" w:cs="Arial"/>
        </w:rPr>
        <w:t xml:space="preserve"> of the directive which is sought to be relied upon post-Brexit has </w:t>
      </w:r>
      <w:r w:rsidR="009D7291">
        <w:rPr>
          <w:rFonts w:ascii="Arial" w:hAnsi="Arial" w:cs="Arial"/>
        </w:rPr>
        <w:t>previously</w:t>
      </w:r>
      <w:r w:rsidR="00F30DC0">
        <w:rPr>
          <w:rFonts w:ascii="Arial" w:hAnsi="Arial" w:cs="Arial"/>
        </w:rPr>
        <w:t xml:space="preserve"> been recognised </w:t>
      </w:r>
      <w:r w:rsidR="009D7291">
        <w:rPr>
          <w:rFonts w:ascii="Arial" w:hAnsi="Arial" w:cs="Arial"/>
        </w:rPr>
        <w:t>as having direct effect</w:t>
      </w:r>
      <w:r w:rsidR="00F30DC0">
        <w:rPr>
          <w:rFonts w:ascii="Arial" w:hAnsi="Arial" w:cs="Arial"/>
        </w:rPr>
        <w:t xml:space="preserve">, but whether </w:t>
      </w:r>
      <w:r w:rsidR="00026DDB">
        <w:rPr>
          <w:rFonts w:ascii="Arial" w:hAnsi="Arial" w:cs="Arial"/>
        </w:rPr>
        <w:t xml:space="preserve">it </w:t>
      </w:r>
      <w:r w:rsidR="00F30DC0">
        <w:rPr>
          <w:rFonts w:ascii="Arial" w:hAnsi="Arial" w:cs="Arial"/>
        </w:rPr>
        <w:t xml:space="preserve">is in a </w:t>
      </w:r>
      <w:r w:rsidR="00F30DC0" w:rsidRPr="00C90A8D">
        <w:rPr>
          <w:rFonts w:ascii="Arial" w:hAnsi="Arial" w:cs="Arial"/>
          <w:u w:val="single"/>
        </w:rPr>
        <w:t>category of provisions</w:t>
      </w:r>
      <w:r w:rsidR="00F30DC0">
        <w:rPr>
          <w:rFonts w:ascii="Arial" w:hAnsi="Arial" w:cs="Arial"/>
        </w:rPr>
        <w:t xml:space="preserve"> that has</w:t>
      </w:r>
      <w:r w:rsidR="009D7291">
        <w:rPr>
          <w:rFonts w:ascii="Arial" w:hAnsi="Arial" w:cs="Arial"/>
        </w:rPr>
        <w:t>,</w:t>
      </w:r>
      <w:r w:rsidR="00F30DC0">
        <w:rPr>
          <w:rFonts w:ascii="Arial" w:hAnsi="Arial" w:cs="Arial"/>
        </w:rPr>
        <w:t xml:space="preserve"> prior to Brexit</w:t>
      </w:r>
      <w:r w:rsidR="009D7291">
        <w:rPr>
          <w:rFonts w:ascii="Arial" w:hAnsi="Arial" w:cs="Arial"/>
        </w:rPr>
        <w:t>,</w:t>
      </w:r>
      <w:r w:rsidR="00F30DC0">
        <w:rPr>
          <w:rFonts w:ascii="Arial" w:hAnsi="Arial" w:cs="Arial"/>
        </w:rPr>
        <w:t xml:space="preserve"> been </w:t>
      </w:r>
      <w:r w:rsidR="009D7291">
        <w:rPr>
          <w:rFonts w:ascii="Arial" w:hAnsi="Arial" w:cs="Arial"/>
        </w:rPr>
        <w:t>recognised as capable of being</w:t>
      </w:r>
      <w:r w:rsidR="00F30DC0">
        <w:rPr>
          <w:rFonts w:ascii="Arial" w:hAnsi="Arial" w:cs="Arial"/>
        </w:rPr>
        <w:t xml:space="preserve"> directly effective. </w:t>
      </w:r>
      <w:r w:rsidR="00026DDB">
        <w:rPr>
          <w:rFonts w:ascii="Arial" w:hAnsi="Arial" w:cs="Arial"/>
        </w:rPr>
        <w:t>This may be a way of reintroducing the “sufficiently precise and unconditional test” (fo</w:t>
      </w:r>
      <w:r w:rsidR="00C64B4C">
        <w:rPr>
          <w:rFonts w:ascii="Arial" w:hAnsi="Arial" w:cs="Arial"/>
        </w:rPr>
        <w:t>r as a matter of EU law, it is rights of that kind</w:t>
      </w:r>
      <w:r w:rsidR="00026DDB">
        <w:rPr>
          <w:rFonts w:ascii="Arial" w:hAnsi="Arial" w:cs="Arial"/>
        </w:rPr>
        <w:t xml:space="preserve"> which have been recognised as being directly effective) or it may be that there are </w:t>
      </w:r>
      <w:r w:rsidR="009D7291">
        <w:rPr>
          <w:rFonts w:ascii="Arial" w:hAnsi="Arial" w:cs="Arial"/>
        </w:rPr>
        <w:t xml:space="preserve">narrower categories which could </w:t>
      </w:r>
      <w:r w:rsidR="00C64B4C">
        <w:rPr>
          <w:rFonts w:ascii="Arial" w:hAnsi="Arial" w:cs="Arial"/>
        </w:rPr>
        <w:t>be employed in this regard</w:t>
      </w:r>
      <w:r w:rsidR="00026DDB">
        <w:rPr>
          <w:rFonts w:ascii="Arial" w:hAnsi="Arial" w:cs="Arial"/>
        </w:rPr>
        <w:t xml:space="preserve"> </w:t>
      </w:r>
      <w:r w:rsidR="009D7291">
        <w:rPr>
          <w:rFonts w:ascii="Arial" w:hAnsi="Arial" w:cs="Arial"/>
        </w:rPr>
        <w:t xml:space="preserve">– e.g. </w:t>
      </w:r>
      <w:r w:rsidR="00026DDB">
        <w:rPr>
          <w:rFonts w:ascii="Arial" w:hAnsi="Arial" w:cs="Arial"/>
        </w:rPr>
        <w:t xml:space="preserve">provisions of directives which require equal treatment </w:t>
      </w:r>
      <w:r w:rsidR="00C64B4C">
        <w:rPr>
          <w:rFonts w:ascii="Arial" w:hAnsi="Arial" w:cs="Arial"/>
        </w:rPr>
        <w:t>could be said to be generally</w:t>
      </w:r>
      <w:r w:rsidR="00026DDB">
        <w:rPr>
          <w:rFonts w:ascii="Arial" w:hAnsi="Arial" w:cs="Arial"/>
        </w:rPr>
        <w:t xml:space="preserve"> “of a kind” which have previously been recognised by the EU courts</w:t>
      </w:r>
      <w:r w:rsidR="00C64B4C">
        <w:rPr>
          <w:rFonts w:ascii="Arial" w:hAnsi="Arial" w:cs="Arial"/>
        </w:rPr>
        <w:t xml:space="preserve"> to have direct effect</w:t>
      </w:r>
      <w:r w:rsidR="009D7291">
        <w:rPr>
          <w:rFonts w:ascii="Arial" w:hAnsi="Arial" w:cs="Arial"/>
        </w:rPr>
        <w:t xml:space="preserve">. </w:t>
      </w:r>
    </w:p>
    <w:p w:rsidR="00316A4B" w:rsidRPr="00ED444A" w:rsidRDefault="00C90A8D" w:rsidP="003B522B">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A further</w:t>
      </w:r>
      <w:r w:rsidR="003B522B">
        <w:rPr>
          <w:rFonts w:ascii="Arial" w:hAnsi="Arial" w:cs="Arial"/>
        </w:rPr>
        <w:t xml:space="preserve"> issue </w:t>
      </w:r>
      <w:r>
        <w:rPr>
          <w:rFonts w:ascii="Arial" w:hAnsi="Arial" w:cs="Arial"/>
        </w:rPr>
        <w:t>that may arise</w:t>
      </w:r>
      <w:r w:rsidR="003B522B">
        <w:rPr>
          <w:rFonts w:ascii="Arial" w:hAnsi="Arial" w:cs="Arial"/>
        </w:rPr>
        <w:t xml:space="preserve"> is the interaction </w:t>
      </w:r>
      <w:r w:rsidR="00C354EE">
        <w:rPr>
          <w:rFonts w:ascii="Arial" w:hAnsi="Arial" w:cs="Arial"/>
        </w:rPr>
        <w:t>between</w:t>
      </w:r>
      <w:r w:rsidR="003B522B">
        <w:rPr>
          <w:rFonts w:ascii="Arial" w:hAnsi="Arial" w:cs="Arial"/>
        </w:rPr>
        <w:t xml:space="preserve"> the</w:t>
      </w:r>
      <w:r w:rsidR="00E512A3">
        <w:rPr>
          <w:rFonts w:ascii="Arial" w:hAnsi="Arial" w:cs="Arial"/>
        </w:rPr>
        <w:t xml:space="preserve"> section 4(2)(b)</w:t>
      </w:r>
      <w:r w:rsidR="00ED444A">
        <w:rPr>
          <w:rFonts w:ascii="Arial" w:hAnsi="Arial" w:cs="Arial"/>
        </w:rPr>
        <w:t xml:space="preserve"> </w:t>
      </w:r>
      <w:r>
        <w:rPr>
          <w:rFonts w:ascii="Arial" w:hAnsi="Arial" w:cs="Arial"/>
        </w:rPr>
        <w:t>exclusion for non-recognised directive rights</w:t>
      </w:r>
      <w:r w:rsidR="00ED444A">
        <w:rPr>
          <w:rFonts w:ascii="Arial" w:hAnsi="Arial" w:cs="Arial"/>
        </w:rPr>
        <w:t xml:space="preserve"> </w:t>
      </w:r>
      <w:r w:rsidR="00C354EE">
        <w:rPr>
          <w:rFonts w:ascii="Arial" w:hAnsi="Arial" w:cs="Arial"/>
        </w:rPr>
        <w:t>and</w:t>
      </w:r>
      <w:r w:rsidR="00ED444A">
        <w:rPr>
          <w:rFonts w:ascii="Arial" w:hAnsi="Arial" w:cs="Arial"/>
        </w:rPr>
        <w:t xml:space="preserve"> the retention of the supremacy doctrine for pre-Brexit law</w:t>
      </w:r>
      <w:r w:rsidR="00E512A3">
        <w:rPr>
          <w:rFonts w:ascii="Arial" w:hAnsi="Arial" w:cs="Arial"/>
        </w:rPr>
        <w:t>,</w:t>
      </w:r>
      <w:r w:rsidR="00ED444A">
        <w:rPr>
          <w:rFonts w:ascii="Arial" w:hAnsi="Arial" w:cs="Arial"/>
        </w:rPr>
        <w:t xml:space="preserve"> </w:t>
      </w:r>
      <w:r w:rsidR="003B522B">
        <w:rPr>
          <w:rFonts w:ascii="Arial" w:hAnsi="Arial" w:cs="Arial"/>
        </w:rPr>
        <w:t>as</w:t>
      </w:r>
      <w:r w:rsidR="00E512A3">
        <w:rPr>
          <w:rFonts w:ascii="Arial" w:hAnsi="Arial" w:cs="Arial"/>
        </w:rPr>
        <w:t xml:space="preserve"> provided for</w:t>
      </w:r>
      <w:r w:rsidR="00ED444A">
        <w:rPr>
          <w:rFonts w:ascii="Arial" w:hAnsi="Arial" w:cs="Arial"/>
        </w:rPr>
        <w:t xml:space="preserve"> by section 5(2) GRB. </w:t>
      </w:r>
      <w:r w:rsidR="00ED444A">
        <w:rPr>
          <w:rFonts w:ascii="Arial" w:hAnsi="Arial" w:cs="Times New Roman"/>
        </w:rPr>
        <w:t xml:space="preserve">As explained above, it is currently the case that </w:t>
      </w:r>
      <w:r w:rsidR="00ED444A" w:rsidRPr="00ED444A">
        <w:rPr>
          <w:rFonts w:ascii="Arial" w:hAnsi="Arial" w:cs="Times New Roman"/>
        </w:rPr>
        <w:t xml:space="preserve">the vertical direct effect of directives </w:t>
      </w:r>
      <w:r w:rsidR="00ED444A">
        <w:rPr>
          <w:rFonts w:ascii="Arial" w:hAnsi="Arial" w:cs="Times New Roman"/>
        </w:rPr>
        <w:t xml:space="preserve">can </w:t>
      </w:r>
      <w:r w:rsidR="00E512A3">
        <w:rPr>
          <w:rFonts w:ascii="Arial" w:hAnsi="Arial" w:cs="Times New Roman"/>
        </w:rPr>
        <w:t>lead to the disapplication of</w:t>
      </w:r>
      <w:r w:rsidR="00A81CF0">
        <w:rPr>
          <w:rFonts w:ascii="Arial" w:hAnsi="Arial" w:cs="Times New Roman"/>
        </w:rPr>
        <w:t xml:space="preserve"> conflicting provisions of national law. </w:t>
      </w:r>
      <w:r>
        <w:rPr>
          <w:rFonts w:ascii="Arial" w:hAnsi="Arial" w:cs="Arial"/>
        </w:rPr>
        <w:t>However</w:t>
      </w:r>
      <w:r w:rsidR="00E512A3">
        <w:rPr>
          <w:rFonts w:ascii="Arial" w:hAnsi="Arial" w:cs="Arial"/>
        </w:rPr>
        <w:t xml:space="preserve"> if, after Brexit, a particular provision of a directive cannot be relied upon in order to do this because it is not “of a kind” that was recognised by the EU or UK courts pre-Brexit, then what it does it mean to say that </w:t>
      </w:r>
      <w:r w:rsidR="006743CB" w:rsidRPr="00E512A3">
        <w:rPr>
          <w:rFonts w:ascii="Arial" w:hAnsi="Arial" w:cs="Arial"/>
        </w:rPr>
        <w:t xml:space="preserve">the principle of supremacy of EU law </w:t>
      </w:r>
      <w:r w:rsidR="00E512A3">
        <w:rPr>
          <w:rFonts w:ascii="Arial" w:hAnsi="Arial" w:cs="Arial"/>
        </w:rPr>
        <w:t>“continues</w:t>
      </w:r>
      <w:r w:rsidR="006743CB" w:rsidRPr="00E512A3">
        <w:rPr>
          <w:rFonts w:ascii="Arial" w:hAnsi="Arial" w:cs="Arial"/>
        </w:rPr>
        <w:t xml:space="preserve"> to apply”</w:t>
      </w:r>
      <w:r>
        <w:rPr>
          <w:rFonts w:ascii="Arial" w:hAnsi="Arial" w:cs="Arial"/>
        </w:rPr>
        <w:t xml:space="preserve"> pursuant to section 5(2)</w:t>
      </w:r>
      <w:r w:rsidR="00E512A3">
        <w:rPr>
          <w:rFonts w:ascii="Arial" w:hAnsi="Arial" w:cs="Arial"/>
        </w:rPr>
        <w:t>?</w:t>
      </w:r>
      <w:r w:rsidR="006743CB" w:rsidRPr="00E512A3">
        <w:rPr>
          <w:rFonts w:ascii="Arial" w:hAnsi="Arial" w:cs="Arial"/>
        </w:rPr>
        <w:t xml:space="preserve"> </w:t>
      </w:r>
      <w:r w:rsidR="00E512A3">
        <w:rPr>
          <w:rFonts w:ascii="Arial" w:hAnsi="Arial" w:cs="Arial"/>
        </w:rPr>
        <w:t xml:space="preserve">In particular, will there be any scope to argue, in the future, that supremacy can </w:t>
      </w:r>
      <w:r w:rsidR="00CF3C93">
        <w:rPr>
          <w:rFonts w:ascii="Arial" w:hAnsi="Arial" w:cs="Arial"/>
        </w:rPr>
        <w:t xml:space="preserve">instead </w:t>
      </w:r>
      <w:r w:rsidR="00E512A3">
        <w:rPr>
          <w:rFonts w:ascii="Arial" w:hAnsi="Arial" w:cs="Arial"/>
        </w:rPr>
        <w:t>attach to section 2(2) ECA legislation which has implemented provisions of EU directives that themselves have fallen away by virtue of section 4(2)(b)</w:t>
      </w:r>
      <w:r>
        <w:rPr>
          <w:rFonts w:ascii="Arial" w:hAnsi="Arial" w:cs="Arial"/>
        </w:rPr>
        <w:t>?</w:t>
      </w:r>
      <w:r w:rsidR="006743CB" w:rsidRPr="00ED444A">
        <w:rPr>
          <w:rFonts w:ascii="Arial" w:hAnsi="Arial" w:cs="Arial"/>
        </w:rPr>
        <w:t xml:space="preserve"> </w:t>
      </w:r>
      <w:r w:rsidR="003B522B">
        <w:rPr>
          <w:rFonts w:ascii="Arial" w:hAnsi="Arial" w:cs="Arial"/>
        </w:rPr>
        <w:t xml:space="preserve">The argument would be that the continued application of the principle of </w:t>
      </w:r>
      <w:r w:rsidR="00951D04" w:rsidRPr="00ED444A">
        <w:rPr>
          <w:rFonts w:ascii="Arial" w:hAnsi="Arial" w:cs="Arial"/>
        </w:rPr>
        <w:t xml:space="preserve">supremacy of EU law post-Brexit </w:t>
      </w:r>
      <w:r w:rsidR="003B522B">
        <w:rPr>
          <w:rFonts w:ascii="Arial" w:hAnsi="Arial" w:cs="Arial"/>
        </w:rPr>
        <w:t>requires</w:t>
      </w:r>
      <w:r w:rsidR="00951D04" w:rsidRPr="00ED444A">
        <w:rPr>
          <w:rFonts w:ascii="Arial" w:hAnsi="Arial" w:cs="Arial"/>
        </w:rPr>
        <w:t xml:space="preserve"> implementing section 2(2) legislation which is now “EU-derived domestic legislation” </w:t>
      </w:r>
      <w:r w:rsidR="003B522B">
        <w:rPr>
          <w:rFonts w:ascii="Arial" w:hAnsi="Arial" w:cs="Arial"/>
        </w:rPr>
        <w:t xml:space="preserve">to </w:t>
      </w:r>
      <w:r w:rsidR="003B522B" w:rsidRPr="003B522B">
        <w:rPr>
          <w:rFonts w:ascii="Arial" w:hAnsi="Arial" w:cs="Arial"/>
        </w:rPr>
        <w:t xml:space="preserve">take precedence over a subsequent (but still pre-Brexit) piece of </w:t>
      </w:r>
      <w:r w:rsidR="00951D04" w:rsidRPr="00ED444A">
        <w:rPr>
          <w:rFonts w:ascii="Arial" w:hAnsi="Arial" w:cs="Arial"/>
        </w:rPr>
        <w:t>incompatible</w:t>
      </w:r>
      <w:r>
        <w:rPr>
          <w:rFonts w:ascii="Arial" w:hAnsi="Arial" w:cs="Arial"/>
        </w:rPr>
        <w:t xml:space="preserve"> “original”</w:t>
      </w:r>
      <w:r w:rsidR="00951D04" w:rsidRPr="00ED444A">
        <w:rPr>
          <w:rFonts w:ascii="Arial" w:hAnsi="Arial" w:cs="Arial"/>
        </w:rPr>
        <w:t xml:space="preserve"> domestic legislation. </w:t>
      </w:r>
    </w:p>
    <w:p w:rsidR="000918E6" w:rsidRPr="00C90A8D" w:rsidRDefault="00C90A8D" w:rsidP="004428ED">
      <w:pPr>
        <w:pStyle w:val="ListParagraph"/>
        <w:numPr>
          <w:ilvl w:val="0"/>
          <w:numId w:val="5"/>
        </w:numPr>
        <w:spacing w:after="240" w:line="360" w:lineRule="auto"/>
        <w:contextualSpacing w:val="0"/>
        <w:jc w:val="both"/>
        <w:rPr>
          <w:rFonts w:ascii="Arial" w:hAnsi="Arial" w:cs="Arial"/>
        </w:rPr>
      </w:pPr>
      <w:r>
        <w:rPr>
          <w:rFonts w:ascii="Arial" w:hAnsi="Arial" w:cs="Times New Roman"/>
        </w:rPr>
        <w:t>A fourth problem is that</w:t>
      </w:r>
      <w:r w:rsidR="008740A1" w:rsidRPr="003B522B">
        <w:rPr>
          <w:rFonts w:ascii="Arial" w:hAnsi="Arial" w:cs="Times New Roman"/>
        </w:rPr>
        <w:t xml:space="preserve"> </w:t>
      </w:r>
      <w:r w:rsidR="001D4BC4" w:rsidRPr="003B522B">
        <w:rPr>
          <w:rFonts w:ascii="Arial" w:hAnsi="Arial" w:cs="Times New Roman"/>
        </w:rPr>
        <w:t>the GRB does not address</w:t>
      </w:r>
      <w:r w:rsidR="00A57607" w:rsidRPr="003B522B">
        <w:rPr>
          <w:rFonts w:ascii="Arial" w:hAnsi="Arial" w:cs="Times New Roman"/>
        </w:rPr>
        <w:t xml:space="preserve"> the indirect effect of directives and the principle of harmonious interpretation</w:t>
      </w:r>
      <w:r w:rsidR="00ED444A" w:rsidRPr="003B522B">
        <w:rPr>
          <w:rFonts w:ascii="Arial" w:hAnsi="Arial" w:cs="Times New Roman"/>
        </w:rPr>
        <w:t xml:space="preserve"> at all</w:t>
      </w:r>
      <w:r w:rsidR="00A57607" w:rsidRPr="003B522B">
        <w:rPr>
          <w:rFonts w:ascii="Arial" w:hAnsi="Arial" w:cs="Times New Roman"/>
        </w:rPr>
        <w:t>.</w:t>
      </w:r>
      <w:r w:rsidR="00D26590" w:rsidRPr="003B522B">
        <w:rPr>
          <w:rFonts w:ascii="Arial" w:hAnsi="Arial" w:cs="Times New Roman"/>
        </w:rPr>
        <w:t xml:space="preserve"> As noted above, as a matter of EU law, national courts are currently required to interpret the </w:t>
      </w:r>
      <w:r w:rsidR="00D26590" w:rsidRPr="003B522B">
        <w:rPr>
          <w:rFonts w:ascii="Arial" w:hAnsi="Arial" w:cs="Times New Roman"/>
          <w:u w:val="single"/>
        </w:rPr>
        <w:t>entire body</w:t>
      </w:r>
      <w:r w:rsidR="00D26590" w:rsidRPr="003B522B">
        <w:rPr>
          <w:rFonts w:ascii="Arial" w:hAnsi="Arial" w:cs="Times New Roman"/>
        </w:rPr>
        <w:t xml:space="preserve"> of UK law consistently with provisions of relevant directives, to the extent possible.</w:t>
      </w:r>
      <w:r w:rsidR="00A57607" w:rsidRPr="003B522B">
        <w:rPr>
          <w:rFonts w:ascii="Arial" w:hAnsi="Arial" w:cs="Times New Roman"/>
        </w:rPr>
        <w:t xml:space="preserve"> </w:t>
      </w:r>
      <w:r w:rsidR="00D26590" w:rsidRPr="003B522B">
        <w:rPr>
          <w:rFonts w:ascii="Arial" w:hAnsi="Arial" w:cs="Times New Roman"/>
        </w:rPr>
        <w:t xml:space="preserve">The consequences of the harmonious interpretation obligation have at times been dramatic: in the </w:t>
      </w:r>
      <w:r w:rsidR="000918E6" w:rsidRPr="003B522B">
        <w:rPr>
          <w:rFonts w:ascii="Arial" w:hAnsi="Arial" w:cs="Times New Roman"/>
          <w:i/>
        </w:rPr>
        <w:t>Pfeiffer</w:t>
      </w:r>
      <w:r w:rsidR="00D26590" w:rsidRPr="003B522B">
        <w:rPr>
          <w:rFonts w:ascii="Arial" w:hAnsi="Arial" w:cs="Times New Roman"/>
          <w:i/>
        </w:rPr>
        <w:t xml:space="preserve"> </w:t>
      </w:r>
      <w:r w:rsidR="00D26590" w:rsidRPr="003B522B">
        <w:rPr>
          <w:rFonts w:ascii="Arial" w:hAnsi="Arial" w:cs="Times New Roman"/>
        </w:rPr>
        <w:t xml:space="preserve">case for example, </w:t>
      </w:r>
      <w:r w:rsidR="000918E6" w:rsidRPr="003B522B">
        <w:rPr>
          <w:rFonts w:ascii="Arial" w:hAnsi="Arial" w:cs="Times New Roman"/>
        </w:rPr>
        <w:t xml:space="preserve">the </w:t>
      </w:r>
      <w:r>
        <w:rPr>
          <w:rFonts w:ascii="Arial" w:hAnsi="Arial" w:cs="Times New Roman"/>
        </w:rPr>
        <w:t>CJEU</w:t>
      </w:r>
      <w:r w:rsidR="000918E6" w:rsidRPr="003B522B">
        <w:rPr>
          <w:rFonts w:ascii="Arial" w:hAnsi="Arial" w:cs="Times New Roman"/>
        </w:rPr>
        <w:t xml:space="preserve"> considered the appropriateness of German legislation which purported to implement the Working Time Directive and which permitted derogation from the 48 hour weekly limit found in the Directive. The Court said that the interpretive obligation required the national court to do whatever lay within its jurisdiction to ensure that the maximum period of weekly working time, was not exceeded – in other words, it required the national court to search for interpretive methods which would enable to read the national legislation permitting derogation from the 48 hour limit as precluding derogation from the 48 hour limit.</w:t>
      </w:r>
      <w:r w:rsidR="000918E6" w:rsidRPr="003B522B">
        <w:rPr>
          <w:rStyle w:val="FootnoteReference"/>
          <w:rFonts w:ascii="Arial" w:hAnsi="Arial" w:cs="Times New Roman"/>
        </w:rPr>
        <w:footnoteReference w:id="27"/>
      </w:r>
      <w:r w:rsidR="00D26590" w:rsidRPr="003B522B">
        <w:rPr>
          <w:rFonts w:ascii="Arial" w:hAnsi="Arial" w:cs="Times New Roman"/>
        </w:rPr>
        <w:t xml:space="preserve"> </w:t>
      </w:r>
      <w:r w:rsidR="008740A1" w:rsidRPr="003B522B">
        <w:rPr>
          <w:rFonts w:ascii="Arial" w:hAnsi="Arial" w:cs="Times New Roman"/>
        </w:rPr>
        <w:t xml:space="preserve">The </w:t>
      </w:r>
      <w:r w:rsidR="003B522B" w:rsidRPr="003B522B">
        <w:rPr>
          <w:rFonts w:ascii="Arial" w:hAnsi="Arial" w:cs="Times New Roman"/>
        </w:rPr>
        <w:t xml:space="preserve">GRB offers no guidance </w:t>
      </w:r>
      <w:r w:rsidR="00F26930">
        <w:rPr>
          <w:rFonts w:ascii="Arial" w:hAnsi="Arial" w:cs="Times New Roman"/>
        </w:rPr>
        <w:t>as to</w:t>
      </w:r>
      <w:r w:rsidR="003B522B" w:rsidRPr="003B522B">
        <w:rPr>
          <w:rFonts w:ascii="Arial" w:hAnsi="Arial" w:cs="Times New Roman"/>
        </w:rPr>
        <w:t xml:space="preserve"> how </w:t>
      </w:r>
      <w:r w:rsidR="00F26930">
        <w:rPr>
          <w:rFonts w:ascii="Arial" w:hAnsi="Arial" w:cs="Times New Roman"/>
        </w:rPr>
        <w:t>an equivalent</w:t>
      </w:r>
      <w:r w:rsidR="003B522B" w:rsidRPr="003B522B">
        <w:rPr>
          <w:rFonts w:ascii="Arial" w:hAnsi="Arial" w:cs="Times New Roman"/>
        </w:rPr>
        <w:t xml:space="preserve"> case would be approached post-Brexit. </w:t>
      </w:r>
      <w:r w:rsidR="00F26930">
        <w:rPr>
          <w:rFonts w:ascii="Arial" w:hAnsi="Arial" w:cs="Times New Roman"/>
        </w:rPr>
        <w:t>It is likely that the GRB’s</w:t>
      </w:r>
      <w:r w:rsidR="003B522B" w:rsidRPr="003B522B">
        <w:rPr>
          <w:rFonts w:ascii="Arial" w:hAnsi="Arial" w:cs="Times New Roman"/>
        </w:rPr>
        <w:t xml:space="preserve"> silence</w:t>
      </w:r>
      <w:r w:rsidR="00F26930">
        <w:rPr>
          <w:rFonts w:ascii="Arial" w:hAnsi="Arial" w:cs="Times New Roman"/>
        </w:rPr>
        <w:t xml:space="preserve"> on this specific issue</w:t>
      </w:r>
      <w:r w:rsidR="003B522B" w:rsidRPr="003B522B">
        <w:rPr>
          <w:rFonts w:ascii="Arial" w:hAnsi="Arial" w:cs="Times New Roman"/>
        </w:rPr>
        <w:t xml:space="preserve"> (when combined with section 5(2) and the general obligation under section 6(3) on the domestic UK courts to decide questions in accordance with retained case law) </w:t>
      </w:r>
      <w:r w:rsidR="00F26930">
        <w:rPr>
          <w:rFonts w:ascii="Arial" w:hAnsi="Arial" w:cs="Times New Roman"/>
        </w:rPr>
        <w:t>will</w:t>
      </w:r>
      <w:r w:rsidR="003B522B" w:rsidRPr="003B522B">
        <w:rPr>
          <w:rFonts w:ascii="Arial" w:hAnsi="Arial" w:cs="Times New Roman"/>
        </w:rPr>
        <w:t xml:space="preserve"> mean that the principle of harmonious interpretation </w:t>
      </w:r>
      <w:r w:rsidR="00C354EE">
        <w:rPr>
          <w:rFonts w:ascii="Arial" w:hAnsi="Arial" w:cs="Times New Roman"/>
        </w:rPr>
        <w:t>continue</w:t>
      </w:r>
      <w:r w:rsidR="00F26930">
        <w:rPr>
          <w:rFonts w:ascii="Arial" w:hAnsi="Arial" w:cs="Times New Roman"/>
        </w:rPr>
        <w:t>s</w:t>
      </w:r>
      <w:r w:rsidR="003B522B" w:rsidRPr="003B522B">
        <w:rPr>
          <w:rFonts w:ascii="Arial" w:hAnsi="Arial" w:cs="Times New Roman"/>
        </w:rPr>
        <w:t xml:space="preserve"> to apply to the entire domestic statute book as it is at the moment of exit. To conclude otherwise would</w:t>
      </w:r>
      <w:r w:rsidR="0087292D" w:rsidRPr="003B522B">
        <w:rPr>
          <w:rFonts w:ascii="Arial" w:hAnsi="Arial" w:cs="Times New Roman"/>
        </w:rPr>
        <w:t xml:space="preserve"> undoubtedly </w:t>
      </w:r>
      <w:r w:rsidR="004428ED" w:rsidRPr="003B522B">
        <w:rPr>
          <w:rFonts w:ascii="Arial" w:hAnsi="Arial" w:cs="Times New Roman"/>
        </w:rPr>
        <w:t>have the effect of substantially changing</w:t>
      </w:r>
      <w:r w:rsidR="0087292D" w:rsidRPr="003B522B">
        <w:rPr>
          <w:rFonts w:ascii="Arial" w:hAnsi="Arial" w:cs="Times New Roman"/>
        </w:rPr>
        <w:t xml:space="preserve"> the meaning and construction that</w:t>
      </w:r>
      <w:r w:rsidR="00D26590" w:rsidRPr="003B522B">
        <w:rPr>
          <w:rFonts w:ascii="Arial" w:hAnsi="Arial" w:cs="Times New Roman"/>
        </w:rPr>
        <w:t xml:space="preserve"> </w:t>
      </w:r>
      <w:r w:rsidR="0087292D" w:rsidRPr="003B522B">
        <w:rPr>
          <w:rFonts w:ascii="Arial" w:hAnsi="Arial" w:cs="Times New Roman"/>
        </w:rPr>
        <w:t>can be attributed to</w:t>
      </w:r>
      <w:r w:rsidR="00D26590" w:rsidRPr="003B522B">
        <w:rPr>
          <w:rFonts w:ascii="Arial" w:hAnsi="Arial" w:cs="Times New Roman"/>
        </w:rPr>
        <w:t xml:space="preserve"> domestic legislation immediately befor</w:t>
      </w:r>
      <w:r w:rsidR="008740A1" w:rsidRPr="003B522B">
        <w:rPr>
          <w:rFonts w:ascii="Arial" w:hAnsi="Arial" w:cs="Times New Roman"/>
        </w:rPr>
        <w:t xml:space="preserve">e and immediately after Brexit. </w:t>
      </w:r>
      <w:r w:rsidR="003B522B" w:rsidRPr="003B522B">
        <w:rPr>
          <w:rFonts w:ascii="Arial" w:hAnsi="Arial" w:cs="Times New Roman"/>
        </w:rPr>
        <w:t>Moreover, for</w:t>
      </w:r>
      <w:r w:rsidR="00504ED3" w:rsidRPr="003B522B">
        <w:rPr>
          <w:rFonts w:ascii="Arial" w:hAnsi="Arial" w:cs="Times New Roman"/>
        </w:rPr>
        <w:t xml:space="preserve"> section 2(2) ECA secondary legislation, </w:t>
      </w:r>
      <w:r w:rsidR="008740A1" w:rsidRPr="003B522B">
        <w:rPr>
          <w:rFonts w:ascii="Arial" w:hAnsi="Arial" w:cs="Times New Roman"/>
        </w:rPr>
        <w:t xml:space="preserve">the UK’s </w:t>
      </w:r>
      <w:r w:rsidR="00504ED3" w:rsidRPr="003B522B">
        <w:rPr>
          <w:rFonts w:ascii="Arial" w:hAnsi="Arial" w:cs="Times New Roman"/>
        </w:rPr>
        <w:t xml:space="preserve">membership of the EU and the terms of the directive being implemented, were no doubt a critical part of the landscape in which the </w:t>
      </w:r>
      <w:r w:rsidR="003B522B" w:rsidRPr="003B522B">
        <w:rPr>
          <w:rFonts w:ascii="Arial" w:hAnsi="Arial" w:cs="Times New Roman"/>
        </w:rPr>
        <w:t>legislation</w:t>
      </w:r>
      <w:r w:rsidR="00504ED3" w:rsidRPr="003B522B">
        <w:rPr>
          <w:rFonts w:ascii="Arial" w:hAnsi="Arial" w:cs="Times New Roman"/>
        </w:rPr>
        <w:t xml:space="preserve"> was made. </w:t>
      </w:r>
      <w:r w:rsidR="003B522B" w:rsidRPr="003B522B">
        <w:rPr>
          <w:rFonts w:ascii="Arial" w:hAnsi="Arial" w:cs="Times New Roman"/>
        </w:rPr>
        <w:t>Even</w:t>
      </w:r>
      <w:r w:rsidR="00504ED3" w:rsidRPr="003B522B">
        <w:rPr>
          <w:rFonts w:ascii="Arial" w:hAnsi="Arial" w:cs="Times New Roman"/>
        </w:rPr>
        <w:t xml:space="preserve"> on </w:t>
      </w:r>
      <w:r w:rsidR="008740A1" w:rsidRPr="003B522B">
        <w:rPr>
          <w:rFonts w:ascii="Arial" w:hAnsi="Arial" w:cs="Times New Roman"/>
        </w:rPr>
        <w:t xml:space="preserve">usual </w:t>
      </w:r>
      <w:r w:rsidR="00504ED3" w:rsidRPr="003B522B">
        <w:rPr>
          <w:rFonts w:ascii="Arial" w:hAnsi="Arial" w:cs="Times New Roman"/>
        </w:rPr>
        <w:t xml:space="preserve">common law principles, </w:t>
      </w:r>
      <w:r w:rsidR="003B522B" w:rsidRPr="003B522B">
        <w:rPr>
          <w:rFonts w:ascii="Arial" w:hAnsi="Arial" w:cs="Times New Roman"/>
        </w:rPr>
        <w:t xml:space="preserve">it would be proper </w:t>
      </w:r>
      <w:r w:rsidR="00504ED3" w:rsidRPr="003B522B">
        <w:rPr>
          <w:rFonts w:ascii="Arial" w:hAnsi="Arial" w:cs="Times New Roman"/>
        </w:rPr>
        <w:t>for</w:t>
      </w:r>
      <w:r w:rsidR="003B522B" w:rsidRPr="003B522B">
        <w:rPr>
          <w:rFonts w:ascii="Arial" w:hAnsi="Arial" w:cs="Times New Roman"/>
        </w:rPr>
        <w:t xml:space="preserve"> the UK</w:t>
      </w:r>
      <w:r w:rsidR="00504ED3" w:rsidRPr="003B522B">
        <w:rPr>
          <w:rFonts w:ascii="Arial" w:hAnsi="Arial" w:cs="Times New Roman"/>
        </w:rPr>
        <w:t xml:space="preserve"> courts to have regard to </w:t>
      </w:r>
      <w:r w:rsidR="003B522B">
        <w:rPr>
          <w:rFonts w:ascii="Arial" w:hAnsi="Arial" w:cs="Times New Roman"/>
        </w:rPr>
        <w:t>that background when interpreting the secondary legislation</w:t>
      </w:r>
      <w:r w:rsidR="00504ED3" w:rsidRPr="003B522B">
        <w:rPr>
          <w:rFonts w:ascii="Arial" w:hAnsi="Arial" w:cs="Times New Roman"/>
        </w:rPr>
        <w:t xml:space="preserve">. </w:t>
      </w:r>
      <w:r w:rsidR="00CF3C93">
        <w:rPr>
          <w:rFonts w:ascii="Arial" w:hAnsi="Arial" w:cs="Times New Roman"/>
        </w:rPr>
        <w:t>However, the position is far from certain.</w:t>
      </w:r>
    </w:p>
    <w:p w:rsidR="00C90A8D" w:rsidRPr="003B522B" w:rsidRDefault="00C90A8D" w:rsidP="00C90A8D">
      <w:pPr>
        <w:pStyle w:val="ListParagraph"/>
        <w:numPr>
          <w:ilvl w:val="0"/>
          <w:numId w:val="18"/>
        </w:numPr>
        <w:spacing w:after="240" w:line="360" w:lineRule="auto"/>
        <w:contextualSpacing w:val="0"/>
        <w:jc w:val="both"/>
        <w:rPr>
          <w:rFonts w:ascii="Arial" w:hAnsi="Arial" w:cs="Arial"/>
        </w:rPr>
      </w:pPr>
      <w:r>
        <w:rPr>
          <w:rFonts w:ascii="Arial" w:hAnsi="Arial" w:cs="Arial"/>
          <w:u w:val="single"/>
        </w:rPr>
        <w:t>Conflict between EU derived law and subsequent domestic legislation</w:t>
      </w:r>
    </w:p>
    <w:p w:rsidR="00182452" w:rsidRDefault="00E44A51" w:rsidP="00E44A51">
      <w:pPr>
        <w:pStyle w:val="ListParagraph"/>
        <w:numPr>
          <w:ilvl w:val="0"/>
          <w:numId w:val="5"/>
        </w:numPr>
        <w:spacing w:after="240" w:line="360" w:lineRule="auto"/>
        <w:ind w:left="562" w:hanging="562"/>
        <w:contextualSpacing w:val="0"/>
        <w:jc w:val="both"/>
        <w:rPr>
          <w:rFonts w:ascii="Arial" w:hAnsi="Arial" w:cs="Arial"/>
        </w:rPr>
      </w:pPr>
      <w:r>
        <w:rPr>
          <w:rFonts w:ascii="Arial" w:hAnsi="Arial" w:cs="Times New Roman"/>
        </w:rPr>
        <w:t xml:space="preserve">The second scenario to think through is where a conflict arises between EU derived law as converted by the GRB and </w:t>
      </w:r>
      <w:r w:rsidR="00C90A8D">
        <w:rPr>
          <w:rFonts w:ascii="Arial" w:hAnsi="Arial" w:cs="Times New Roman"/>
        </w:rPr>
        <w:t>post-Brexit</w:t>
      </w:r>
      <w:r>
        <w:rPr>
          <w:rFonts w:ascii="Arial" w:hAnsi="Arial" w:cs="Times New Roman"/>
        </w:rPr>
        <w:t xml:space="preserve"> domestic legislation. The </w:t>
      </w:r>
      <w:r w:rsidR="004428ED">
        <w:rPr>
          <w:rFonts w:ascii="Arial" w:hAnsi="Arial" w:cs="Times New Roman"/>
        </w:rPr>
        <w:t>approach suggested by the</w:t>
      </w:r>
      <w:r w:rsidR="00182452">
        <w:rPr>
          <w:rFonts w:ascii="Arial" w:hAnsi="Arial" w:cs="Times New Roman"/>
        </w:rPr>
        <w:t xml:space="preserve"> White Paper on this </w:t>
      </w:r>
      <w:r w:rsidR="004428ED">
        <w:rPr>
          <w:rFonts w:ascii="Arial" w:hAnsi="Arial" w:cs="Times New Roman"/>
        </w:rPr>
        <w:t>issue was as follows</w:t>
      </w:r>
      <w:r w:rsidR="00182452">
        <w:rPr>
          <w:rFonts w:ascii="Arial" w:hAnsi="Arial" w:cs="Times New Roman"/>
        </w:rPr>
        <w:t>:</w:t>
      </w:r>
      <w:r w:rsidR="005E5456" w:rsidRPr="00E44A51">
        <w:rPr>
          <w:rFonts w:ascii="Arial" w:hAnsi="Arial" w:cs="Arial"/>
        </w:rPr>
        <w:t xml:space="preserve"> </w:t>
      </w:r>
    </w:p>
    <w:p w:rsidR="0079697B" w:rsidRPr="00E44A51" w:rsidRDefault="004428ED" w:rsidP="00182452">
      <w:pPr>
        <w:pStyle w:val="ListParagraph"/>
        <w:spacing w:after="360"/>
        <w:ind w:left="1134" w:right="567" w:firstLine="6"/>
        <w:contextualSpacing w:val="0"/>
        <w:jc w:val="both"/>
        <w:rPr>
          <w:rFonts w:ascii="Arial" w:hAnsi="Arial" w:cs="Arial"/>
        </w:rPr>
      </w:pPr>
      <w:r>
        <w:rPr>
          <w:rFonts w:ascii="Arial" w:hAnsi="Arial" w:cs="Arial"/>
        </w:rPr>
        <w:t>“W</w:t>
      </w:r>
      <w:r w:rsidR="005E5456" w:rsidRPr="00E44A51">
        <w:rPr>
          <w:rFonts w:ascii="Arial" w:hAnsi="Arial" w:cs="Arial"/>
        </w:rPr>
        <w:t>here a conflict arises between EU-derived law and new primary legislation passed by Parliament after our exit from the EU, then newer legislation will take precedence over the EU-derived law we have preserved”.</w:t>
      </w:r>
      <w:r w:rsidR="005E5456">
        <w:rPr>
          <w:rStyle w:val="FootnoteReference"/>
          <w:rFonts w:ascii="Arial" w:hAnsi="Arial" w:cs="Arial"/>
        </w:rPr>
        <w:footnoteReference w:id="28"/>
      </w:r>
      <w:r w:rsidR="005E5456" w:rsidRPr="00E44A51">
        <w:rPr>
          <w:rFonts w:ascii="Arial" w:hAnsi="Arial" w:cs="Arial"/>
        </w:rPr>
        <w:t xml:space="preserve"> </w:t>
      </w:r>
    </w:p>
    <w:p w:rsidR="00182452" w:rsidRPr="004428ED" w:rsidRDefault="00F26930" w:rsidP="00182452">
      <w:pPr>
        <w:pStyle w:val="ListParagraph"/>
        <w:numPr>
          <w:ilvl w:val="0"/>
          <w:numId w:val="5"/>
        </w:numPr>
        <w:spacing w:after="240" w:line="360" w:lineRule="auto"/>
        <w:contextualSpacing w:val="0"/>
        <w:jc w:val="both"/>
        <w:rPr>
          <w:rFonts w:ascii="Arial" w:hAnsi="Arial" w:cs="Arial"/>
        </w:rPr>
      </w:pPr>
      <w:r>
        <w:rPr>
          <w:rFonts w:ascii="Arial" w:hAnsi="Arial" w:cs="Arial"/>
        </w:rPr>
        <w:t>The</w:t>
      </w:r>
      <w:r w:rsidR="00182452">
        <w:rPr>
          <w:rFonts w:ascii="Arial" w:hAnsi="Arial" w:cs="Arial"/>
        </w:rPr>
        <w:t xml:space="preserve"> GRB </w:t>
      </w:r>
      <w:r>
        <w:rPr>
          <w:rFonts w:ascii="Arial" w:hAnsi="Arial" w:cs="Arial"/>
        </w:rPr>
        <w:t>adopts</w:t>
      </w:r>
      <w:r w:rsidR="00C354EE">
        <w:rPr>
          <w:rFonts w:ascii="Arial" w:hAnsi="Arial" w:cs="Arial"/>
        </w:rPr>
        <w:t xml:space="preserve"> this approach</w:t>
      </w:r>
      <w:r w:rsidR="00C90A8D">
        <w:rPr>
          <w:rFonts w:ascii="Arial" w:hAnsi="Arial" w:cs="Arial"/>
        </w:rPr>
        <w:t>, stating</w:t>
      </w:r>
      <w:r w:rsidR="009B754A">
        <w:rPr>
          <w:rFonts w:ascii="Arial" w:hAnsi="Arial" w:cs="Times New Roman"/>
        </w:rPr>
        <w:t xml:space="preserve"> “the principle of supremacy of EU law does not apply to any enactment or rule of law passed or made on or after exit day”</w:t>
      </w:r>
      <w:r w:rsidR="00C90A8D">
        <w:rPr>
          <w:rFonts w:ascii="Arial" w:hAnsi="Arial" w:cs="Times New Roman"/>
        </w:rPr>
        <w:t xml:space="preserve"> (section 5(1))</w:t>
      </w:r>
      <w:r w:rsidR="001E545F">
        <w:rPr>
          <w:rFonts w:ascii="Arial" w:hAnsi="Arial" w:cs="Times New Roman"/>
        </w:rPr>
        <w:t xml:space="preserve">. </w:t>
      </w:r>
      <w:r w:rsidR="00C354EE">
        <w:rPr>
          <w:rFonts w:ascii="Arial" w:hAnsi="Arial" w:cs="Times New Roman"/>
        </w:rPr>
        <w:t>The</w:t>
      </w:r>
      <w:r w:rsidR="009B754A">
        <w:rPr>
          <w:rFonts w:ascii="Arial" w:hAnsi="Arial" w:cs="Times New Roman"/>
        </w:rPr>
        <w:t xml:space="preserve"> Explanatory Notes </w:t>
      </w:r>
      <w:r w:rsidR="00B6242C">
        <w:rPr>
          <w:rFonts w:ascii="Arial" w:hAnsi="Arial" w:cs="Times New Roman"/>
        </w:rPr>
        <w:t>illustrate the intended</w:t>
      </w:r>
      <w:r w:rsidR="009B754A">
        <w:rPr>
          <w:rFonts w:ascii="Arial" w:hAnsi="Arial" w:cs="Times New Roman"/>
        </w:rPr>
        <w:t xml:space="preserve"> operation of this section: “if an Act of Parliament is passed on or after exit day which is inconsistent with EU law which is preserved or converted by the Bill (for example, a retained EU regulation), that new Act of Parliament will take precedence”.</w:t>
      </w:r>
      <w:r w:rsidR="00B6242C">
        <w:rPr>
          <w:rStyle w:val="FootnoteReference"/>
          <w:rFonts w:ascii="Arial" w:hAnsi="Arial" w:cs="Arial"/>
        </w:rPr>
        <w:footnoteReference w:id="29"/>
      </w:r>
    </w:p>
    <w:p w:rsidR="005C0351" w:rsidRPr="005C0351" w:rsidRDefault="004428ED" w:rsidP="00EB04C3">
      <w:pPr>
        <w:pStyle w:val="ListParagraph"/>
        <w:numPr>
          <w:ilvl w:val="0"/>
          <w:numId w:val="5"/>
        </w:numPr>
        <w:spacing w:after="240" w:line="360" w:lineRule="auto"/>
        <w:contextualSpacing w:val="0"/>
        <w:jc w:val="both"/>
        <w:rPr>
          <w:rFonts w:ascii="Arial" w:hAnsi="Arial"/>
        </w:rPr>
      </w:pPr>
      <w:r>
        <w:rPr>
          <w:rFonts w:ascii="Arial" w:hAnsi="Arial" w:cs="Times New Roman"/>
        </w:rPr>
        <w:t>Again, in some contexts, the application of this section is likely to be straightforward. It is axiomatic to the Government’s threefold plan (as outlined at §</w:t>
      </w:r>
      <w:r>
        <w:rPr>
          <w:rFonts w:ascii="Arial" w:hAnsi="Arial" w:cs="Times New Roman"/>
        </w:rPr>
        <w:fldChar w:fldCharType="begin"/>
      </w:r>
      <w:r>
        <w:rPr>
          <w:rFonts w:ascii="Arial" w:hAnsi="Arial" w:cs="Times New Roman"/>
        </w:rPr>
        <w:instrText xml:space="preserve"> REF _Ref358218977 \w \h </w:instrText>
      </w:r>
      <w:r>
        <w:rPr>
          <w:rFonts w:ascii="Arial" w:hAnsi="Arial" w:cs="Times New Roman"/>
        </w:rPr>
      </w:r>
      <w:r>
        <w:rPr>
          <w:rFonts w:ascii="Arial" w:hAnsi="Arial" w:cs="Times New Roman"/>
        </w:rPr>
        <w:fldChar w:fldCharType="separate"/>
      </w:r>
      <w:r w:rsidR="00C92EA6">
        <w:rPr>
          <w:rFonts w:ascii="Arial" w:hAnsi="Arial" w:cs="Times New Roman"/>
        </w:rPr>
        <w:t>7</w:t>
      </w:r>
      <w:r>
        <w:rPr>
          <w:rFonts w:ascii="Arial" w:hAnsi="Arial" w:cs="Times New Roman"/>
        </w:rPr>
        <w:fldChar w:fldCharType="end"/>
      </w:r>
      <w:r>
        <w:rPr>
          <w:rFonts w:ascii="Arial" w:hAnsi="Arial" w:cs="Times New Roman"/>
        </w:rPr>
        <w:t xml:space="preserve"> above), and the</w:t>
      </w:r>
      <w:r w:rsidR="00C354EE">
        <w:rPr>
          <w:rFonts w:ascii="Arial" w:hAnsi="Arial" w:cs="Times New Roman"/>
        </w:rPr>
        <w:t xml:space="preserve"> political imperative of</w:t>
      </w:r>
      <w:r>
        <w:rPr>
          <w:rFonts w:ascii="Arial" w:hAnsi="Arial" w:cs="Times New Roman"/>
        </w:rPr>
        <w:t xml:space="preserve"> “taking back of control”, that changes to substantive policy made by primary legislation after Brexit will</w:t>
      </w:r>
      <w:r w:rsidR="005C0351">
        <w:rPr>
          <w:rFonts w:ascii="Arial" w:hAnsi="Arial" w:cs="Times New Roman"/>
        </w:rPr>
        <w:t xml:space="preserve"> be able to alter</w:t>
      </w:r>
      <w:r w:rsidR="003B04B0">
        <w:rPr>
          <w:rFonts w:ascii="Arial" w:hAnsi="Arial" w:cs="Times New Roman"/>
        </w:rPr>
        <w:t xml:space="preserve"> the </w:t>
      </w:r>
      <w:r w:rsidR="005C0351">
        <w:rPr>
          <w:rFonts w:ascii="Arial" w:hAnsi="Arial" w:cs="Times New Roman"/>
        </w:rPr>
        <w:t>position under the body of</w:t>
      </w:r>
      <w:r w:rsidR="00C354EE">
        <w:rPr>
          <w:rFonts w:ascii="Arial" w:hAnsi="Arial" w:cs="Times New Roman"/>
        </w:rPr>
        <w:t xml:space="preserve"> EU retained</w:t>
      </w:r>
      <w:r w:rsidR="003B04B0">
        <w:rPr>
          <w:rFonts w:ascii="Arial" w:hAnsi="Arial" w:cs="Times New Roman"/>
        </w:rPr>
        <w:t xml:space="preserve"> law</w:t>
      </w:r>
      <w:r>
        <w:rPr>
          <w:rFonts w:ascii="Arial" w:hAnsi="Arial" w:cs="Times New Roman"/>
        </w:rPr>
        <w:t xml:space="preserve">. </w:t>
      </w:r>
    </w:p>
    <w:p w:rsidR="004428ED" w:rsidRPr="009B113E" w:rsidRDefault="00C354EE" w:rsidP="00EB04C3">
      <w:pPr>
        <w:pStyle w:val="ListParagraph"/>
        <w:numPr>
          <w:ilvl w:val="0"/>
          <w:numId w:val="5"/>
        </w:numPr>
        <w:spacing w:after="240" w:line="360" w:lineRule="auto"/>
        <w:contextualSpacing w:val="0"/>
        <w:jc w:val="both"/>
        <w:rPr>
          <w:rFonts w:ascii="Arial" w:hAnsi="Arial"/>
        </w:rPr>
      </w:pPr>
      <w:r>
        <w:rPr>
          <w:rFonts w:ascii="Arial" w:hAnsi="Arial" w:cs="Times New Roman"/>
        </w:rPr>
        <w:t xml:space="preserve">But the position in relation to </w:t>
      </w:r>
      <w:r w:rsidR="005C0351">
        <w:rPr>
          <w:rFonts w:ascii="Arial" w:hAnsi="Arial" w:cs="Times New Roman"/>
        </w:rPr>
        <w:t xml:space="preserve">post-Brexit </w:t>
      </w:r>
      <w:r>
        <w:rPr>
          <w:rFonts w:ascii="Arial" w:hAnsi="Arial" w:cs="Times New Roman"/>
        </w:rPr>
        <w:t>secondary legislation is less clear</w:t>
      </w:r>
      <w:r w:rsidR="00EB04C3">
        <w:rPr>
          <w:rFonts w:ascii="Arial" w:hAnsi="Arial" w:cs="Times New Roman"/>
        </w:rPr>
        <w:t xml:space="preserve">. </w:t>
      </w:r>
      <w:r w:rsidRPr="00C354EE">
        <w:rPr>
          <w:rFonts w:ascii="Arial" w:hAnsi="Arial" w:cs="Times New Roman"/>
        </w:rPr>
        <w:t>In general, one would expect where subsequent secondary legislation conflicts with</w:t>
      </w:r>
      <w:r w:rsidR="00F26930">
        <w:rPr>
          <w:rFonts w:ascii="Arial" w:hAnsi="Arial" w:cs="Times New Roman"/>
        </w:rPr>
        <w:t xml:space="preserve"> existing secondary legislation</w:t>
      </w:r>
      <w:r w:rsidRPr="00C354EE">
        <w:rPr>
          <w:rFonts w:ascii="Arial" w:hAnsi="Arial" w:cs="Times New Roman"/>
        </w:rPr>
        <w:t xml:space="preserve"> that the</w:t>
      </w:r>
      <w:r w:rsidR="005C0351">
        <w:rPr>
          <w:rFonts w:ascii="Arial" w:hAnsi="Arial" w:cs="Times New Roman"/>
        </w:rPr>
        <w:t xml:space="preserve"> newer</w:t>
      </w:r>
      <w:r w:rsidRPr="00C354EE">
        <w:rPr>
          <w:rFonts w:ascii="Arial" w:hAnsi="Arial" w:cs="Times New Roman"/>
        </w:rPr>
        <w:t xml:space="preserve"> legislation would take precedence. </w:t>
      </w:r>
      <w:r>
        <w:rPr>
          <w:rFonts w:ascii="Arial" w:hAnsi="Arial" w:cs="Times New Roman"/>
        </w:rPr>
        <w:t xml:space="preserve">However, </w:t>
      </w:r>
      <w:r w:rsidR="00EB04C3">
        <w:rPr>
          <w:rFonts w:ascii="Arial" w:hAnsi="Arial" w:cs="Times New Roman"/>
        </w:rPr>
        <w:t xml:space="preserve">section 5(3) </w:t>
      </w:r>
      <w:r>
        <w:rPr>
          <w:rFonts w:ascii="Arial" w:hAnsi="Arial" w:cs="Times New Roman"/>
        </w:rPr>
        <w:t xml:space="preserve">GRB </w:t>
      </w:r>
      <w:r w:rsidR="00EB04C3">
        <w:rPr>
          <w:rFonts w:ascii="Arial" w:hAnsi="Arial" w:cs="Times New Roman"/>
        </w:rPr>
        <w:t xml:space="preserve">provides that section 5(1) “does not prevent the principle of the supremacy of EU law from applying to a modification made on or after exit day of an enactment or rule of law passed or made before exit day if the application of the principle is consistent with the intention of the modification”. </w:t>
      </w:r>
      <w:r>
        <w:rPr>
          <w:rFonts w:ascii="Arial" w:hAnsi="Arial" w:cs="Times New Roman"/>
        </w:rPr>
        <w:t xml:space="preserve">This suggests that there may well be </w:t>
      </w:r>
      <w:r w:rsidR="00F26930">
        <w:rPr>
          <w:rFonts w:ascii="Arial" w:hAnsi="Arial" w:cs="Times New Roman"/>
        </w:rPr>
        <w:t>post-Brexit</w:t>
      </w:r>
      <w:r>
        <w:rPr>
          <w:rFonts w:ascii="Arial" w:hAnsi="Arial" w:cs="Times New Roman"/>
        </w:rPr>
        <w:t xml:space="preserve"> secondary legislation which, for example, modifies a </w:t>
      </w:r>
      <w:r w:rsidR="00F26930">
        <w:rPr>
          <w:rFonts w:ascii="Arial" w:hAnsi="Arial" w:cs="Times New Roman"/>
        </w:rPr>
        <w:t xml:space="preserve">pre-Brexit </w:t>
      </w:r>
      <w:r>
        <w:rPr>
          <w:rFonts w:ascii="Arial" w:hAnsi="Arial" w:cs="Times New Roman"/>
        </w:rPr>
        <w:t>section 2(2) ECA statutory instrument, which could nonetheless be trumped by retained EU law. Whether or not that is the case will depend on the “intention of the modification”</w:t>
      </w:r>
      <w:r w:rsidR="00034B8D">
        <w:rPr>
          <w:rFonts w:ascii="Arial" w:hAnsi="Arial" w:cs="Times New Roman"/>
        </w:rPr>
        <w:t xml:space="preserve">. </w:t>
      </w:r>
    </w:p>
    <w:p w:rsidR="00A1518A" w:rsidRPr="0079697B" w:rsidRDefault="00A1518A" w:rsidP="00A1518A">
      <w:pPr>
        <w:spacing w:after="240" w:line="360" w:lineRule="auto"/>
        <w:ind w:left="0" w:firstLine="0"/>
        <w:jc w:val="both"/>
        <w:rPr>
          <w:rFonts w:ascii="Arial" w:hAnsi="Arial" w:cs="Arial"/>
        </w:rPr>
      </w:pPr>
      <w:r>
        <w:rPr>
          <w:rFonts w:ascii="Arial" w:hAnsi="Arial" w:cs="Arial"/>
          <w:i/>
        </w:rPr>
        <w:t xml:space="preserve">The </w:t>
      </w:r>
      <w:r w:rsidR="00E44A51">
        <w:rPr>
          <w:rFonts w:ascii="Arial" w:hAnsi="Arial" w:cs="Arial"/>
          <w:i/>
        </w:rPr>
        <w:t>internal hierarchy as between EU derived laws</w:t>
      </w:r>
      <w:r w:rsidRPr="0079697B">
        <w:rPr>
          <w:rFonts w:ascii="Arial" w:hAnsi="Arial" w:cs="Arial"/>
        </w:rPr>
        <w:t xml:space="preserve"> </w:t>
      </w:r>
    </w:p>
    <w:p w:rsidR="009B113E" w:rsidRDefault="009B113E" w:rsidP="00A1518A">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The second</w:t>
      </w:r>
      <w:r w:rsidR="005C0351">
        <w:rPr>
          <w:rFonts w:ascii="Arial" w:hAnsi="Arial" w:cs="Arial"/>
        </w:rPr>
        <w:t xml:space="preserve"> “hierarchy of norms”</w:t>
      </w:r>
      <w:r>
        <w:rPr>
          <w:rFonts w:ascii="Arial" w:hAnsi="Arial" w:cs="Arial"/>
        </w:rPr>
        <w:t xml:space="preserve"> issue is how the hierarchy of laws that currently exists within the EU legal order is to be replicated within the body of </w:t>
      </w:r>
      <w:r w:rsidR="00034B8D">
        <w:rPr>
          <w:rFonts w:ascii="Arial" w:hAnsi="Arial" w:cs="Arial"/>
        </w:rPr>
        <w:t>retained EU law</w:t>
      </w:r>
      <w:r>
        <w:rPr>
          <w:rFonts w:ascii="Arial" w:hAnsi="Arial" w:cs="Arial"/>
        </w:rPr>
        <w:t xml:space="preserve"> post-conversion. EU regulations and directives are both a form of</w:t>
      </w:r>
      <w:r w:rsidR="00034B8D">
        <w:rPr>
          <w:rFonts w:ascii="Arial" w:hAnsi="Arial" w:cs="Arial"/>
        </w:rPr>
        <w:t xml:space="preserve"> EU</w:t>
      </w:r>
      <w:r>
        <w:rPr>
          <w:rFonts w:ascii="Arial" w:hAnsi="Arial" w:cs="Arial"/>
        </w:rPr>
        <w:t xml:space="preserve"> secondary legislation which, as a matter of EU law, require a legal basis for adoption under the EU treaties</w:t>
      </w:r>
      <w:r w:rsidR="007C0C97">
        <w:rPr>
          <w:rFonts w:ascii="Arial" w:hAnsi="Arial" w:cs="Arial"/>
        </w:rPr>
        <w:t xml:space="preserve"> and must be within the competence of the </w:t>
      </w:r>
      <w:r w:rsidR="005C0351">
        <w:rPr>
          <w:rFonts w:ascii="Arial" w:hAnsi="Arial" w:cs="Arial"/>
        </w:rPr>
        <w:t>EU</w:t>
      </w:r>
      <w:r>
        <w:rPr>
          <w:rFonts w:ascii="Arial" w:hAnsi="Arial" w:cs="Arial"/>
        </w:rPr>
        <w:t>. Challenges to EU measures on the basis of a lack of legal basis</w:t>
      </w:r>
      <w:r w:rsidR="00C16C02">
        <w:rPr>
          <w:rFonts w:ascii="Arial" w:hAnsi="Arial" w:cs="Arial"/>
        </w:rPr>
        <w:t xml:space="preserve"> or competence</w:t>
      </w:r>
      <w:r>
        <w:rPr>
          <w:rFonts w:ascii="Arial" w:hAnsi="Arial" w:cs="Arial"/>
        </w:rPr>
        <w:t xml:space="preserve"> are commonplace. </w:t>
      </w:r>
    </w:p>
    <w:p w:rsidR="00294C55" w:rsidRPr="00C05A41" w:rsidRDefault="005C0351" w:rsidP="00A1518A">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Two</w:t>
      </w:r>
      <w:r w:rsidR="009B113E">
        <w:rPr>
          <w:rFonts w:ascii="Arial" w:hAnsi="Arial" w:cs="Arial"/>
        </w:rPr>
        <w:t xml:space="preserve"> questions</w:t>
      </w:r>
      <w:r>
        <w:rPr>
          <w:rFonts w:ascii="Arial" w:hAnsi="Arial" w:cs="Arial"/>
        </w:rPr>
        <w:t xml:space="preserve"> arise from this</w:t>
      </w:r>
      <w:r w:rsidR="009B113E">
        <w:rPr>
          <w:rFonts w:ascii="Arial" w:hAnsi="Arial" w:cs="Arial"/>
        </w:rPr>
        <w:t xml:space="preserve">. First, will it continue to be open to litigants in the UK, post </w:t>
      </w:r>
      <w:r w:rsidR="00034B8D">
        <w:rPr>
          <w:rFonts w:ascii="Arial" w:hAnsi="Arial" w:cs="Arial"/>
        </w:rPr>
        <w:t>Brexit</w:t>
      </w:r>
      <w:r w:rsidR="009B113E">
        <w:rPr>
          <w:rFonts w:ascii="Arial" w:hAnsi="Arial" w:cs="Arial"/>
        </w:rPr>
        <w:t xml:space="preserve">, to argue before the </w:t>
      </w:r>
      <w:r w:rsidR="00F57040">
        <w:rPr>
          <w:rFonts w:ascii="Arial" w:hAnsi="Arial" w:cs="Arial"/>
        </w:rPr>
        <w:t>national</w:t>
      </w:r>
      <w:r w:rsidR="009B113E">
        <w:rPr>
          <w:rFonts w:ascii="Arial" w:hAnsi="Arial" w:cs="Arial"/>
        </w:rPr>
        <w:t xml:space="preserve"> courts that e.g. an EU regulation which has been converted into </w:t>
      </w:r>
      <w:r w:rsidR="00034B8D">
        <w:rPr>
          <w:rFonts w:ascii="Arial" w:hAnsi="Arial" w:cs="Arial"/>
        </w:rPr>
        <w:t>direct EU legislation under section 3</w:t>
      </w:r>
      <w:r w:rsidR="009B113E">
        <w:rPr>
          <w:rFonts w:ascii="Arial" w:hAnsi="Arial" w:cs="Times New Roman"/>
        </w:rPr>
        <w:t xml:space="preserve"> GRB was made wi</w:t>
      </w:r>
      <w:r w:rsidR="006243B5">
        <w:rPr>
          <w:rFonts w:ascii="Arial" w:hAnsi="Arial" w:cs="Times New Roman"/>
        </w:rPr>
        <w:t xml:space="preserve">thout the requisite legal basis? If </w:t>
      </w:r>
      <w:r w:rsidR="00294C55">
        <w:rPr>
          <w:rFonts w:ascii="Arial" w:hAnsi="Arial" w:cs="Times New Roman"/>
        </w:rPr>
        <w:t xml:space="preserve">so, what will the consequence of that be at a domestic level? </w:t>
      </w:r>
      <w:r w:rsidR="009B113E">
        <w:rPr>
          <w:rFonts w:ascii="Arial" w:hAnsi="Arial" w:cs="Times New Roman"/>
        </w:rPr>
        <w:t>Second</w:t>
      </w:r>
      <w:r>
        <w:rPr>
          <w:rFonts w:ascii="Arial" w:hAnsi="Arial" w:cs="Times New Roman"/>
        </w:rPr>
        <w:t>ly</w:t>
      </w:r>
      <w:r w:rsidR="009B113E">
        <w:rPr>
          <w:rFonts w:ascii="Arial" w:hAnsi="Arial" w:cs="Times New Roman"/>
        </w:rPr>
        <w:t xml:space="preserve">, in the event that a </w:t>
      </w:r>
      <w:r w:rsidR="006243B5">
        <w:rPr>
          <w:rFonts w:ascii="Arial" w:hAnsi="Arial" w:cs="Times New Roman"/>
        </w:rPr>
        <w:t xml:space="preserve">legal basis or </w:t>
      </w:r>
      <w:r w:rsidR="00F57040">
        <w:rPr>
          <w:rFonts w:ascii="Arial" w:hAnsi="Arial" w:cs="Times New Roman"/>
        </w:rPr>
        <w:t xml:space="preserve">competence based </w:t>
      </w:r>
      <w:r w:rsidR="009B113E">
        <w:rPr>
          <w:rFonts w:ascii="Arial" w:hAnsi="Arial" w:cs="Times New Roman"/>
        </w:rPr>
        <w:t xml:space="preserve">challenge </w:t>
      </w:r>
      <w:r w:rsidR="00F57040">
        <w:rPr>
          <w:rFonts w:ascii="Arial" w:hAnsi="Arial" w:cs="Times New Roman"/>
        </w:rPr>
        <w:t>is successfully bro</w:t>
      </w:r>
      <w:r w:rsidR="006243B5">
        <w:rPr>
          <w:rFonts w:ascii="Arial" w:hAnsi="Arial" w:cs="Times New Roman"/>
        </w:rPr>
        <w:t>ught before the CJEU</w:t>
      </w:r>
      <w:r w:rsidR="00F57040">
        <w:rPr>
          <w:rFonts w:ascii="Arial" w:hAnsi="Arial" w:cs="Times New Roman"/>
        </w:rPr>
        <w:t xml:space="preserve"> after Brexit</w:t>
      </w:r>
      <w:r w:rsidR="00294C55">
        <w:rPr>
          <w:rFonts w:ascii="Arial" w:hAnsi="Arial" w:cs="Times New Roman"/>
        </w:rPr>
        <w:t xml:space="preserve"> </w:t>
      </w:r>
      <w:r>
        <w:rPr>
          <w:rFonts w:ascii="Arial" w:hAnsi="Arial" w:cs="Times New Roman"/>
        </w:rPr>
        <w:t>(</w:t>
      </w:r>
      <w:r w:rsidR="006243B5">
        <w:rPr>
          <w:rFonts w:ascii="Arial" w:hAnsi="Arial" w:cs="Times New Roman"/>
        </w:rPr>
        <w:t>by a litigant based in another Member State) b</w:t>
      </w:r>
      <w:r w:rsidR="00294C55">
        <w:rPr>
          <w:rFonts w:ascii="Arial" w:hAnsi="Arial" w:cs="Times New Roman"/>
        </w:rPr>
        <w:t>ut in relation to an EU measure which pre-dated commencement of the GRB</w:t>
      </w:r>
      <w:r w:rsidR="00F57040">
        <w:rPr>
          <w:rFonts w:ascii="Arial" w:hAnsi="Arial" w:cs="Times New Roman"/>
        </w:rPr>
        <w:t>,</w:t>
      </w:r>
      <w:r w:rsidR="00034B8D">
        <w:rPr>
          <w:rFonts w:ascii="Arial" w:hAnsi="Arial" w:cs="Times New Roman"/>
        </w:rPr>
        <w:t xml:space="preserve"> and has therefore been converted into domestic UK law,</w:t>
      </w:r>
      <w:r w:rsidR="00F57040">
        <w:rPr>
          <w:rFonts w:ascii="Arial" w:hAnsi="Arial" w:cs="Times New Roman"/>
        </w:rPr>
        <w:t xml:space="preserve"> what impact will that have for the UK statute book? </w:t>
      </w:r>
    </w:p>
    <w:p w:rsidR="005C0351" w:rsidRDefault="007870ED" w:rsidP="00C16C02">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The current </w:t>
      </w:r>
      <w:r w:rsidR="00034B8D">
        <w:rPr>
          <w:rFonts w:ascii="Arial" w:hAnsi="Arial" w:cs="Arial"/>
        </w:rPr>
        <w:t>draft of the GRB</w:t>
      </w:r>
      <w:r>
        <w:rPr>
          <w:rFonts w:ascii="Arial" w:hAnsi="Arial" w:cs="Arial"/>
        </w:rPr>
        <w:t xml:space="preserve"> appears to provide conflicting answers to these questions. On the one hand, as noted at </w:t>
      </w:r>
      <w:r w:rsidR="007C0C97">
        <w:rPr>
          <w:rFonts w:ascii="Arial" w:hAnsi="Arial" w:cs="Arial"/>
        </w:rPr>
        <w:t>§</w:t>
      </w:r>
      <w:r w:rsidR="007C0C97">
        <w:rPr>
          <w:rFonts w:ascii="Arial" w:hAnsi="Arial" w:cs="Arial"/>
        </w:rPr>
        <w:fldChar w:fldCharType="begin"/>
      </w:r>
      <w:r w:rsidR="007C0C97">
        <w:rPr>
          <w:rFonts w:ascii="Arial" w:hAnsi="Arial" w:cs="Arial"/>
        </w:rPr>
        <w:instrText xml:space="preserve"> REF _Ref488250922 \w \h </w:instrText>
      </w:r>
      <w:r w:rsidR="007C0C97">
        <w:rPr>
          <w:rFonts w:ascii="Arial" w:hAnsi="Arial" w:cs="Arial"/>
        </w:rPr>
      </w:r>
      <w:r w:rsidR="007C0C97">
        <w:rPr>
          <w:rFonts w:ascii="Arial" w:hAnsi="Arial" w:cs="Arial"/>
        </w:rPr>
        <w:fldChar w:fldCharType="separate"/>
      </w:r>
      <w:r w:rsidR="00C92EA6">
        <w:rPr>
          <w:rFonts w:ascii="Arial" w:hAnsi="Arial" w:cs="Arial"/>
        </w:rPr>
        <w:t>12.d</w:t>
      </w:r>
      <w:r w:rsidR="007C0C97">
        <w:rPr>
          <w:rFonts w:ascii="Arial" w:hAnsi="Arial" w:cs="Arial"/>
        </w:rPr>
        <w:fldChar w:fldCharType="end"/>
      </w:r>
      <w:r>
        <w:rPr>
          <w:rFonts w:ascii="Arial" w:hAnsi="Arial" w:cs="Arial"/>
        </w:rPr>
        <w:t xml:space="preserve"> above, section 6(3) requires that “any question as to the validity, meaning or effect of any EU retained law” has to be decided by the domestic courts, post-exit, having regard to the limits of EU compe</w:t>
      </w:r>
      <w:r w:rsidR="00034B8D">
        <w:rPr>
          <w:rFonts w:ascii="Arial" w:hAnsi="Arial" w:cs="Arial"/>
        </w:rPr>
        <w:t>tence immediately before exit</w:t>
      </w:r>
      <w:r>
        <w:rPr>
          <w:rFonts w:ascii="Arial" w:hAnsi="Arial" w:cs="Arial"/>
        </w:rPr>
        <w:t xml:space="preserve">. </w:t>
      </w:r>
      <w:r w:rsidR="00B816AC">
        <w:rPr>
          <w:rFonts w:ascii="Arial" w:hAnsi="Arial" w:cs="Arial"/>
        </w:rPr>
        <w:t>The Explanatory Notes add that “a matter could not fall within EU retained law if the EU had no competence in that area”</w:t>
      </w:r>
      <w:r w:rsidR="00034B8D">
        <w:rPr>
          <w:rFonts w:ascii="Arial" w:hAnsi="Arial" w:cs="Arial"/>
        </w:rPr>
        <w:t>.</w:t>
      </w:r>
      <w:r w:rsidR="00034B8D" w:rsidRPr="00034B8D">
        <w:rPr>
          <w:rFonts w:ascii="Arial" w:hAnsi="Arial" w:cs="Arial"/>
          <w:vertAlign w:val="superscript"/>
        </w:rPr>
        <w:footnoteReference w:id="30"/>
      </w:r>
      <w:r w:rsidR="00034B8D">
        <w:rPr>
          <w:rFonts w:ascii="Arial" w:hAnsi="Arial" w:cs="Arial"/>
        </w:rPr>
        <w:t xml:space="preserve"> </w:t>
      </w:r>
    </w:p>
    <w:p w:rsidR="00034B8D" w:rsidRPr="00C16C02" w:rsidRDefault="00034B8D" w:rsidP="00C16C02">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This implies that </w:t>
      </w:r>
      <w:r w:rsidR="00C16C02">
        <w:rPr>
          <w:rFonts w:ascii="Arial" w:hAnsi="Arial" w:cs="Arial"/>
        </w:rPr>
        <w:t>competence</w:t>
      </w:r>
      <w:r>
        <w:rPr>
          <w:rFonts w:ascii="Arial" w:hAnsi="Arial" w:cs="Arial"/>
        </w:rPr>
        <w:t xml:space="preserve"> is going to be an important consideration for the UK courts when interpreting EU retained law post Brexit, and that domestic </w:t>
      </w:r>
      <w:r w:rsidR="00C16C02">
        <w:rPr>
          <w:rFonts w:ascii="Arial" w:hAnsi="Arial" w:cs="Arial"/>
        </w:rPr>
        <w:t xml:space="preserve">UK </w:t>
      </w:r>
      <w:r>
        <w:rPr>
          <w:rFonts w:ascii="Arial" w:hAnsi="Arial" w:cs="Arial"/>
        </w:rPr>
        <w:t>courts might</w:t>
      </w:r>
      <w:r w:rsidR="00C16C02">
        <w:rPr>
          <w:rFonts w:ascii="Arial" w:hAnsi="Arial" w:cs="Arial"/>
        </w:rPr>
        <w:t>, post-Brexit,</w:t>
      </w:r>
      <w:r>
        <w:rPr>
          <w:rFonts w:ascii="Arial" w:hAnsi="Arial" w:cs="Arial"/>
        </w:rPr>
        <w:t xml:space="preserve"> be required to adjudicate on the competence of the EU to this extent. </w:t>
      </w:r>
      <w:r w:rsidR="00C16C02" w:rsidRPr="00C16C02">
        <w:rPr>
          <w:rFonts w:ascii="Arial" w:hAnsi="Arial" w:cs="Arial"/>
        </w:rPr>
        <w:t>If that is the case it will be a significant and novel development</w:t>
      </w:r>
      <w:r w:rsidR="00C16C02">
        <w:rPr>
          <w:rFonts w:ascii="Arial" w:hAnsi="Arial" w:cs="Arial"/>
        </w:rPr>
        <w:t xml:space="preserve"> </w:t>
      </w:r>
      <w:r w:rsidR="007C0C97">
        <w:rPr>
          <w:rFonts w:ascii="Arial" w:hAnsi="Arial" w:cs="Arial"/>
        </w:rPr>
        <w:t xml:space="preserve">that is </w:t>
      </w:r>
      <w:r w:rsidR="00C16C02">
        <w:rPr>
          <w:rFonts w:ascii="Arial" w:hAnsi="Arial" w:cs="Arial"/>
        </w:rPr>
        <w:t>particularly likely to raise eyebrows in Brussels and Luxembourg</w:t>
      </w:r>
      <w:r w:rsidR="00C16C02" w:rsidRPr="00C16C02">
        <w:rPr>
          <w:rFonts w:ascii="Arial" w:hAnsi="Arial" w:cs="Arial"/>
        </w:rPr>
        <w:t xml:space="preserve">. </w:t>
      </w:r>
      <w:r w:rsidR="00C16C02">
        <w:rPr>
          <w:rFonts w:ascii="Arial" w:hAnsi="Arial" w:cs="Arial"/>
        </w:rPr>
        <w:t xml:space="preserve">The CJEU jealously guards its jurisdiction to examine the validity of </w:t>
      </w:r>
      <w:r w:rsidR="005C0351">
        <w:rPr>
          <w:rFonts w:ascii="Arial" w:hAnsi="Arial" w:cs="Arial"/>
        </w:rPr>
        <w:t>EU</w:t>
      </w:r>
      <w:r w:rsidR="00C16C02">
        <w:rPr>
          <w:rFonts w:ascii="Arial" w:hAnsi="Arial" w:cs="Arial"/>
        </w:rPr>
        <w:t xml:space="preserve"> measures. </w:t>
      </w:r>
      <w:r w:rsidR="00C16C02" w:rsidRPr="00C16C02">
        <w:rPr>
          <w:rFonts w:ascii="Arial" w:hAnsi="Arial" w:cs="Arial"/>
        </w:rPr>
        <w:t xml:space="preserve">The national courts of a Member State of the EU are only ever permitted to </w:t>
      </w:r>
      <w:r w:rsidR="00C16C02">
        <w:rPr>
          <w:rFonts w:ascii="Arial" w:hAnsi="Arial" w:cs="Arial"/>
        </w:rPr>
        <w:t>conclude</w:t>
      </w:r>
      <w:r w:rsidR="00C16C02" w:rsidRPr="00C16C02">
        <w:rPr>
          <w:rFonts w:ascii="Arial" w:hAnsi="Arial" w:cs="Arial"/>
        </w:rPr>
        <w:t xml:space="preserve"> that a Union measure is valid</w:t>
      </w:r>
      <w:r w:rsidR="00C16C02">
        <w:rPr>
          <w:rFonts w:ascii="Arial" w:hAnsi="Arial" w:cs="Arial"/>
        </w:rPr>
        <w:t>; to the extent they are contemplating a declaration that a Union measure is invalid (e.g. for want of competence), that issue must be referred to the CJEU.</w:t>
      </w:r>
      <w:r w:rsidR="00C16C02" w:rsidRPr="00C16C02">
        <w:rPr>
          <w:rFonts w:ascii="Arial" w:hAnsi="Arial" w:cs="Arial"/>
          <w:vertAlign w:val="superscript"/>
        </w:rPr>
        <w:footnoteReference w:id="31"/>
      </w:r>
      <w:r w:rsidR="00C16C02" w:rsidRPr="00C16C02">
        <w:rPr>
          <w:rFonts w:ascii="Arial" w:hAnsi="Arial" w:cs="Arial"/>
        </w:rPr>
        <w:t xml:space="preserve"> </w:t>
      </w:r>
      <w:r w:rsidR="00C16C02">
        <w:rPr>
          <w:rFonts w:ascii="Arial" w:hAnsi="Arial" w:cs="Arial"/>
        </w:rPr>
        <w:t>Historically, the CJEU has also demonstrated an extreme hostility to the idea of any extra-Union bodies ruling on matters of EU law.</w:t>
      </w:r>
      <w:r w:rsidR="00C16C02" w:rsidRPr="00C16C02">
        <w:rPr>
          <w:rFonts w:ascii="Arial" w:hAnsi="Arial" w:cs="Arial"/>
          <w:vertAlign w:val="superscript"/>
        </w:rPr>
        <w:footnoteReference w:id="32"/>
      </w:r>
      <w:r w:rsidR="00C16C02" w:rsidRPr="00C16C02">
        <w:rPr>
          <w:rFonts w:ascii="Arial" w:hAnsi="Arial" w:cs="Arial"/>
          <w:i/>
        </w:rPr>
        <w:t xml:space="preserve"> </w:t>
      </w:r>
    </w:p>
    <w:p w:rsidR="002F5154" w:rsidRDefault="00B816AC" w:rsidP="002F5154">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On the other hand,</w:t>
      </w:r>
      <w:r w:rsidR="00034B8D">
        <w:rPr>
          <w:rFonts w:ascii="Arial" w:hAnsi="Arial" w:cs="Arial"/>
        </w:rPr>
        <w:t xml:space="preserve"> however,</w:t>
      </w:r>
      <w:r>
        <w:rPr>
          <w:rFonts w:ascii="Arial" w:hAnsi="Arial" w:cs="Arial"/>
        </w:rPr>
        <w:t xml:space="preserve"> paragraph 1 of Schedule 1 provides that “there is no right in domestic law on or after exit day to challenge any retained EU law on the basis that, immediately before exit day, an EU instrument was invalid”. </w:t>
      </w:r>
      <w:r w:rsidR="00034B8D">
        <w:rPr>
          <w:rFonts w:ascii="Arial" w:hAnsi="Arial" w:cs="Arial"/>
        </w:rPr>
        <w:t xml:space="preserve">It is not at all clear how </w:t>
      </w:r>
      <w:r w:rsidR="005C0351">
        <w:rPr>
          <w:rFonts w:ascii="Arial" w:hAnsi="Arial" w:cs="Arial"/>
        </w:rPr>
        <w:t>this is</w:t>
      </w:r>
      <w:r w:rsidR="00034B8D">
        <w:rPr>
          <w:rFonts w:ascii="Arial" w:hAnsi="Arial" w:cs="Arial"/>
        </w:rPr>
        <w:t xml:space="preserve"> to be reconciled</w:t>
      </w:r>
      <w:r w:rsidR="005C0351">
        <w:rPr>
          <w:rFonts w:ascii="Arial" w:hAnsi="Arial" w:cs="Arial"/>
        </w:rPr>
        <w:t xml:space="preserve"> with section 6(3)</w:t>
      </w:r>
      <w:r w:rsidR="00034B8D">
        <w:rPr>
          <w:rFonts w:ascii="Arial" w:hAnsi="Arial" w:cs="Arial"/>
        </w:rPr>
        <w:t>.</w:t>
      </w:r>
      <w:r w:rsidR="00147FD6">
        <w:rPr>
          <w:rFonts w:ascii="Arial" w:hAnsi="Arial" w:cs="Arial"/>
        </w:rPr>
        <w:t xml:space="preserve"> Why would there ever be a question about the “validity” of retained EU law (as section 6(3) explicitly envisages) if there is no right in domestic law to challenge on the basis of invalidity of an EU i</w:t>
      </w:r>
      <w:r w:rsidR="005C0351">
        <w:rPr>
          <w:rFonts w:ascii="Arial" w:hAnsi="Arial" w:cs="Arial"/>
        </w:rPr>
        <w:t>nstrument?</w:t>
      </w:r>
    </w:p>
    <w:p w:rsidR="00441C06" w:rsidRPr="00294C55" w:rsidRDefault="005C0351" w:rsidP="00A1518A">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There may be a partial solution to this in another of the many </w:t>
      </w:r>
      <w:r w:rsidR="00532511">
        <w:rPr>
          <w:rFonts w:ascii="Arial" w:hAnsi="Arial" w:cs="Arial"/>
        </w:rPr>
        <w:t>sections</w:t>
      </w:r>
      <w:r>
        <w:rPr>
          <w:rFonts w:ascii="Arial" w:hAnsi="Arial" w:cs="Arial"/>
        </w:rPr>
        <w:t xml:space="preserve"> in the GRB</w:t>
      </w:r>
      <w:r w:rsidR="00532511">
        <w:rPr>
          <w:rFonts w:ascii="Arial" w:hAnsi="Arial" w:cs="Arial"/>
        </w:rPr>
        <w:t xml:space="preserve"> which confers delegated powers on the executive</w:t>
      </w:r>
      <w:r>
        <w:rPr>
          <w:rFonts w:ascii="Arial" w:hAnsi="Arial" w:cs="Arial"/>
        </w:rPr>
        <w:t xml:space="preserve">. </w:t>
      </w:r>
      <w:r w:rsidR="00FD5DE9">
        <w:rPr>
          <w:rFonts w:ascii="Arial" w:hAnsi="Arial" w:cs="Arial"/>
        </w:rPr>
        <w:t>U</w:t>
      </w:r>
      <w:r w:rsidR="00535528">
        <w:rPr>
          <w:rFonts w:ascii="Arial" w:hAnsi="Arial" w:cs="Arial"/>
        </w:rPr>
        <w:t>nder</w:t>
      </w:r>
      <w:r w:rsidR="00147FD6">
        <w:rPr>
          <w:rFonts w:ascii="Arial" w:hAnsi="Arial" w:cs="Arial"/>
        </w:rPr>
        <w:t xml:space="preserve"> paragraph 1(2) </w:t>
      </w:r>
      <w:r w:rsidR="00532511">
        <w:rPr>
          <w:rFonts w:ascii="Arial" w:hAnsi="Arial" w:cs="Arial"/>
        </w:rPr>
        <w:t xml:space="preserve">of Schedule 1 </w:t>
      </w:r>
      <w:r w:rsidR="00147FD6">
        <w:rPr>
          <w:rFonts w:ascii="Arial" w:hAnsi="Arial" w:cs="Arial"/>
        </w:rPr>
        <w:t xml:space="preserve">a Minister of the Crown may make regulations describing or providing for kinds of challenges that may still be brought post exit on the basis of invalidity of an EU instrument. </w:t>
      </w:r>
      <w:r w:rsidR="00FD5DE9">
        <w:rPr>
          <w:rFonts w:ascii="Arial" w:hAnsi="Arial" w:cs="Arial"/>
        </w:rPr>
        <w:t xml:space="preserve">Paragraph 1(3) specifies that those regulations may provide for a challenge that would otherwise have been made against an EU institution to be made against a public authority in the UK. The answer may, therefore, lie in finding an appropriate defendant. If an EU Commission decision can be challenged via an action directed at a UK entity (such as the Competition and Markets Authority or the Medicines and Healthcare Products Regulatory Agency) then that might enable validity challenges to be brought in the future. </w:t>
      </w:r>
    </w:p>
    <w:p w:rsidR="005F6532" w:rsidRPr="005F6532" w:rsidRDefault="003001C2" w:rsidP="005F6532">
      <w:pPr>
        <w:spacing w:after="240" w:line="360" w:lineRule="auto"/>
        <w:ind w:left="0" w:firstLine="0"/>
        <w:jc w:val="both"/>
        <w:rPr>
          <w:rFonts w:ascii="Arial" w:hAnsi="Arial" w:cs="Arial"/>
          <w:b/>
        </w:rPr>
      </w:pPr>
      <w:r>
        <w:rPr>
          <w:rFonts w:ascii="Arial" w:hAnsi="Arial" w:cs="Arial"/>
          <w:b/>
        </w:rPr>
        <w:t>THE RELEVANCE OF EU LAW</w:t>
      </w:r>
      <w:r w:rsidR="002809C3">
        <w:rPr>
          <w:rFonts w:ascii="Arial" w:hAnsi="Arial" w:cs="Arial"/>
          <w:b/>
        </w:rPr>
        <w:t xml:space="preserve"> POST BREXIT DAY</w:t>
      </w:r>
    </w:p>
    <w:p w:rsidR="003001C2" w:rsidRDefault="0020634E" w:rsidP="0092166E">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The second big unknown relates to the status of EU law</w:t>
      </w:r>
      <w:r w:rsidR="00A5528A">
        <w:rPr>
          <w:rFonts w:ascii="Arial" w:hAnsi="Arial" w:cs="Arial"/>
        </w:rPr>
        <w:t xml:space="preserve"> that is made</w:t>
      </w:r>
      <w:r>
        <w:rPr>
          <w:rFonts w:ascii="Arial" w:hAnsi="Arial" w:cs="Arial"/>
        </w:rPr>
        <w:t xml:space="preserve"> after Brexit. </w:t>
      </w:r>
    </w:p>
    <w:p w:rsidR="008E1A10" w:rsidRDefault="006619F4" w:rsidP="0092166E">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The White Paper was</w:t>
      </w:r>
      <w:r w:rsidR="001A027F">
        <w:rPr>
          <w:rFonts w:ascii="Arial" w:hAnsi="Arial" w:cs="Arial"/>
        </w:rPr>
        <w:t xml:space="preserve"> completely</w:t>
      </w:r>
      <w:r>
        <w:rPr>
          <w:rFonts w:ascii="Arial" w:hAnsi="Arial" w:cs="Arial"/>
        </w:rPr>
        <w:t xml:space="preserve"> silent on this issue – with the consequence that </w:t>
      </w:r>
      <w:r w:rsidR="001A027F">
        <w:rPr>
          <w:rFonts w:ascii="Arial" w:hAnsi="Arial" w:cs="Arial"/>
        </w:rPr>
        <w:t xml:space="preserve">after its publication </w:t>
      </w:r>
      <w:r>
        <w:rPr>
          <w:rFonts w:ascii="Arial" w:hAnsi="Arial" w:cs="Arial"/>
        </w:rPr>
        <w:t xml:space="preserve">there were </w:t>
      </w:r>
      <w:r w:rsidR="008E1A10">
        <w:rPr>
          <w:rFonts w:ascii="Arial" w:hAnsi="Arial" w:cs="Arial"/>
        </w:rPr>
        <w:t xml:space="preserve">public </w:t>
      </w:r>
      <w:r w:rsidR="00BE2F94">
        <w:rPr>
          <w:rFonts w:ascii="Arial" w:hAnsi="Arial" w:cs="Arial"/>
        </w:rPr>
        <w:t>exhortations</w:t>
      </w:r>
      <w:r w:rsidR="008E1A10">
        <w:rPr>
          <w:rFonts w:ascii="Arial" w:hAnsi="Arial" w:cs="Arial"/>
        </w:rPr>
        <w:t xml:space="preserve"> from the </w:t>
      </w:r>
      <w:r w:rsidR="00604491">
        <w:rPr>
          <w:rFonts w:ascii="Arial" w:hAnsi="Arial" w:cs="Arial"/>
        </w:rPr>
        <w:t>judiciary</w:t>
      </w:r>
      <w:r>
        <w:rPr>
          <w:rFonts w:ascii="Arial" w:hAnsi="Arial" w:cs="Arial"/>
        </w:rPr>
        <w:t xml:space="preserve"> </w:t>
      </w:r>
      <w:r w:rsidR="001A027F">
        <w:rPr>
          <w:rFonts w:ascii="Arial" w:hAnsi="Arial" w:cs="Arial"/>
        </w:rPr>
        <w:t>for statutory provision to be</w:t>
      </w:r>
      <w:r w:rsidR="00BE2F94">
        <w:rPr>
          <w:rFonts w:ascii="Arial" w:hAnsi="Arial" w:cs="Arial"/>
        </w:rPr>
        <w:t xml:space="preserve"> made </w:t>
      </w:r>
      <w:r>
        <w:rPr>
          <w:rFonts w:ascii="Arial" w:hAnsi="Arial" w:cs="Arial"/>
        </w:rPr>
        <w:t>on the topic</w:t>
      </w:r>
      <w:r w:rsidR="001A027F">
        <w:rPr>
          <w:rFonts w:ascii="Arial" w:hAnsi="Arial" w:cs="Arial"/>
        </w:rPr>
        <w:t xml:space="preserve"> in the draft of the GRB</w:t>
      </w:r>
      <w:r w:rsidR="00604491">
        <w:rPr>
          <w:rFonts w:ascii="Arial" w:hAnsi="Arial" w:cs="Arial"/>
        </w:rPr>
        <w:t xml:space="preserve">. </w:t>
      </w:r>
      <w:r w:rsidR="003001C2">
        <w:rPr>
          <w:rFonts w:ascii="Arial" w:hAnsi="Arial" w:cs="Arial"/>
        </w:rPr>
        <w:t>Baroness</w:t>
      </w:r>
      <w:r w:rsidR="00604491">
        <w:rPr>
          <w:rFonts w:ascii="Arial" w:hAnsi="Arial" w:cs="Arial"/>
        </w:rPr>
        <w:t xml:space="preserve"> Hale, for example,</w:t>
      </w:r>
      <w:r w:rsidR="003001C2">
        <w:rPr>
          <w:rFonts w:ascii="Arial" w:hAnsi="Arial" w:cs="Arial"/>
        </w:rPr>
        <w:t xml:space="preserve"> o</w:t>
      </w:r>
      <w:r w:rsidR="00532511">
        <w:rPr>
          <w:rFonts w:ascii="Arial" w:hAnsi="Arial" w:cs="Arial"/>
        </w:rPr>
        <w:t>n 29 March 2017 said as follows,</w:t>
      </w:r>
      <w:r w:rsidR="003001C2">
        <w:rPr>
          <w:rFonts w:ascii="Arial" w:hAnsi="Arial" w:cs="Arial"/>
        </w:rPr>
        <w:t xml:space="preserve"> during the course of</w:t>
      </w:r>
      <w:r w:rsidR="00604491">
        <w:rPr>
          <w:rFonts w:ascii="Arial" w:hAnsi="Arial" w:cs="Arial"/>
        </w:rPr>
        <w:t xml:space="preserve"> evidence </w:t>
      </w:r>
      <w:r w:rsidR="003001C2">
        <w:rPr>
          <w:rFonts w:ascii="Arial" w:hAnsi="Arial" w:cs="Arial"/>
        </w:rPr>
        <w:t>provided to the House of Lords Select C</w:t>
      </w:r>
      <w:r w:rsidR="00604491">
        <w:rPr>
          <w:rFonts w:ascii="Arial" w:hAnsi="Arial" w:cs="Arial"/>
        </w:rPr>
        <w:t xml:space="preserve">ommittee </w:t>
      </w:r>
      <w:r w:rsidR="003001C2">
        <w:rPr>
          <w:rFonts w:ascii="Arial" w:hAnsi="Arial" w:cs="Arial"/>
        </w:rPr>
        <w:t>on the Constitution</w:t>
      </w:r>
      <w:r w:rsidR="00604491">
        <w:rPr>
          <w:rFonts w:ascii="Arial" w:hAnsi="Arial" w:cs="Arial"/>
        </w:rPr>
        <w:t xml:space="preserve">: </w:t>
      </w:r>
    </w:p>
    <w:p w:rsidR="00604491" w:rsidRPr="00604491" w:rsidRDefault="00604491" w:rsidP="00604491">
      <w:pPr>
        <w:pStyle w:val="ListParagraph"/>
        <w:spacing w:after="360"/>
        <w:ind w:left="1134" w:right="567" w:firstLine="0"/>
        <w:contextualSpacing w:val="0"/>
        <w:jc w:val="both"/>
        <w:rPr>
          <w:rFonts w:ascii="Arial" w:hAnsi="Arial" w:cs="Arial"/>
        </w:rPr>
      </w:pPr>
      <w:r>
        <w:rPr>
          <w:rFonts w:ascii="Arial" w:hAnsi="Arial" w:cs="Arial"/>
        </w:rPr>
        <w:t>“One</w:t>
      </w:r>
      <w:r w:rsidRPr="00604491">
        <w:rPr>
          <w:rFonts w:ascii="Arial" w:hAnsi="Arial" w:cs="Arial"/>
        </w:rPr>
        <w:t xml:space="preserve"> major concern that we have in the court, and probably throughout the judiciary, is that it should be made plain in statute what authority or lack of authority, or weight or lack of weight, is to be given to the decisions of the Court of Justice of the European Union after we have left, in relation both to matters that arose before we left and, more importantly, to matters after we leave. That is not something we would like to have to make up for ourselves, obviously, because it is very much a political question, and we would like</w:t>
      </w:r>
      <w:r>
        <w:rPr>
          <w:rFonts w:ascii="Arial" w:hAnsi="Arial" w:cs="Arial"/>
        </w:rPr>
        <w:t xml:space="preserve"> statute to tell us the answer.”</w:t>
      </w:r>
      <w:r w:rsidR="003001C2">
        <w:rPr>
          <w:rStyle w:val="FootnoteReference"/>
          <w:rFonts w:ascii="Arial" w:hAnsi="Arial" w:cs="Arial"/>
        </w:rPr>
        <w:footnoteReference w:id="33"/>
      </w:r>
      <w:r>
        <w:rPr>
          <w:rFonts w:ascii="Arial" w:hAnsi="Arial" w:cs="Arial"/>
        </w:rPr>
        <w:t xml:space="preserve"> </w:t>
      </w:r>
    </w:p>
    <w:p w:rsidR="001A027F" w:rsidRDefault="001A027F" w:rsidP="0092166E">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Unfortunately the GRB does not answer such pleas in any meaningful way. Its treatment of the issue</w:t>
      </w:r>
      <w:r w:rsidR="006619F4">
        <w:rPr>
          <w:rFonts w:ascii="Arial" w:hAnsi="Arial" w:cs="Arial"/>
        </w:rPr>
        <w:t xml:space="preserve"> is skeletal, at best</w:t>
      </w:r>
      <w:r w:rsidR="00F67991">
        <w:rPr>
          <w:rFonts w:ascii="Arial" w:hAnsi="Arial" w:cs="Arial"/>
        </w:rPr>
        <w:t xml:space="preserve">. </w:t>
      </w:r>
      <w:r w:rsidR="00FD5DE9">
        <w:rPr>
          <w:rFonts w:ascii="Arial" w:hAnsi="Arial" w:cs="Arial"/>
        </w:rPr>
        <w:t>S</w:t>
      </w:r>
      <w:r w:rsidR="006619F4">
        <w:rPr>
          <w:rFonts w:ascii="Arial" w:hAnsi="Arial" w:cs="Arial"/>
        </w:rPr>
        <w:t xml:space="preserve">ection 6(1) GRB makes clear that decisions of the </w:t>
      </w:r>
      <w:r w:rsidR="00532511">
        <w:rPr>
          <w:rFonts w:ascii="Arial" w:hAnsi="Arial" w:cs="Arial"/>
        </w:rPr>
        <w:t>EU</w:t>
      </w:r>
      <w:r w:rsidR="006619F4">
        <w:rPr>
          <w:rFonts w:ascii="Arial" w:hAnsi="Arial" w:cs="Arial"/>
        </w:rPr>
        <w:t xml:space="preserve"> Courts taken after exit day will not be binding as a matter of UK law on any domestic court or tribunal. Section 6(2) adds, for good measure, that domestic courts “need not have regard to anything done on or after exit day by the European Court, another EU entity or the EU”. However, </w:t>
      </w:r>
      <w:r>
        <w:rPr>
          <w:rFonts w:ascii="Arial" w:hAnsi="Arial" w:cs="Arial"/>
        </w:rPr>
        <w:t>section 6(2) then</w:t>
      </w:r>
      <w:r w:rsidR="006619F4">
        <w:rPr>
          <w:rFonts w:ascii="Arial" w:hAnsi="Arial" w:cs="Arial"/>
        </w:rPr>
        <w:t xml:space="preserve"> goes on to say that domestic</w:t>
      </w:r>
      <w:r>
        <w:rPr>
          <w:rFonts w:ascii="Arial" w:hAnsi="Arial" w:cs="Arial"/>
        </w:rPr>
        <w:t xml:space="preserve"> courts </w:t>
      </w:r>
      <w:r w:rsidRPr="00532511">
        <w:rPr>
          <w:rFonts w:ascii="Arial" w:hAnsi="Arial" w:cs="Arial"/>
          <w:u w:val="single"/>
        </w:rPr>
        <w:t>may</w:t>
      </w:r>
      <w:r>
        <w:rPr>
          <w:rFonts w:ascii="Arial" w:hAnsi="Arial" w:cs="Arial"/>
        </w:rPr>
        <w:t xml:space="preserve"> have regard to things done by EU entities</w:t>
      </w:r>
      <w:r w:rsidR="006619F4">
        <w:rPr>
          <w:rFonts w:ascii="Arial" w:hAnsi="Arial" w:cs="Arial"/>
        </w:rPr>
        <w:t xml:space="preserve"> if they “consider it appropriate to do so”. </w:t>
      </w:r>
      <w:r>
        <w:rPr>
          <w:rFonts w:ascii="Arial" w:hAnsi="Arial" w:cs="Arial"/>
        </w:rPr>
        <w:t xml:space="preserve">In other words, the </w:t>
      </w:r>
      <w:r w:rsidR="00FD5DE9">
        <w:rPr>
          <w:rFonts w:ascii="Arial" w:hAnsi="Arial" w:cs="Arial"/>
        </w:rPr>
        <w:t>position under the</w:t>
      </w:r>
      <w:r>
        <w:rPr>
          <w:rFonts w:ascii="Arial" w:hAnsi="Arial" w:cs="Arial"/>
        </w:rPr>
        <w:t xml:space="preserve"> GRB is that domestic courts are neither required to, nor prohibited from, taking post-Brexit EU level developments into account.</w:t>
      </w:r>
    </w:p>
    <w:p w:rsidR="0092166E" w:rsidRDefault="00FD5DE9" w:rsidP="0092166E">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If this ambiguous position is maintained upon enactment of the Bill into law</w:t>
      </w:r>
      <w:r w:rsidR="00F67991">
        <w:rPr>
          <w:rFonts w:ascii="Arial" w:hAnsi="Arial" w:cs="Arial"/>
        </w:rPr>
        <w:t>,</w:t>
      </w:r>
      <w:r w:rsidR="003001C2">
        <w:rPr>
          <w:rFonts w:ascii="Arial" w:hAnsi="Arial" w:cs="Arial"/>
        </w:rPr>
        <w:t xml:space="preserve"> it </w:t>
      </w:r>
      <w:r>
        <w:rPr>
          <w:rFonts w:ascii="Arial" w:hAnsi="Arial" w:cs="Arial"/>
        </w:rPr>
        <w:t>will be</w:t>
      </w:r>
      <w:r w:rsidR="0015469F">
        <w:rPr>
          <w:rFonts w:ascii="Arial" w:hAnsi="Arial" w:cs="Arial"/>
        </w:rPr>
        <w:t xml:space="preserve"> necessary to revert to first principles </w:t>
      </w:r>
      <w:r w:rsidR="003001C2">
        <w:rPr>
          <w:rFonts w:ascii="Arial" w:hAnsi="Arial" w:cs="Arial"/>
        </w:rPr>
        <w:t>and current common law approaches to issues of comparative and foreign law</w:t>
      </w:r>
      <w:r w:rsidR="00535528">
        <w:rPr>
          <w:rFonts w:ascii="Arial" w:hAnsi="Arial" w:cs="Arial"/>
        </w:rPr>
        <w:t xml:space="preserve"> in order to work out the likely state of affairs post Brexit</w:t>
      </w:r>
      <w:r w:rsidR="0015469F">
        <w:rPr>
          <w:rFonts w:ascii="Arial" w:hAnsi="Arial" w:cs="Arial"/>
        </w:rPr>
        <w:t xml:space="preserve">. </w:t>
      </w:r>
      <w:r w:rsidR="003001C2">
        <w:rPr>
          <w:rFonts w:ascii="Arial" w:hAnsi="Arial" w:cs="Arial"/>
        </w:rPr>
        <w:t xml:space="preserve">It </w:t>
      </w:r>
      <w:r>
        <w:rPr>
          <w:rFonts w:ascii="Arial" w:hAnsi="Arial" w:cs="Arial"/>
        </w:rPr>
        <w:t>will</w:t>
      </w:r>
      <w:r w:rsidR="003001C2">
        <w:rPr>
          <w:rFonts w:ascii="Arial" w:hAnsi="Arial" w:cs="Arial"/>
        </w:rPr>
        <w:t xml:space="preserve"> also</w:t>
      </w:r>
      <w:r>
        <w:rPr>
          <w:rFonts w:ascii="Arial" w:hAnsi="Arial" w:cs="Arial"/>
        </w:rPr>
        <w:t xml:space="preserve"> be</w:t>
      </w:r>
      <w:r w:rsidR="003001C2">
        <w:rPr>
          <w:rFonts w:ascii="Arial" w:hAnsi="Arial" w:cs="Arial"/>
        </w:rPr>
        <w:t xml:space="preserve"> </w:t>
      </w:r>
      <w:r w:rsidR="00535528">
        <w:rPr>
          <w:rFonts w:ascii="Arial" w:hAnsi="Arial" w:cs="Arial"/>
        </w:rPr>
        <w:t>important</w:t>
      </w:r>
      <w:r w:rsidR="003001C2">
        <w:rPr>
          <w:rFonts w:ascii="Arial" w:hAnsi="Arial" w:cs="Arial"/>
        </w:rPr>
        <w:t xml:space="preserve"> to separate out transitional issues (e.g. what will happen in relation to preliminary references that have been requested but not answered before Brexit day) from the longer-term consequences of EU law changes.</w:t>
      </w:r>
      <w:r w:rsidR="001A027F" w:rsidRPr="001A027F">
        <w:rPr>
          <w:rFonts w:ascii="Arial" w:hAnsi="Arial" w:cs="Arial"/>
          <w:vertAlign w:val="superscript"/>
        </w:rPr>
        <w:footnoteReference w:id="34"/>
      </w:r>
    </w:p>
    <w:p w:rsidR="0015469F" w:rsidRDefault="0015469F" w:rsidP="0092166E">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As a starting position, it seems clear that </w:t>
      </w:r>
      <w:r w:rsidRPr="008E1A10">
        <w:rPr>
          <w:rFonts w:ascii="Arial" w:hAnsi="Arial" w:cs="Arial"/>
          <w:u w:val="single"/>
        </w:rPr>
        <w:t>legislative</w:t>
      </w:r>
      <w:r>
        <w:rPr>
          <w:rFonts w:ascii="Arial" w:hAnsi="Arial" w:cs="Arial"/>
        </w:rPr>
        <w:t xml:space="preserve"> changes made at the EU level, post-Brexit, will not have any bearing on the UK domestic legal system unless Westminster</w:t>
      </w:r>
      <w:r w:rsidR="008E1A10">
        <w:rPr>
          <w:rFonts w:ascii="Arial" w:hAnsi="Arial" w:cs="Arial"/>
        </w:rPr>
        <w:t xml:space="preserve"> or</w:t>
      </w:r>
      <w:r>
        <w:rPr>
          <w:rFonts w:ascii="Arial" w:hAnsi="Arial" w:cs="Arial"/>
        </w:rPr>
        <w:t xml:space="preserve"> the devolved administrations, as appropriate, take positive steps to introduce some kind of copy-cat legislation</w:t>
      </w:r>
      <w:r w:rsidR="008E1A10">
        <w:rPr>
          <w:rFonts w:ascii="Arial" w:hAnsi="Arial" w:cs="Arial"/>
        </w:rPr>
        <w:t xml:space="preserve"> in the UK</w:t>
      </w:r>
      <w:r>
        <w:rPr>
          <w:rFonts w:ascii="Arial" w:hAnsi="Arial" w:cs="Arial"/>
        </w:rPr>
        <w:t>. The</w:t>
      </w:r>
      <w:r w:rsidR="008E1A10">
        <w:rPr>
          <w:rFonts w:ascii="Arial" w:hAnsi="Arial" w:cs="Arial"/>
        </w:rPr>
        <w:t xml:space="preserve"> reality is that the</w:t>
      </w:r>
      <w:r>
        <w:rPr>
          <w:rFonts w:ascii="Arial" w:hAnsi="Arial" w:cs="Arial"/>
        </w:rPr>
        <w:t xml:space="preserve"> EU and UK legal systems will be on different paths from Brexit day +1 and it is probable that, in certain areas at least, t</w:t>
      </w:r>
      <w:r w:rsidR="008E1A10">
        <w:rPr>
          <w:rFonts w:ascii="Arial" w:hAnsi="Arial" w:cs="Arial"/>
        </w:rPr>
        <w:t>hey will diverge rather rapidly</w:t>
      </w:r>
      <w:r>
        <w:rPr>
          <w:rFonts w:ascii="Arial" w:hAnsi="Arial" w:cs="Arial"/>
        </w:rPr>
        <w:t xml:space="preserve"> given the likely priorities of the respective administrations. </w:t>
      </w:r>
    </w:p>
    <w:p w:rsidR="008E1A10" w:rsidRDefault="0015469F" w:rsidP="00535528">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In relation to other forms of EU law, however,</w:t>
      </w:r>
      <w:r w:rsidR="008E1A10">
        <w:rPr>
          <w:rFonts w:ascii="Arial" w:hAnsi="Arial" w:cs="Arial"/>
        </w:rPr>
        <w:t xml:space="preserve"> </w:t>
      </w:r>
      <w:r w:rsidR="00A5528A">
        <w:rPr>
          <w:rFonts w:ascii="Arial" w:hAnsi="Arial" w:cs="Arial"/>
        </w:rPr>
        <w:t xml:space="preserve">there is a greater likelihood that these will continue to be relevant domestically. </w:t>
      </w:r>
      <w:r w:rsidR="009B282E">
        <w:rPr>
          <w:rFonts w:ascii="Arial" w:hAnsi="Arial" w:cs="Arial"/>
        </w:rPr>
        <w:t xml:space="preserve">In general terms, the English courts have become increasingly adept at, and happy to, consider comparative law materials in recent years and one </w:t>
      </w:r>
      <w:r w:rsidR="00A5528A">
        <w:rPr>
          <w:rFonts w:ascii="Arial" w:hAnsi="Arial" w:cs="Arial"/>
        </w:rPr>
        <w:t xml:space="preserve">can well imagine that </w:t>
      </w:r>
      <w:r w:rsidR="009B282E">
        <w:rPr>
          <w:rFonts w:ascii="Arial" w:hAnsi="Arial" w:cs="Arial"/>
        </w:rPr>
        <w:t xml:space="preserve">both </w:t>
      </w:r>
      <w:r w:rsidR="00A5528A">
        <w:rPr>
          <w:rFonts w:ascii="Arial" w:hAnsi="Arial" w:cs="Arial"/>
        </w:rPr>
        <w:t xml:space="preserve">case law of the European courts and </w:t>
      </w:r>
      <w:r w:rsidR="009B282E">
        <w:rPr>
          <w:rFonts w:ascii="Arial" w:hAnsi="Arial" w:cs="Arial"/>
        </w:rPr>
        <w:t xml:space="preserve">EU </w:t>
      </w:r>
      <w:r w:rsidR="00A5528A">
        <w:rPr>
          <w:rFonts w:ascii="Arial" w:hAnsi="Arial" w:cs="Arial"/>
        </w:rPr>
        <w:t xml:space="preserve">soft-law, such as Commission decisions, guidelines or notices, will continue to be relied upon in domestic courts as a tool </w:t>
      </w:r>
      <w:r w:rsidR="00FD5DE9">
        <w:rPr>
          <w:rFonts w:ascii="Arial" w:hAnsi="Arial" w:cs="Arial"/>
        </w:rPr>
        <w:t>for the</w:t>
      </w:r>
      <w:r w:rsidR="00A5528A">
        <w:rPr>
          <w:rFonts w:ascii="Arial" w:hAnsi="Arial" w:cs="Arial"/>
        </w:rPr>
        <w:t xml:space="preserve"> interpretation of </w:t>
      </w:r>
      <w:r w:rsidR="000D4BC0">
        <w:rPr>
          <w:rFonts w:ascii="Arial" w:hAnsi="Arial" w:cs="Arial"/>
        </w:rPr>
        <w:t>retained EU</w:t>
      </w:r>
      <w:r w:rsidR="00A5528A">
        <w:rPr>
          <w:rFonts w:ascii="Arial" w:hAnsi="Arial" w:cs="Arial"/>
        </w:rPr>
        <w:t xml:space="preserve"> law, even where that case law and soft law post-dates Brexit. </w:t>
      </w:r>
      <w:r w:rsidR="00FD5DE9">
        <w:rPr>
          <w:rFonts w:ascii="Arial" w:hAnsi="Arial" w:cs="Arial"/>
        </w:rPr>
        <w:t xml:space="preserve">This </w:t>
      </w:r>
      <w:r w:rsidR="00532511">
        <w:rPr>
          <w:rFonts w:ascii="Arial" w:hAnsi="Arial" w:cs="Arial"/>
        </w:rPr>
        <w:t>would potentially be</w:t>
      </w:r>
      <w:r w:rsidR="00FD5DE9">
        <w:rPr>
          <w:rFonts w:ascii="Arial" w:hAnsi="Arial" w:cs="Arial"/>
        </w:rPr>
        <w:t xml:space="preserve"> permissible under usual principles of construction or, where there is ambiguity, under the </w:t>
      </w:r>
      <w:r w:rsidR="00FD5DE9">
        <w:rPr>
          <w:rFonts w:ascii="Arial" w:hAnsi="Arial" w:cs="Arial"/>
          <w:i/>
        </w:rPr>
        <w:t xml:space="preserve">Pepper v Hart </w:t>
      </w:r>
      <w:r w:rsidR="00FD5DE9">
        <w:rPr>
          <w:rFonts w:ascii="Arial" w:hAnsi="Arial" w:cs="Arial"/>
        </w:rPr>
        <w:t>rule. I</w:t>
      </w:r>
      <w:r w:rsidR="008E1A10" w:rsidRPr="00535528">
        <w:rPr>
          <w:rFonts w:ascii="Arial" w:hAnsi="Arial" w:cs="Arial"/>
        </w:rPr>
        <w:t>nternational law and, in particular, Article</w:t>
      </w:r>
      <w:r w:rsidR="00FD5DE9">
        <w:rPr>
          <w:rFonts w:ascii="Arial" w:hAnsi="Arial" w:cs="Arial"/>
        </w:rPr>
        <w:t>s</w:t>
      </w:r>
      <w:r w:rsidR="008E1A10" w:rsidRPr="00535528">
        <w:rPr>
          <w:rFonts w:ascii="Arial" w:hAnsi="Arial" w:cs="Arial"/>
        </w:rPr>
        <w:t xml:space="preserve"> 31 and 32 of the Vienna Convention may also allow such a course of action, if and to the extent that the UK continues to participate in international agreements with the EU following Brexit. </w:t>
      </w:r>
    </w:p>
    <w:p w:rsidR="00535528" w:rsidRPr="00535528" w:rsidRDefault="00535528" w:rsidP="00535528">
      <w:pPr>
        <w:pStyle w:val="ListParagraph"/>
        <w:numPr>
          <w:ilvl w:val="0"/>
          <w:numId w:val="5"/>
        </w:numPr>
        <w:spacing w:after="240" w:line="360" w:lineRule="auto"/>
        <w:ind w:left="562" w:hanging="562"/>
        <w:contextualSpacing w:val="0"/>
        <w:jc w:val="both"/>
        <w:rPr>
          <w:rFonts w:ascii="Arial" w:hAnsi="Arial" w:cs="Arial"/>
        </w:rPr>
      </w:pPr>
      <w:r w:rsidRPr="00535528">
        <w:rPr>
          <w:rFonts w:ascii="Arial" w:hAnsi="Arial" w:cs="Arial"/>
        </w:rPr>
        <w:t>Importantly</w:t>
      </w:r>
      <w:r>
        <w:rPr>
          <w:rFonts w:ascii="Arial" w:hAnsi="Arial" w:cs="Arial"/>
        </w:rPr>
        <w:t>,</w:t>
      </w:r>
      <w:r w:rsidRPr="00535528">
        <w:rPr>
          <w:rFonts w:ascii="Arial" w:hAnsi="Arial" w:cs="Arial"/>
        </w:rPr>
        <w:t xml:space="preserve"> Part 2 of Schedule 5 to the GRB </w:t>
      </w:r>
      <w:r w:rsidR="00532511">
        <w:rPr>
          <w:rFonts w:ascii="Arial" w:hAnsi="Arial" w:cs="Arial"/>
        </w:rPr>
        <w:t>does make</w:t>
      </w:r>
      <w:r w:rsidRPr="00535528">
        <w:rPr>
          <w:rFonts w:ascii="Arial" w:hAnsi="Arial" w:cs="Arial"/>
        </w:rPr>
        <w:t xml:space="preserve"> clear that questions as to the meaning of EU law post-Brexit </w:t>
      </w:r>
      <w:r>
        <w:rPr>
          <w:rFonts w:ascii="Arial" w:hAnsi="Arial" w:cs="Arial"/>
        </w:rPr>
        <w:t>are</w:t>
      </w:r>
      <w:r w:rsidRPr="00535528">
        <w:rPr>
          <w:rFonts w:ascii="Arial" w:hAnsi="Arial" w:cs="Arial"/>
        </w:rPr>
        <w:t xml:space="preserve"> to be treated as question</w:t>
      </w:r>
      <w:r>
        <w:rPr>
          <w:rFonts w:ascii="Arial" w:hAnsi="Arial" w:cs="Arial"/>
        </w:rPr>
        <w:t>s</w:t>
      </w:r>
      <w:r w:rsidRPr="00535528">
        <w:rPr>
          <w:rFonts w:ascii="Arial" w:hAnsi="Arial" w:cs="Arial"/>
        </w:rPr>
        <w:t xml:space="preserve"> of law. This is an exception to the general position that questions as to the meaning or effect of the law of foreign jurisdictions have to be proved as a matter of fact on the basis of expert evidence.</w:t>
      </w:r>
    </w:p>
    <w:p w:rsidR="009B282E" w:rsidRPr="009B282E" w:rsidRDefault="00A567B0" w:rsidP="009B282E">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It</w:t>
      </w:r>
      <w:r w:rsidR="009B282E" w:rsidRPr="009B282E">
        <w:rPr>
          <w:rFonts w:ascii="Arial" w:hAnsi="Arial" w:cs="Arial"/>
        </w:rPr>
        <w:t xml:space="preserve"> may </w:t>
      </w:r>
      <w:r w:rsidR="009B282E">
        <w:rPr>
          <w:rFonts w:ascii="Arial" w:hAnsi="Arial" w:cs="Arial"/>
        </w:rPr>
        <w:t xml:space="preserve">also </w:t>
      </w:r>
      <w:r w:rsidR="009B282E" w:rsidRPr="009B282E">
        <w:rPr>
          <w:rFonts w:ascii="Arial" w:hAnsi="Arial" w:cs="Arial"/>
        </w:rPr>
        <w:t xml:space="preserve">be that </w:t>
      </w:r>
      <w:r w:rsidR="009B282E">
        <w:rPr>
          <w:rFonts w:ascii="Arial" w:hAnsi="Arial" w:cs="Arial"/>
        </w:rPr>
        <w:t xml:space="preserve">different approaches are taken in certain sectors. For example, in fields that were previously subject to EU common regulatory frameworks, which are retained post-Brexit, it may be that a specific policy need is perceived for UK jurisprudence to develop consistently with the EU. </w:t>
      </w:r>
      <w:r w:rsidR="009B282E" w:rsidRPr="009B282E">
        <w:rPr>
          <w:rFonts w:ascii="Arial" w:hAnsi="Arial" w:cs="Arial"/>
        </w:rPr>
        <w:t xml:space="preserve">For example, section 60 of the Competition Act 1998 </w:t>
      </w:r>
      <w:r w:rsidR="009B282E">
        <w:rPr>
          <w:rFonts w:ascii="Arial" w:hAnsi="Arial" w:cs="Arial"/>
        </w:rPr>
        <w:t>currently imposes a positive obligation on domestic courts to deal with questions arising in relation to UK competition law “in a manner which is consistent with the treatment of corresponding questions arising in [EU] law in relation to competition within the [EU]”. Nothing in the GRB will repeal that obligation. The question of</w:t>
      </w:r>
      <w:r>
        <w:rPr>
          <w:rFonts w:ascii="Arial" w:hAnsi="Arial" w:cs="Arial"/>
        </w:rPr>
        <w:t xml:space="preserve"> whether or not it remains post-</w:t>
      </w:r>
      <w:r w:rsidR="009B282E">
        <w:rPr>
          <w:rFonts w:ascii="Arial" w:hAnsi="Arial" w:cs="Arial"/>
        </w:rPr>
        <w:t xml:space="preserve">Brexit will therefore </w:t>
      </w:r>
      <w:r w:rsidR="00C71CE5">
        <w:rPr>
          <w:rFonts w:ascii="Arial" w:hAnsi="Arial" w:cs="Arial"/>
        </w:rPr>
        <w:t xml:space="preserve">fall to be addressed </w:t>
      </w:r>
      <w:r w:rsidR="00532511">
        <w:rPr>
          <w:rFonts w:ascii="Arial" w:hAnsi="Arial" w:cs="Arial"/>
        </w:rPr>
        <w:t>separately</w:t>
      </w:r>
      <w:r w:rsidR="00C71CE5">
        <w:rPr>
          <w:rFonts w:ascii="Arial" w:hAnsi="Arial" w:cs="Arial"/>
        </w:rPr>
        <w:t xml:space="preserve">.  </w:t>
      </w:r>
    </w:p>
    <w:p w:rsidR="0092166E" w:rsidRPr="0092166E" w:rsidRDefault="0092166E" w:rsidP="0092166E">
      <w:pPr>
        <w:spacing w:after="240" w:line="360" w:lineRule="auto"/>
        <w:ind w:left="0" w:firstLine="0"/>
        <w:jc w:val="both"/>
        <w:rPr>
          <w:rFonts w:ascii="Arial" w:hAnsi="Arial" w:cs="Arial"/>
          <w:b/>
        </w:rPr>
      </w:pPr>
      <w:r>
        <w:rPr>
          <w:rFonts w:ascii="Arial" w:hAnsi="Arial" w:cs="Arial"/>
          <w:b/>
        </w:rPr>
        <w:t>THE CHARTER OF FUNDAMENTAL RIGHTS AND GENERAL PRINCIPLES OF EU LAW</w:t>
      </w:r>
    </w:p>
    <w:p w:rsidR="00727831" w:rsidRDefault="00C9509D" w:rsidP="00727831">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T</w:t>
      </w:r>
      <w:r w:rsidR="00727831">
        <w:rPr>
          <w:rFonts w:ascii="Arial" w:hAnsi="Arial" w:cs="Arial"/>
        </w:rPr>
        <w:t xml:space="preserve">he third area of uncertainty relates to the scope that is likely to exist, post Brexit, for challenges to domestic action on the basis of either the Charter and/or general principles of EU law. </w:t>
      </w:r>
    </w:p>
    <w:p w:rsidR="00A567B0" w:rsidRDefault="00A567B0" w:rsidP="00A567B0">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As</w:t>
      </w:r>
      <w:r w:rsidR="00C9509D" w:rsidRPr="00727831">
        <w:rPr>
          <w:rFonts w:ascii="Arial" w:hAnsi="Arial" w:cs="Arial"/>
        </w:rPr>
        <w:t xml:space="preserve"> outlined at §</w:t>
      </w:r>
      <w:r w:rsidR="00535528">
        <w:rPr>
          <w:rFonts w:ascii="Arial" w:hAnsi="Arial" w:cs="Arial"/>
        </w:rPr>
        <w:fldChar w:fldCharType="begin"/>
      </w:r>
      <w:r w:rsidR="00535528">
        <w:rPr>
          <w:rFonts w:ascii="Arial" w:hAnsi="Arial" w:cs="Arial"/>
        </w:rPr>
        <w:instrText xml:space="preserve"> REF _Ref488252335 \w \h </w:instrText>
      </w:r>
      <w:r w:rsidR="00535528">
        <w:rPr>
          <w:rFonts w:ascii="Arial" w:hAnsi="Arial" w:cs="Arial"/>
        </w:rPr>
      </w:r>
      <w:r w:rsidR="00535528">
        <w:rPr>
          <w:rFonts w:ascii="Arial" w:hAnsi="Arial" w:cs="Arial"/>
        </w:rPr>
        <w:fldChar w:fldCharType="separate"/>
      </w:r>
      <w:r w:rsidR="00C92EA6">
        <w:rPr>
          <w:rFonts w:ascii="Arial" w:hAnsi="Arial" w:cs="Arial"/>
        </w:rPr>
        <w:t>12.e</w:t>
      </w:r>
      <w:r w:rsidR="00535528">
        <w:rPr>
          <w:rFonts w:ascii="Arial" w:hAnsi="Arial" w:cs="Arial"/>
        </w:rPr>
        <w:fldChar w:fldCharType="end"/>
      </w:r>
      <w:r w:rsidR="00535528">
        <w:rPr>
          <w:rFonts w:ascii="Arial" w:hAnsi="Arial" w:cs="Arial"/>
        </w:rPr>
        <w:t xml:space="preserve"> and §</w:t>
      </w:r>
      <w:r w:rsidR="00535528">
        <w:rPr>
          <w:rFonts w:ascii="Arial" w:hAnsi="Arial" w:cs="Arial"/>
        </w:rPr>
        <w:fldChar w:fldCharType="begin"/>
      </w:r>
      <w:r w:rsidR="00535528">
        <w:rPr>
          <w:rFonts w:ascii="Arial" w:hAnsi="Arial" w:cs="Arial"/>
        </w:rPr>
        <w:instrText xml:space="preserve"> REF _Ref488252340 \w \h </w:instrText>
      </w:r>
      <w:r w:rsidR="00535528">
        <w:rPr>
          <w:rFonts w:ascii="Arial" w:hAnsi="Arial" w:cs="Arial"/>
        </w:rPr>
      </w:r>
      <w:r w:rsidR="00535528">
        <w:rPr>
          <w:rFonts w:ascii="Arial" w:hAnsi="Arial" w:cs="Arial"/>
        </w:rPr>
        <w:fldChar w:fldCharType="separate"/>
      </w:r>
      <w:r w:rsidR="00C92EA6">
        <w:rPr>
          <w:rFonts w:ascii="Arial" w:hAnsi="Arial" w:cs="Arial"/>
        </w:rPr>
        <w:t>13</w:t>
      </w:r>
      <w:r w:rsidR="00535528">
        <w:rPr>
          <w:rFonts w:ascii="Arial" w:hAnsi="Arial" w:cs="Arial"/>
        </w:rPr>
        <w:fldChar w:fldCharType="end"/>
      </w:r>
      <w:r>
        <w:rPr>
          <w:rFonts w:ascii="Arial" w:hAnsi="Arial" w:cs="Arial"/>
        </w:rPr>
        <w:t xml:space="preserve"> above, </w:t>
      </w:r>
      <w:r w:rsidR="00C9509D" w:rsidRPr="00727831">
        <w:rPr>
          <w:rFonts w:ascii="Arial" w:hAnsi="Arial" w:cs="Arial"/>
        </w:rPr>
        <w:t>the Charter is to be excluded from the conversion project</w:t>
      </w:r>
      <w:r w:rsidR="00727831" w:rsidRPr="00727831">
        <w:rPr>
          <w:rFonts w:ascii="Arial" w:hAnsi="Arial" w:cs="Arial"/>
        </w:rPr>
        <w:t>, whilst</w:t>
      </w:r>
      <w:r w:rsidR="00C9509D" w:rsidRPr="00727831">
        <w:rPr>
          <w:rFonts w:ascii="Arial" w:hAnsi="Arial" w:cs="Arial"/>
        </w:rPr>
        <w:t xml:space="preserve"> </w:t>
      </w:r>
      <w:r w:rsidR="00727831" w:rsidRPr="00727831">
        <w:rPr>
          <w:rFonts w:ascii="Arial" w:hAnsi="Arial" w:cs="Arial"/>
        </w:rPr>
        <w:t>g</w:t>
      </w:r>
      <w:r w:rsidR="00C9509D" w:rsidRPr="00727831">
        <w:rPr>
          <w:rFonts w:ascii="Arial" w:hAnsi="Arial" w:cs="Arial"/>
        </w:rPr>
        <w:t>eneral principles are to be</w:t>
      </w:r>
      <w:r w:rsidR="000A1CC7" w:rsidRPr="00727831">
        <w:rPr>
          <w:rFonts w:ascii="Arial" w:hAnsi="Arial" w:cs="Arial"/>
        </w:rPr>
        <w:t xml:space="preserve"> partially</w:t>
      </w:r>
      <w:r w:rsidR="00C9509D" w:rsidRPr="00727831">
        <w:rPr>
          <w:rFonts w:ascii="Arial" w:hAnsi="Arial" w:cs="Arial"/>
        </w:rPr>
        <w:t xml:space="preserve"> converted</w:t>
      </w:r>
      <w:r w:rsidR="000A1CC7" w:rsidRPr="00727831">
        <w:rPr>
          <w:rFonts w:ascii="Arial" w:hAnsi="Arial" w:cs="Arial"/>
        </w:rPr>
        <w:t xml:space="preserve"> into domestic law</w:t>
      </w:r>
      <w:r w:rsidR="00727831" w:rsidRPr="00727831">
        <w:rPr>
          <w:rFonts w:ascii="Arial" w:hAnsi="Arial" w:cs="Arial"/>
        </w:rPr>
        <w:t xml:space="preserve">, </w:t>
      </w:r>
      <w:r w:rsidR="00C9509D" w:rsidRPr="00727831">
        <w:rPr>
          <w:rFonts w:ascii="Arial" w:hAnsi="Arial" w:cs="Arial"/>
        </w:rPr>
        <w:t>subject</w:t>
      </w:r>
      <w:r w:rsidR="000A1CC7" w:rsidRPr="00727831">
        <w:rPr>
          <w:rFonts w:ascii="Arial" w:hAnsi="Arial" w:cs="Arial"/>
        </w:rPr>
        <w:t xml:space="preserve"> </w:t>
      </w:r>
      <w:r w:rsidR="00C9509D" w:rsidRPr="00727831">
        <w:rPr>
          <w:rFonts w:ascii="Arial" w:hAnsi="Arial" w:cs="Arial"/>
        </w:rPr>
        <w:t xml:space="preserve">to the </w:t>
      </w:r>
      <w:r w:rsidR="000A1CC7" w:rsidRPr="00727831">
        <w:rPr>
          <w:rFonts w:ascii="Arial" w:hAnsi="Arial" w:cs="Arial"/>
        </w:rPr>
        <w:t xml:space="preserve">critical </w:t>
      </w:r>
      <w:r w:rsidR="00C9509D" w:rsidRPr="00727831">
        <w:rPr>
          <w:rFonts w:ascii="Arial" w:hAnsi="Arial" w:cs="Arial"/>
        </w:rPr>
        <w:t>caveat</w:t>
      </w:r>
      <w:r w:rsidR="000A1CC7" w:rsidRPr="00727831">
        <w:rPr>
          <w:rFonts w:ascii="Arial" w:hAnsi="Arial" w:cs="Arial"/>
        </w:rPr>
        <w:t xml:space="preserve"> that they will not be capable of founding a cause of action.</w:t>
      </w:r>
      <w:r w:rsidR="00C9509D" w:rsidRPr="00727831">
        <w:rPr>
          <w:rFonts w:ascii="Arial" w:hAnsi="Arial" w:cs="Arial"/>
        </w:rPr>
        <w:t xml:space="preserve"> </w:t>
      </w:r>
    </w:p>
    <w:p w:rsidR="00727831" w:rsidRPr="00A567B0" w:rsidRDefault="00727831" w:rsidP="00A567B0">
      <w:pPr>
        <w:pStyle w:val="ListParagraph"/>
        <w:numPr>
          <w:ilvl w:val="0"/>
          <w:numId w:val="5"/>
        </w:numPr>
        <w:spacing w:after="240" w:line="360" w:lineRule="auto"/>
        <w:ind w:left="562" w:hanging="562"/>
        <w:contextualSpacing w:val="0"/>
        <w:jc w:val="both"/>
        <w:rPr>
          <w:rFonts w:ascii="Arial" w:hAnsi="Arial" w:cs="Arial"/>
        </w:rPr>
      </w:pPr>
      <w:r w:rsidRPr="00A567B0">
        <w:rPr>
          <w:rFonts w:ascii="Arial" w:hAnsi="Arial" w:cs="Arial"/>
        </w:rPr>
        <w:t>The government’s rationale for refusing to convert the Charter into domestic law</w:t>
      </w:r>
      <w:r w:rsidR="00A567B0" w:rsidRPr="00A567B0">
        <w:rPr>
          <w:rFonts w:ascii="Arial" w:hAnsi="Arial" w:cs="Arial"/>
        </w:rPr>
        <w:t xml:space="preserve"> is explained in the</w:t>
      </w:r>
      <w:r w:rsidRPr="00A567B0">
        <w:rPr>
          <w:rFonts w:ascii="Arial" w:hAnsi="Arial" w:cs="Arial"/>
        </w:rPr>
        <w:t xml:space="preserve"> Explanatory Notes </w:t>
      </w:r>
      <w:r w:rsidR="00A567B0" w:rsidRPr="00A567B0">
        <w:rPr>
          <w:rFonts w:ascii="Arial" w:hAnsi="Arial" w:cs="Arial"/>
        </w:rPr>
        <w:t>as follows</w:t>
      </w:r>
      <w:r w:rsidRPr="00A567B0">
        <w:rPr>
          <w:rFonts w:ascii="Arial" w:hAnsi="Arial" w:cs="Arial"/>
        </w:rPr>
        <w:t xml:space="preserve">: </w:t>
      </w:r>
    </w:p>
    <w:p w:rsidR="00727831" w:rsidRPr="00727831" w:rsidRDefault="00727831" w:rsidP="00727831">
      <w:pPr>
        <w:pStyle w:val="ListParagraph"/>
        <w:spacing w:after="360"/>
        <w:ind w:left="1134" w:right="567" w:firstLine="0"/>
        <w:contextualSpacing w:val="0"/>
        <w:jc w:val="both"/>
        <w:rPr>
          <w:rFonts w:ascii="Arial" w:hAnsi="Arial" w:cs="Arial"/>
        </w:rPr>
      </w:pPr>
      <w:r w:rsidRPr="00727831">
        <w:rPr>
          <w:rFonts w:ascii="Arial" w:hAnsi="Arial" w:cs="Arial"/>
        </w:rPr>
        <w:t>“The Charter did not create new rights, but rather codif</w:t>
      </w:r>
      <w:r>
        <w:rPr>
          <w:rFonts w:ascii="Arial" w:hAnsi="Arial" w:cs="Arial"/>
        </w:rPr>
        <w:t xml:space="preserve">ied rights and principles which </w:t>
      </w:r>
      <w:r w:rsidRPr="00727831">
        <w:rPr>
          <w:rFonts w:ascii="Arial" w:hAnsi="Arial" w:cs="Arial"/>
        </w:rPr>
        <w:t>already existed in EU law. By converting the EU acqui</w:t>
      </w:r>
      <w:r>
        <w:rPr>
          <w:rFonts w:ascii="Arial" w:hAnsi="Arial" w:cs="Arial"/>
        </w:rPr>
        <w:t xml:space="preserve">s into UK law, those underlying </w:t>
      </w:r>
      <w:r w:rsidRPr="00727831">
        <w:rPr>
          <w:rFonts w:ascii="Arial" w:hAnsi="Arial" w:cs="Arial"/>
        </w:rPr>
        <w:t xml:space="preserve">rights and principles will also be converted into UK law, </w:t>
      </w:r>
      <w:r>
        <w:rPr>
          <w:rFonts w:ascii="Arial" w:hAnsi="Arial" w:cs="Arial"/>
        </w:rPr>
        <w:t xml:space="preserve">as provided for in this Bill. … </w:t>
      </w:r>
      <w:r w:rsidRPr="00727831">
        <w:rPr>
          <w:rFonts w:ascii="Arial" w:hAnsi="Arial" w:cs="Arial"/>
        </w:rPr>
        <w:t>Given that the Charter did not create any new rights, s</w:t>
      </w:r>
      <w:r>
        <w:rPr>
          <w:rFonts w:ascii="Arial" w:hAnsi="Arial" w:cs="Arial"/>
        </w:rPr>
        <w:t xml:space="preserve">ubsection (5) makes clear that, </w:t>
      </w:r>
      <w:r w:rsidRPr="00727831">
        <w:rPr>
          <w:rFonts w:ascii="Arial" w:hAnsi="Arial" w:cs="Arial"/>
        </w:rPr>
        <w:t>whilst the Charter will not form part of domestic law after</w:t>
      </w:r>
      <w:r>
        <w:rPr>
          <w:rFonts w:ascii="Arial" w:hAnsi="Arial" w:cs="Arial"/>
        </w:rPr>
        <w:t xml:space="preserve"> exit, this does not remove any </w:t>
      </w:r>
      <w:r w:rsidRPr="00727831">
        <w:rPr>
          <w:rFonts w:ascii="Arial" w:hAnsi="Arial" w:cs="Arial"/>
        </w:rPr>
        <w:t>underlying fundamental rights or principles which exist</w:t>
      </w:r>
      <w:r>
        <w:rPr>
          <w:rFonts w:ascii="Arial" w:hAnsi="Arial" w:cs="Arial"/>
        </w:rPr>
        <w:t xml:space="preserve">, and EU law which is converted </w:t>
      </w:r>
      <w:r w:rsidRPr="00727831">
        <w:rPr>
          <w:rFonts w:ascii="Arial" w:hAnsi="Arial" w:cs="Arial"/>
        </w:rPr>
        <w:t>will be interpreted in light of those underlying rights and principles.”</w:t>
      </w:r>
      <w:r w:rsidRPr="00727831">
        <w:rPr>
          <w:rFonts w:ascii="Arial" w:hAnsi="Arial" w:cs="Arial"/>
          <w:vertAlign w:val="superscript"/>
        </w:rPr>
        <w:footnoteReference w:id="35"/>
      </w:r>
    </w:p>
    <w:p w:rsidR="00727831" w:rsidRPr="00532511" w:rsidRDefault="00727831" w:rsidP="00532511">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 xml:space="preserve">The question of whether this </w:t>
      </w:r>
      <w:r w:rsidR="00A567B0">
        <w:rPr>
          <w:rFonts w:ascii="Arial" w:hAnsi="Arial" w:cs="Arial"/>
        </w:rPr>
        <w:t>reasoning</w:t>
      </w:r>
      <w:r>
        <w:rPr>
          <w:rFonts w:ascii="Arial" w:hAnsi="Arial" w:cs="Arial"/>
        </w:rPr>
        <w:t xml:space="preserve"> is correct</w:t>
      </w:r>
      <w:r w:rsidR="00597320">
        <w:rPr>
          <w:rFonts w:ascii="Arial" w:hAnsi="Arial" w:cs="Arial"/>
        </w:rPr>
        <w:t xml:space="preserve"> and justifiable</w:t>
      </w:r>
      <w:r>
        <w:rPr>
          <w:rFonts w:ascii="Arial" w:hAnsi="Arial" w:cs="Arial"/>
        </w:rPr>
        <w:t xml:space="preserve"> is beyond the scope of this paper</w:t>
      </w:r>
      <w:r w:rsidRPr="00727831">
        <w:rPr>
          <w:rFonts w:ascii="Arial" w:hAnsi="Arial" w:cs="Arial"/>
        </w:rPr>
        <w:t>.</w:t>
      </w:r>
      <w:r>
        <w:rPr>
          <w:rFonts w:ascii="Arial" w:hAnsi="Arial" w:cs="Arial"/>
        </w:rPr>
        <w:t xml:space="preserve"> Of course it is true that the Charter did purport to merely codify those basic rights and principles which </w:t>
      </w:r>
      <w:r w:rsidR="00A567B0">
        <w:rPr>
          <w:rFonts w:ascii="Arial" w:hAnsi="Arial" w:cs="Arial"/>
        </w:rPr>
        <w:t xml:space="preserve">already </w:t>
      </w:r>
      <w:r>
        <w:rPr>
          <w:rFonts w:ascii="Arial" w:hAnsi="Arial" w:cs="Arial"/>
        </w:rPr>
        <w:t xml:space="preserve">existed under </w:t>
      </w:r>
      <w:r w:rsidR="000205B4">
        <w:rPr>
          <w:rFonts w:ascii="Arial" w:hAnsi="Arial" w:cs="Arial"/>
        </w:rPr>
        <w:t>EU law</w:t>
      </w:r>
      <w:r>
        <w:rPr>
          <w:rFonts w:ascii="Arial" w:hAnsi="Arial" w:cs="Arial"/>
        </w:rPr>
        <w:t xml:space="preserve">. And it has been the UK’s consistent position ever since the inception of the Charter that it cannot </w:t>
      </w:r>
      <w:r w:rsidR="00597320">
        <w:rPr>
          <w:rFonts w:ascii="Arial" w:hAnsi="Arial" w:cs="Arial"/>
        </w:rPr>
        <w:t xml:space="preserve">and does not </w:t>
      </w:r>
      <w:r>
        <w:rPr>
          <w:rFonts w:ascii="Arial" w:hAnsi="Arial" w:cs="Arial"/>
        </w:rPr>
        <w:t>create new legal rights or obligations.</w:t>
      </w:r>
      <w:r w:rsidR="000205B4">
        <w:rPr>
          <w:rFonts w:ascii="Arial" w:hAnsi="Arial" w:cs="Arial"/>
        </w:rPr>
        <w:t xml:space="preserve"> </w:t>
      </w:r>
      <w:r w:rsidR="00532511">
        <w:rPr>
          <w:rFonts w:ascii="Arial" w:hAnsi="Arial" w:cs="Arial"/>
        </w:rPr>
        <w:t>Suffice it to note for present purposes that</w:t>
      </w:r>
      <w:r w:rsidR="00A567B0" w:rsidRPr="00532511">
        <w:rPr>
          <w:rFonts w:ascii="Arial" w:hAnsi="Arial" w:cs="Arial"/>
        </w:rPr>
        <w:t>, to the extent the position</w:t>
      </w:r>
      <w:r w:rsidR="00DE12DE" w:rsidRPr="00532511">
        <w:rPr>
          <w:rFonts w:ascii="Arial" w:hAnsi="Arial" w:cs="Arial"/>
        </w:rPr>
        <w:t xml:space="preserve"> is not as straightforward as the </w:t>
      </w:r>
      <w:r w:rsidR="00A567B0" w:rsidRPr="00532511">
        <w:rPr>
          <w:rFonts w:ascii="Arial" w:hAnsi="Arial" w:cs="Arial"/>
        </w:rPr>
        <w:t>Explanatory Notes suggest,</w:t>
      </w:r>
      <w:r w:rsidR="00597320" w:rsidRPr="00532511">
        <w:rPr>
          <w:rFonts w:ascii="Arial" w:hAnsi="Arial" w:cs="Arial"/>
        </w:rPr>
        <w:t xml:space="preserve"> then the </w:t>
      </w:r>
      <w:r w:rsidR="00DE12DE" w:rsidRPr="00532511">
        <w:rPr>
          <w:rFonts w:ascii="Arial" w:hAnsi="Arial" w:cs="Arial"/>
        </w:rPr>
        <w:t>approach mandated by se</w:t>
      </w:r>
      <w:r w:rsidR="00A567B0" w:rsidRPr="00532511">
        <w:rPr>
          <w:rFonts w:ascii="Arial" w:hAnsi="Arial" w:cs="Arial"/>
        </w:rPr>
        <w:t xml:space="preserve">ction 5(5) GRB (which requires </w:t>
      </w:r>
      <w:r w:rsidR="00DE12DE" w:rsidRPr="00532511">
        <w:rPr>
          <w:rFonts w:ascii="Arial" w:hAnsi="Arial" w:cs="Arial"/>
        </w:rPr>
        <w:t xml:space="preserve">references to the Charter in any case law </w:t>
      </w:r>
      <w:r w:rsidR="00A567B0" w:rsidRPr="00532511">
        <w:rPr>
          <w:rFonts w:ascii="Arial" w:hAnsi="Arial" w:cs="Arial"/>
        </w:rPr>
        <w:t>“</w:t>
      </w:r>
      <w:r w:rsidR="00DE12DE" w:rsidRPr="00532511">
        <w:rPr>
          <w:rFonts w:ascii="Arial" w:hAnsi="Arial" w:cs="Arial"/>
        </w:rPr>
        <w:t xml:space="preserve">to be read as if they were references to any corresponding retained fundamental rights or principles”) </w:t>
      </w:r>
      <w:r w:rsidR="00597320" w:rsidRPr="00532511">
        <w:rPr>
          <w:rFonts w:ascii="Arial" w:hAnsi="Arial" w:cs="Arial"/>
        </w:rPr>
        <w:t>is likely to raise</w:t>
      </w:r>
      <w:r w:rsidR="00DE12DE" w:rsidRPr="00532511">
        <w:rPr>
          <w:rFonts w:ascii="Arial" w:hAnsi="Arial" w:cs="Arial"/>
        </w:rPr>
        <w:t xml:space="preserve"> a number of complex issues. In particular, </w:t>
      </w:r>
      <w:r w:rsidR="00597320" w:rsidRPr="00532511">
        <w:rPr>
          <w:rFonts w:ascii="Arial" w:hAnsi="Arial" w:cs="Arial"/>
        </w:rPr>
        <w:t>does section 5(5) mean</w:t>
      </w:r>
      <w:r w:rsidR="00DE12DE" w:rsidRPr="00532511">
        <w:rPr>
          <w:rFonts w:ascii="Arial" w:hAnsi="Arial" w:cs="Arial"/>
        </w:rPr>
        <w:t xml:space="preserve"> that</w:t>
      </w:r>
      <w:r w:rsidR="00E576AD" w:rsidRPr="00532511">
        <w:rPr>
          <w:rFonts w:ascii="Arial" w:hAnsi="Arial" w:cs="Arial"/>
        </w:rPr>
        <w:t>,</w:t>
      </w:r>
      <w:r w:rsidR="00DE12DE" w:rsidRPr="00532511">
        <w:rPr>
          <w:rFonts w:ascii="Arial" w:hAnsi="Arial" w:cs="Arial"/>
        </w:rPr>
        <w:t xml:space="preserve"> </w:t>
      </w:r>
      <w:r w:rsidR="00A567B0" w:rsidRPr="00532511">
        <w:rPr>
          <w:rFonts w:ascii="Arial" w:hAnsi="Arial" w:cs="Arial"/>
        </w:rPr>
        <w:t>if</w:t>
      </w:r>
      <w:r w:rsidR="00DE12DE" w:rsidRPr="00532511">
        <w:rPr>
          <w:rFonts w:ascii="Arial" w:hAnsi="Arial" w:cs="Arial"/>
        </w:rPr>
        <w:t xml:space="preserve"> the Charter does</w:t>
      </w:r>
      <w:r w:rsidR="00E576AD" w:rsidRPr="00532511">
        <w:rPr>
          <w:rFonts w:ascii="Arial" w:hAnsi="Arial" w:cs="Arial"/>
        </w:rPr>
        <w:t>,</w:t>
      </w:r>
      <w:r w:rsidR="00DE12DE" w:rsidRPr="00532511">
        <w:rPr>
          <w:rFonts w:ascii="Arial" w:hAnsi="Arial" w:cs="Arial"/>
        </w:rPr>
        <w:t xml:space="preserve"> </w:t>
      </w:r>
      <w:r w:rsidR="00597320" w:rsidRPr="00532511">
        <w:rPr>
          <w:rFonts w:ascii="Arial" w:hAnsi="Arial" w:cs="Arial"/>
        </w:rPr>
        <w:t>in a given respect</w:t>
      </w:r>
      <w:r w:rsidR="00E576AD" w:rsidRPr="00532511">
        <w:rPr>
          <w:rFonts w:ascii="Arial" w:hAnsi="Arial" w:cs="Arial"/>
        </w:rPr>
        <w:t>,</w:t>
      </w:r>
      <w:r w:rsidR="00597320" w:rsidRPr="00532511">
        <w:rPr>
          <w:rFonts w:ascii="Arial" w:hAnsi="Arial" w:cs="Arial"/>
        </w:rPr>
        <w:t xml:space="preserve"> go </w:t>
      </w:r>
      <w:r w:rsidR="00DE12DE" w:rsidRPr="00532511">
        <w:rPr>
          <w:rFonts w:ascii="Arial" w:hAnsi="Arial" w:cs="Arial"/>
        </w:rPr>
        <w:t>beyond the underlying fundamental right</w:t>
      </w:r>
      <w:r w:rsidR="00597320" w:rsidRPr="00532511">
        <w:rPr>
          <w:rFonts w:ascii="Arial" w:hAnsi="Arial" w:cs="Arial"/>
        </w:rPr>
        <w:t xml:space="preserve"> that it is said to have codified</w:t>
      </w:r>
      <w:r w:rsidR="00DE12DE" w:rsidRPr="00532511">
        <w:rPr>
          <w:rFonts w:ascii="Arial" w:hAnsi="Arial" w:cs="Arial"/>
        </w:rPr>
        <w:t>, the fundamental right should be interpreted as though it were as wide as the Charter right</w:t>
      </w:r>
      <w:r w:rsidR="00597320" w:rsidRPr="00532511">
        <w:rPr>
          <w:rFonts w:ascii="Arial" w:hAnsi="Arial" w:cs="Arial"/>
        </w:rPr>
        <w:t>?</w:t>
      </w:r>
      <w:r w:rsidR="00DE12DE" w:rsidRPr="00532511">
        <w:rPr>
          <w:rFonts w:ascii="Arial" w:hAnsi="Arial" w:cs="Arial"/>
        </w:rPr>
        <w:t xml:space="preserve"> </w:t>
      </w:r>
    </w:p>
    <w:p w:rsidR="00A672F8" w:rsidRDefault="00A567B0" w:rsidP="00E576AD">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Even leaving aside such differences of scope, however, the rather blithe proposition</w:t>
      </w:r>
      <w:r w:rsidR="00E576AD">
        <w:rPr>
          <w:rFonts w:ascii="Arial" w:hAnsi="Arial" w:cs="Arial"/>
        </w:rPr>
        <w:t xml:space="preserve"> in the Explanatory Notes</w:t>
      </w:r>
      <w:r>
        <w:rPr>
          <w:rFonts w:ascii="Arial" w:hAnsi="Arial" w:cs="Arial"/>
        </w:rPr>
        <w:t xml:space="preserve"> that removal of the Charter will not </w:t>
      </w:r>
      <w:r w:rsidR="00E576AD">
        <w:rPr>
          <w:rFonts w:ascii="Arial" w:hAnsi="Arial" w:cs="Arial"/>
        </w:rPr>
        <w:t>“</w:t>
      </w:r>
      <w:r w:rsidR="00E576AD" w:rsidRPr="00E576AD">
        <w:rPr>
          <w:rFonts w:ascii="Arial" w:hAnsi="Arial" w:cs="Arial"/>
        </w:rPr>
        <w:t xml:space="preserve">remove any underlying fundamental rights or principles which exist” </w:t>
      </w:r>
      <w:r w:rsidR="00E576AD">
        <w:rPr>
          <w:rFonts w:ascii="Arial" w:hAnsi="Arial" w:cs="Arial"/>
        </w:rPr>
        <w:t>simply cannot be right. This is because it also has to be recalled that under paragraph 3(1) of Schedule 1 to the GRB there is to be no right of action post-Brexit based on a failure to comply with any of the general principles of EU law. A</w:t>
      </w:r>
      <w:r w:rsidR="00532511">
        <w:rPr>
          <w:rFonts w:ascii="Arial" w:hAnsi="Arial" w:cs="Arial"/>
        </w:rPr>
        <w:t>nd a</w:t>
      </w:r>
      <w:r w:rsidR="00E576AD">
        <w:rPr>
          <w:rFonts w:ascii="Arial" w:hAnsi="Arial" w:cs="Arial"/>
        </w:rPr>
        <w:t xml:space="preserve">s a matter of EU law, it is well established that </w:t>
      </w:r>
      <w:r w:rsidR="00736F37" w:rsidRPr="00E576AD">
        <w:rPr>
          <w:rFonts w:ascii="Arial" w:hAnsi="Arial" w:cs="Arial"/>
        </w:rPr>
        <w:t>fundamental rights are a subset of the general principles. Thus, the CJEU has repeatedly stated (since at least 1988) that “fundamental rights form an integral part of the general principles of law whose observance the Court ensures”</w:t>
      </w:r>
      <w:r w:rsidR="00A672F8" w:rsidRPr="00E576AD">
        <w:rPr>
          <w:rFonts w:ascii="Arial" w:hAnsi="Arial" w:cs="Arial"/>
        </w:rPr>
        <w:t>.</w:t>
      </w:r>
      <w:r w:rsidR="00736F37" w:rsidRPr="00736F37">
        <w:rPr>
          <w:vertAlign w:val="superscript"/>
        </w:rPr>
        <w:footnoteReference w:id="36"/>
      </w:r>
      <w:r w:rsidR="00736F37" w:rsidRPr="00E576AD">
        <w:rPr>
          <w:rFonts w:ascii="Arial" w:hAnsi="Arial" w:cs="Arial"/>
        </w:rPr>
        <w:t xml:space="preserve"> </w:t>
      </w:r>
      <w:r w:rsidR="00E576AD">
        <w:rPr>
          <w:rFonts w:ascii="Arial" w:hAnsi="Arial" w:cs="Arial"/>
        </w:rPr>
        <w:t>A</w:t>
      </w:r>
      <w:r w:rsidR="00A672F8" w:rsidRPr="00E576AD">
        <w:rPr>
          <w:rFonts w:ascii="Arial" w:hAnsi="Arial" w:cs="Arial"/>
        </w:rPr>
        <w:t>mongst the general principles which have been recognised by the EU courts are, therefore, the rights to due process, equal treatment, non-discrimination on the grounds of age and sex, legitimate expectation, legal certainty and transparency</w:t>
      </w:r>
      <w:r w:rsidR="00E576AD">
        <w:rPr>
          <w:rFonts w:ascii="Arial" w:hAnsi="Arial" w:cs="Arial"/>
        </w:rPr>
        <w:t>.</w:t>
      </w:r>
    </w:p>
    <w:p w:rsidR="00A672F8" w:rsidRDefault="00E576AD" w:rsidP="00E576AD">
      <w:pPr>
        <w:pStyle w:val="ListParagraph"/>
        <w:numPr>
          <w:ilvl w:val="0"/>
          <w:numId w:val="5"/>
        </w:numPr>
        <w:spacing w:after="240" w:line="360" w:lineRule="auto"/>
        <w:ind w:left="562" w:hanging="562"/>
        <w:contextualSpacing w:val="0"/>
        <w:jc w:val="both"/>
        <w:rPr>
          <w:rFonts w:ascii="Arial" w:hAnsi="Arial" w:cs="Arial"/>
        </w:rPr>
      </w:pPr>
      <w:r>
        <w:rPr>
          <w:rFonts w:ascii="Arial" w:hAnsi="Arial" w:cs="Arial"/>
        </w:rPr>
        <w:t>Moreover, g</w:t>
      </w:r>
      <w:r w:rsidR="00A672F8">
        <w:rPr>
          <w:rFonts w:ascii="Arial" w:hAnsi="Arial" w:cs="Arial"/>
        </w:rPr>
        <w:t>eneral principles and, consequently, fundamental rights, have a constitutional status in the EU legal order and, in terms of the hierarchy of laws, are essentially equivalent to the provisions of the Treaty.</w:t>
      </w:r>
      <w:r w:rsidR="00A672F8" w:rsidRPr="00A672F8">
        <w:rPr>
          <w:rFonts w:ascii="Arial" w:hAnsi="Arial" w:cs="Arial"/>
          <w:vertAlign w:val="superscript"/>
        </w:rPr>
        <w:footnoteReference w:id="37"/>
      </w:r>
      <w:r w:rsidR="00736F37" w:rsidRPr="00A672F8">
        <w:rPr>
          <w:rFonts w:ascii="Arial" w:hAnsi="Arial" w:cs="Arial"/>
        </w:rPr>
        <w:t xml:space="preserve"> </w:t>
      </w:r>
      <w:r w:rsidR="00A672F8">
        <w:rPr>
          <w:rFonts w:ascii="Arial" w:hAnsi="Arial" w:cs="Arial"/>
        </w:rPr>
        <w:t>As a result</w:t>
      </w:r>
      <w:r w:rsidR="00EC2330">
        <w:rPr>
          <w:rFonts w:ascii="Arial" w:hAnsi="Arial" w:cs="Arial"/>
        </w:rPr>
        <w:t>,</w:t>
      </w:r>
      <w:r w:rsidR="00A672F8">
        <w:rPr>
          <w:rFonts w:ascii="Arial" w:hAnsi="Arial" w:cs="Arial"/>
        </w:rPr>
        <w:t xml:space="preserve"> Union measures which are in breach of </w:t>
      </w:r>
      <w:r w:rsidR="006557CF">
        <w:rPr>
          <w:rFonts w:ascii="Arial" w:hAnsi="Arial" w:cs="Arial"/>
        </w:rPr>
        <w:t xml:space="preserve">the general principles are void. </w:t>
      </w:r>
      <w:r>
        <w:rPr>
          <w:rFonts w:ascii="Arial" w:hAnsi="Arial" w:cs="Arial"/>
        </w:rPr>
        <w:t>In addition</w:t>
      </w:r>
      <w:r w:rsidR="006557CF">
        <w:rPr>
          <w:rFonts w:ascii="Arial" w:hAnsi="Arial" w:cs="Arial"/>
        </w:rPr>
        <w:t xml:space="preserve">, </w:t>
      </w:r>
      <w:r w:rsidR="00A672F8">
        <w:rPr>
          <w:rFonts w:ascii="Arial" w:hAnsi="Arial" w:cs="Arial"/>
        </w:rPr>
        <w:t>Member States are bound by the general principles when they implement Union measures or otherwise take action within the scope of EU law</w:t>
      </w:r>
      <w:r w:rsidR="006557CF">
        <w:rPr>
          <w:rFonts w:ascii="Arial" w:hAnsi="Arial" w:cs="Arial"/>
        </w:rPr>
        <w:t xml:space="preserve">. </w:t>
      </w:r>
      <w:r w:rsidR="00A672F8">
        <w:rPr>
          <w:rFonts w:ascii="Arial" w:hAnsi="Arial" w:cs="Arial"/>
        </w:rPr>
        <w:t xml:space="preserve"> </w:t>
      </w:r>
    </w:p>
    <w:p w:rsidR="00EC2330" w:rsidRDefault="00A672F8" w:rsidP="00EC2330">
      <w:pPr>
        <w:pStyle w:val="ListParagraph"/>
        <w:numPr>
          <w:ilvl w:val="0"/>
          <w:numId w:val="5"/>
        </w:numPr>
        <w:spacing w:after="240" w:line="360" w:lineRule="auto"/>
        <w:contextualSpacing w:val="0"/>
        <w:jc w:val="both"/>
        <w:rPr>
          <w:rFonts w:ascii="Arial" w:hAnsi="Arial" w:cs="Arial"/>
        </w:rPr>
      </w:pPr>
      <w:r>
        <w:rPr>
          <w:rFonts w:ascii="Arial" w:hAnsi="Arial" w:cs="Arial"/>
        </w:rPr>
        <w:t xml:space="preserve">Therefore, the reality is that </w:t>
      </w:r>
      <w:r w:rsidR="00E576AD">
        <w:rPr>
          <w:rFonts w:ascii="Arial" w:hAnsi="Arial" w:cs="Arial"/>
        </w:rPr>
        <w:t>if the approach taken in the GRB remains unchanged</w:t>
      </w:r>
      <w:r w:rsidR="006557CF">
        <w:rPr>
          <w:rFonts w:ascii="Arial" w:hAnsi="Arial" w:cs="Arial"/>
        </w:rPr>
        <w:t xml:space="preserve"> the types of actions that </w:t>
      </w:r>
      <w:r w:rsidR="00E576AD">
        <w:rPr>
          <w:rFonts w:ascii="Arial" w:hAnsi="Arial" w:cs="Arial"/>
        </w:rPr>
        <w:t>it will be possible to bring</w:t>
      </w:r>
      <w:r w:rsidR="006557CF">
        <w:rPr>
          <w:rFonts w:ascii="Arial" w:hAnsi="Arial" w:cs="Arial"/>
        </w:rPr>
        <w:t xml:space="preserve"> on the b</w:t>
      </w:r>
      <w:r w:rsidR="00E576AD">
        <w:rPr>
          <w:rFonts w:ascii="Arial" w:hAnsi="Arial" w:cs="Arial"/>
        </w:rPr>
        <w:t>asis of fundamental rights post-</w:t>
      </w:r>
      <w:r w:rsidR="006557CF">
        <w:rPr>
          <w:rFonts w:ascii="Arial" w:hAnsi="Arial" w:cs="Arial"/>
        </w:rPr>
        <w:t xml:space="preserve">Brexit will be radically different. </w:t>
      </w:r>
      <w:r w:rsidR="00597320">
        <w:rPr>
          <w:rFonts w:ascii="Arial" w:hAnsi="Arial" w:cs="Arial"/>
        </w:rPr>
        <w:t xml:space="preserve">A recent example which neatly illustrates the point is provided by the case of </w:t>
      </w:r>
      <w:r w:rsidR="00597320" w:rsidRPr="00597320">
        <w:rPr>
          <w:rFonts w:ascii="Arial" w:hAnsi="Arial" w:cs="Arial"/>
          <w:i/>
        </w:rPr>
        <w:t>Benkharbouche</w:t>
      </w:r>
      <w:r w:rsidR="00597320">
        <w:rPr>
          <w:rFonts w:ascii="Arial" w:hAnsi="Arial" w:cs="Arial"/>
          <w:i/>
        </w:rPr>
        <w:t xml:space="preserve"> </w:t>
      </w:r>
      <w:r w:rsidR="00597320">
        <w:rPr>
          <w:rFonts w:ascii="Arial" w:hAnsi="Arial" w:cs="Arial"/>
        </w:rPr>
        <w:t xml:space="preserve">in which both the Divisional Court and the Court of Appeal </w:t>
      </w:r>
      <w:r w:rsidR="006557CF">
        <w:rPr>
          <w:rFonts w:ascii="Arial" w:hAnsi="Arial" w:cs="Arial"/>
        </w:rPr>
        <w:t>disapplied domestic primary legislation (namely the State Immunity Act</w:t>
      </w:r>
      <w:r w:rsidR="00597320">
        <w:rPr>
          <w:rFonts w:ascii="Arial" w:hAnsi="Arial" w:cs="Arial"/>
        </w:rPr>
        <w:t xml:space="preserve"> 1978</w:t>
      </w:r>
      <w:r w:rsidR="006557CF">
        <w:rPr>
          <w:rFonts w:ascii="Arial" w:hAnsi="Arial" w:cs="Arial"/>
        </w:rPr>
        <w:t>) on the basis of incompatibility with the provisions of the Charter</w:t>
      </w:r>
      <w:r w:rsidR="00597320">
        <w:rPr>
          <w:rFonts w:ascii="Arial" w:hAnsi="Arial" w:cs="Arial"/>
        </w:rPr>
        <w:t>.</w:t>
      </w:r>
      <w:r w:rsidR="00597320" w:rsidRPr="00597320">
        <w:rPr>
          <w:rFonts w:ascii="Arial" w:hAnsi="Arial" w:cs="Arial"/>
          <w:vertAlign w:val="superscript"/>
        </w:rPr>
        <w:footnoteReference w:id="38"/>
      </w:r>
      <w:r w:rsidR="006557CF">
        <w:rPr>
          <w:rFonts w:ascii="Arial" w:hAnsi="Arial" w:cs="Arial"/>
        </w:rPr>
        <w:t xml:space="preserve"> </w:t>
      </w:r>
      <w:r w:rsidR="00597320">
        <w:rPr>
          <w:rFonts w:ascii="Arial" w:hAnsi="Arial" w:cs="Arial"/>
        </w:rPr>
        <w:t xml:space="preserve">Such a </w:t>
      </w:r>
      <w:r w:rsidR="00E576AD">
        <w:rPr>
          <w:rFonts w:ascii="Arial" w:hAnsi="Arial" w:cs="Arial"/>
        </w:rPr>
        <w:t>challenge</w:t>
      </w:r>
      <w:r w:rsidR="00597320">
        <w:rPr>
          <w:rFonts w:ascii="Arial" w:hAnsi="Arial" w:cs="Arial"/>
        </w:rPr>
        <w:t xml:space="preserve"> will simply</w:t>
      </w:r>
      <w:r w:rsidR="00E576AD">
        <w:rPr>
          <w:rFonts w:ascii="Arial" w:hAnsi="Arial" w:cs="Arial"/>
        </w:rPr>
        <w:t xml:space="preserve"> not be possible post Brexit –</w:t>
      </w:r>
      <w:r w:rsidR="006557CF">
        <w:rPr>
          <w:rFonts w:ascii="Arial" w:hAnsi="Arial" w:cs="Arial"/>
        </w:rPr>
        <w:t xml:space="preserve"> assuming the GRB remains in its current form</w:t>
      </w:r>
      <w:r w:rsidR="00E576AD">
        <w:rPr>
          <w:rFonts w:ascii="Arial" w:hAnsi="Arial" w:cs="Arial"/>
        </w:rPr>
        <w:t xml:space="preserve"> –</w:t>
      </w:r>
      <w:r w:rsidR="00597320">
        <w:rPr>
          <w:rFonts w:ascii="Arial" w:hAnsi="Arial" w:cs="Arial"/>
        </w:rPr>
        <w:t xml:space="preserve"> </w:t>
      </w:r>
      <w:r w:rsidR="00E576AD">
        <w:rPr>
          <w:rFonts w:ascii="Arial" w:hAnsi="Arial" w:cs="Arial"/>
        </w:rPr>
        <w:t xml:space="preserve">since </w:t>
      </w:r>
      <w:r w:rsidR="00597320">
        <w:rPr>
          <w:rFonts w:ascii="Arial" w:hAnsi="Arial" w:cs="Arial"/>
        </w:rPr>
        <w:t>both the cause of action and the remedy will be unavailable to equivalent claimants</w:t>
      </w:r>
      <w:r w:rsidR="006557CF">
        <w:rPr>
          <w:rFonts w:ascii="Arial" w:hAnsi="Arial" w:cs="Arial"/>
        </w:rPr>
        <w:t>.</w:t>
      </w:r>
      <w:r w:rsidR="00DE12DE">
        <w:rPr>
          <w:rFonts w:ascii="Arial" w:hAnsi="Arial" w:cs="Arial"/>
        </w:rPr>
        <w:t xml:space="preserve"> </w:t>
      </w:r>
    </w:p>
    <w:p w:rsidR="00EC2330" w:rsidRDefault="00931230" w:rsidP="00EC2330">
      <w:pPr>
        <w:pStyle w:val="ListParagraph"/>
        <w:spacing w:after="240"/>
        <w:ind w:left="567" w:firstLine="0"/>
        <w:contextualSpacing w:val="0"/>
        <w:jc w:val="right"/>
        <w:rPr>
          <w:rFonts w:ascii="Arial" w:hAnsi="Arial" w:cs="Arial"/>
          <w:b/>
        </w:rPr>
      </w:pPr>
      <w:r w:rsidRPr="00EC2330">
        <w:rPr>
          <w:rFonts w:ascii="Arial" w:hAnsi="Arial" w:cs="Arial"/>
          <w:b/>
        </w:rPr>
        <w:t>KELYN BACON QC</w:t>
      </w:r>
    </w:p>
    <w:p w:rsidR="00E576AD" w:rsidRPr="00EC2330" w:rsidRDefault="00E576AD" w:rsidP="00EC2330">
      <w:pPr>
        <w:pStyle w:val="ListParagraph"/>
        <w:spacing w:after="240"/>
        <w:ind w:left="567" w:firstLine="0"/>
        <w:contextualSpacing w:val="0"/>
        <w:jc w:val="right"/>
        <w:rPr>
          <w:rFonts w:ascii="Arial" w:hAnsi="Arial" w:cs="Arial"/>
        </w:rPr>
      </w:pPr>
      <w:r>
        <w:rPr>
          <w:rFonts w:ascii="Arial" w:hAnsi="Arial" w:cs="Arial"/>
          <w:b/>
        </w:rPr>
        <w:t>EMMA MOCKFORD</w:t>
      </w:r>
    </w:p>
    <w:p w:rsidR="00767013" w:rsidRPr="0031174E" w:rsidRDefault="00931230" w:rsidP="00EC2330">
      <w:pPr>
        <w:spacing w:after="240"/>
        <w:ind w:left="0" w:firstLine="0"/>
        <w:jc w:val="right"/>
        <w:rPr>
          <w:rFonts w:ascii="Arial" w:hAnsi="Arial" w:cs="Arial"/>
          <w:b/>
        </w:rPr>
      </w:pPr>
      <w:r>
        <w:rPr>
          <w:rFonts w:ascii="Arial" w:hAnsi="Arial" w:cs="Arial"/>
          <w:b/>
        </w:rPr>
        <w:t>BRICK COURT CHAMBERS</w:t>
      </w:r>
    </w:p>
    <w:p w:rsidR="005368CA" w:rsidRPr="00A577AB" w:rsidRDefault="00F8355F" w:rsidP="00EC2330">
      <w:pPr>
        <w:tabs>
          <w:tab w:val="left" w:pos="436"/>
          <w:tab w:val="right" w:pos="9026"/>
        </w:tabs>
        <w:spacing w:after="240"/>
        <w:ind w:left="0" w:firstLine="0"/>
        <w:rPr>
          <w:rFonts w:ascii="Arial" w:hAnsi="Arial" w:cs="Arial"/>
          <w:b/>
        </w:rPr>
      </w:pPr>
      <w:r w:rsidRPr="0031174E">
        <w:rPr>
          <w:rFonts w:ascii="Arial" w:hAnsi="Arial" w:cs="Arial"/>
          <w:b/>
        </w:rPr>
        <w:tab/>
      </w:r>
      <w:r w:rsidRPr="0031174E">
        <w:rPr>
          <w:rFonts w:ascii="Arial" w:hAnsi="Arial" w:cs="Arial"/>
          <w:b/>
        </w:rPr>
        <w:tab/>
      </w:r>
      <w:r w:rsidR="00E576AD">
        <w:rPr>
          <w:rFonts w:ascii="Arial" w:hAnsi="Arial" w:cs="Arial"/>
          <w:b/>
        </w:rPr>
        <w:t>20</w:t>
      </w:r>
      <w:r w:rsidR="00931230">
        <w:rPr>
          <w:rFonts w:ascii="Arial" w:hAnsi="Arial" w:cs="Arial"/>
          <w:b/>
        </w:rPr>
        <w:t xml:space="preserve"> JULY</w:t>
      </w:r>
      <w:r w:rsidR="00767013" w:rsidRPr="0031174E">
        <w:rPr>
          <w:rFonts w:ascii="Arial" w:hAnsi="Arial" w:cs="Arial"/>
          <w:b/>
        </w:rPr>
        <w:t xml:space="preserve"> 2017</w:t>
      </w:r>
    </w:p>
    <w:sectPr w:rsidR="005368CA" w:rsidRPr="00A577AB" w:rsidSect="00EC2330">
      <w:footerReference w:type="default" r:id="rId8"/>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84" w:rsidRDefault="00BC6284" w:rsidP="00E90665">
      <w:r>
        <w:separator/>
      </w:r>
    </w:p>
  </w:endnote>
  <w:endnote w:type="continuationSeparator" w:id="0">
    <w:p w:rsidR="00BC6284" w:rsidRDefault="00BC6284" w:rsidP="00E9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17557596"/>
      <w:docPartObj>
        <w:docPartGallery w:val="Page Numbers (Bottom of Page)"/>
        <w:docPartUnique/>
      </w:docPartObj>
    </w:sdtPr>
    <w:sdtEndPr>
      <w:rPr>
        <w:noProof/>
      </w:rPr>
    </w:sdtEndPr>
    <w:sdtContent>
      <w:p w:rsidR="00597320" w:rsidRPr="003965EF" w:rsidRDefault="00597320">
        <w:pPr>
          <w:pStyle w:val="Footer"/>
          <w:jc w:val="center"/>
          <w:rPr>
            <w:rFonts w:ascii="Arial" w:hAnsi="Arial" w:cs="Arial"/>
            <w:sz w:val="20"/>
            <w:szCs w:val="20"/>
          </w:rPr>
        </w:pPr>
        <w:r w:rsidRPr="003965EF">
          <w:rPr>
            <w:rFonts w:ascii="Arial" w:hAnsi="Arial" w:cs="Arial"/>
            <w:sz w:val="20"/>
            <w:szCs w:val="20"/>
          </w:rPr>
          <w:fldChar w:fldCharType="begin"/>
        </w:r>
        <w:r w:rsidRPr="003965EF">
          <w:rPr>
            <w:rFonts w:ascii="Arial" w:hAnsi="Arial" w:cs="Arial"/>
            <w:sz w:val="20"/>
            <w:szCs w:val="20"/>
          </w:rPr>
          <w:instrText xml:space="preserve"> PAGE   \* MERGEFORMAT </w:instrText>
        </w:r>
        <w:r w:rsidRPr="003965EF">
          <w:rPr>
            <w:rFonts w:ascii="Arial" w:hAnsi="Arial" w:cs="Arial"/>
            <w:sz w:val="20"/>
            <w:szCs w:val="20"/>
          </w:rPr>
          <w:fldChar w:fldCharType="separate"/>
        </w:r>
        <w:r w:rsidR="004C4AA9">
          <w:rPr>
            <w:rFonts w:ascii="Arial" w:hAnsi="Arial" w:cs="Arial"/>
            <w:noProof/>
            <w:sz w:val="20"/>
            <w:szCs w:val="20"/>
          </w:rPr>
          <w:t>1</w:t>
        </w:r>
        <w:r w:rsidRPr="003965EF">
          <w:rPr>
            <w:rFonts w:ascii="Arial" w:hAnsi="Arial" w:cs="Arial"/>
            <w:noProof/>
            <w:sz w:val="20"/>
            <w:szCs w:val="20"/>
          </w:rPr>
          <w:fldChar w:fldCharType="end"/>
        </w:r>
      </w:p>
    </w:sdtContent>
  </w:sdt>
  <w:p w:rsidR="00597320" w:rsidRPr="003965EF" w:rsidRDefault="0059732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84" w:rsidRDefault="00BC6284" w:rsidP="00E90665">
      <w:r>
        <w:separator/>
      </w:r>
    </w:p>
  </w:footnote>
  <w:footnote w:type="continuationSeparator" w:id="0">
    <w:p w:rsidR="00BC6284" w:rsidRDefault="00BC6284" w:rsidP="00E90665">
      <w:r>
        <w:continuationSeparator/>
      </w:r>
    </w:p>
  </w:footnote>
  <w:footnote w:id="1">
    <w:p w:rsidR="00C92EA6" w:rsidRDefault="00C92EA6" w:rsidP="00C92EA6">
      <w:pPr>
        <w:pStyle w:val="FootnoteText"/>
        <w:spacing w:after="120"/>
        <w:jc w:val="both"/>
      </w:pPr>
      <w:r>
        <w:rPr>
          <w:rStyle w:val="FootnoteReference"/>
        </w:rPr>
        <w:footnoteRef/>
      </w:r>
      <w:r>
        <w:t xml:space="preserve"> </w:t>
      </w:r>
      <w:r>
        <w:tab/>
        <w:t xml:space="preserve">Formally titled the “European Union (Withdrawal) Bill” and </w:t>
      </w:r>
      <w:r w:rsidRPr="0091458E">
        <w:t xml:space="preserve">available online at: </w:t>
      </w:r>
      <w:hyperlink r:id="rId1" w:history="1">
        <w:r w:rsidRPr="0091458E">
          <w:rPr>
            <w:rStyle w:val="Hyperlink"/>
          </w:rPr>
          <w:t>http://services.parliament.uk/bills/2017-19/europeanunionwithdrawal/documents.html</w:t>
        </w:r>
      </w:hyperlink>
    </w:p>
  </w:footnote>
  <w:footnote w:id="2">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Specifically, a statement was given by the Secretary of State for Exiting the European Union to Parliament on 10 October 2016 (House of Commons Hansard, 10 October 2016, Volume 615, column 40).</w:t>
      </w:r>
    </w:p>
  </w:footnote>
  <w:footnote w:id="3">
    <w:p w:rsidR="00597320" w:rsidRPr="00ED705F" w:rsidRDefault="00597320" w:rsidP="00597320">
      <w:pPr>
        <w:pStyle w:val="FootnoteText"/>
        <w:spacing w:after="120"/>
        <w:jc w:val="both"/>
        <w:rPr>
          <w:lang w:val="en-US"/>
        </w:rPr>
      </w:pPr>
      <w:r>
        <w:rPr>
          <w:rStyle w:val="FootnoteReference"/>
        </w:rPr>
        <w:footnoteRef/>
      </w:r>
      <w:r>
        <w:t xml:space="preserve"> </w:t>
      </w:r>
      <w:r>
        <w:rPr>
          <w:lang w:val="en-US"/>
        </w:rPr>
        <w:tab/>
        <w:t>‘</w:t>
      </w:r>
      <w:r w:rsidRPr="005D63D5">
        <w:rPr>
          <w:lang w:val="en-US"/>
        </w:rPr>
        <w:t>Legislating for the United Kingdom’s withdrawal from the European Union’</w:t>
      </w:r>
      <w:r>
        <w:rPr>
          <w:lang w:val="en-US"/>
        </w:rPr>
        <w:t xml:space="preserve">, 30 March 2017, available online at: </w:t>
      </w:r>
      <w:hyperlink r:id="rId2" w:history="1">
        <w:r w:rsidRPr="00882638">
          <w:rPr>
            <w:rStyle w:val="Hyperlink"/>
            <w:lang w:val="en-US"/>
          </w:rPr>
          <w:t>https://www.gov.uk/government/publications/the-great-repeal-bill-white-paper</w:t>
        </w:r>
      </w:hyperlink>
      <w:r>
        <w:rPr>
          <w:lang w:val="en-US"/>
        </w:rPr>
        <w:t xml:space="preserve"> (the “</w:t>
      </w:r>
      <w:r>
        <w:rPr>
          <w:b/>
          <w:lang w:val="en-US"/>
        </w:rPr>
        <w:t>White Paper</w:t>
      </w:r>
      <w:r>
        <w:rPr>
          <w:lang w:val="en-US"/>
        </w:rPr>
        <w:t xml:space="preserve">”). </w:t>
      </w:r>
    </w:p>
  </w:footnote>
  <w:footnote w:id="4">
    <w:p w:rsidR="00597320" w:rsidRPr="00D21DF7" w:rsidRDefault="00597320" w:rsidP="00597320">
      <w:pPr>
        <w:pStyle w:val="FootnoteText"/>
        <w:spacing w:after="120"/>
        <w:jc w:val="both"/>
      </w:pPr>
      <w:r>
        <w:rPr>
          <w:rStyle w:val="FootnoteReference"/>
        </w:rPr>
        <w:footnoteRef/>
      </w:r>
      <w:r>
        <w:t xml:space="preserve"> </w:t>
      </w:r>
      <w:r>
        <w:rPr>
          <w:lang w:val="en-US"/>
        </w:rPr>
        <w:tab/>
        <w:t xml:space="preserve">The bill’s progress can be followed online at: </w:t>
      </w:r>
      <w:hyperlink r:id="rId3" w:history="1">
        <w:r w:rsidRPr="00BD35A2">
          <w:rPr>
            <w:rStyle w:val="Hyperlink"/>
            <w:lang w:val="en-US"/>
          </w:rPr>
          <w:t>http://services.parliament.uk/bills/2017-19/europeanunionwithdrawal.html</w:t>
        </w:r>
      </w:hyperlink>
      <w:r>
        <w:rPr>
          <w:lang w:val="en-US"/>
        </w:rPr>
        <w:t xml:space="preserve"> </w:t>
      </w:r>
    </w:p>
  </w:footnote>
  <w:footnote w:id="5">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 xml:space="preserve">See, for example: </w:t>
      </w:r>
      <w:hyperlink r:id="rId4" w:history="1">
        <w:r w:rsidRPr="001C570F">
          <w:rPr>
            <w:rStyle w:val="Hyperlink"/>
            <w:lang w:val="en-US"/>
          </w:rPr>
          <w:t>https://www.theguardian.com/politics/2017/jul/12/labour-tories-great-repeal-bill-brexit-eu</w:t>
        </w:r>
      </w:hyperlink>
      <w:r>
        <w:rPr>
          <w:lang w:val="en-US"/>
        </w:rPr>
        <w:t xml:space="preserve"> </w:t>
      </w:r>
    </w:p>
  </w:footnote>
  <w:footnote w:id="6">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Foreword to the White Paper, p 7.</w:t>
      </w:r>
    </w:p>
  </w:footnote>
  <w:footnote w:id="7">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White Paper at §1.12.</w:t>
      </w:r>
    </w:p>
  </w:footnote>
  <w:footnote w:id="8">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White Paper at §1.21.</w:t>
      </w:r>
    </w:p>
  </w:footnote>
  <w:footnote w:id="9">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White Paper at pp 20-21.</w:t>
      </w:r>
    </w:p>
  </w:footnote>
  <w:footnote w:id="10">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White Paper at §3.19.</w:t>
      </w:r>
    </w:p>
  </w:footnote>
  <w:footnote w:id="11">
    <w:p w:rsidR="00597320" w:rsidRPr="005D63D5" w:rsidRDefault="00597320" w:rsidP="00597320">
      <w:pPr>
        <w:pStyle w:val="FootnoteText"/>
        <w:spacing w:after="120"/>
        <w:jc w:val="both"/>
        <w:rPr>
          <w:lang w:val="en-US"/>
        </w:rPr>
      </w:pPr>
      <w:r>
        <w:rPr>
          <w:rStyle w:val="FootnoteReference"/>
        </w:rPr>
        <w:footnoteRef/>
      </w:r>
      <w:r>
        <w:t xml:space="preserve"> </w:t>
      </w:r>
      <w:r>
        <w:rPr>
          <w:lang w:val="en-US"/>
        </w:rPr>
        <w:tab/>
        <w:t xml:space="preserve">White Paper at §1.2, and §§4.2-4.4. </w:t>
      </w:r>
    </w:p>
  </w:footnote>
  <w:footnote w:id="12">
    <w:p w:rsidR="00597320" w:rsidRPr="00C727C2" w:rsidRDefault="00597320" w:rsidP="00597320">
      <w:pPr>
        <w:pStyle w:val="FootnoteText"/>
        <w:spacing w:after="120"/>
        <w:jc w:val="both"/>
      </w:pPr>
      <w:r>
        <w:rPr>
          <w:rStyle w:val="FootnoteReference"/>
        </w:rPr>
        <w:footnoteRef/>
      </w:r>
      <w:r>
        <w:t xml:space="preserve"> </w:t>
      </w:r>
      <w:r>
        <w:rPr>
          <w:lang w:val="en-US"/>
        </w:rPr>
        <w:tab/>
        <w:t>The Explanatory Notes to the GRB give the example of domestic health and safety law which is often made to implement EU obligations but is normally made under the powers in the Health and Safety at Work etc. Act 1974, rather than the ECA (Explanatory Notes a</w:t>
      </w:r>
      <w:r w:rsidRPr="009F1983">
        <w:rPr>
          <w:lang w:val="en-US"/>
        </w:rPr>
        <w:t xml:space="preserve">t </w:t>
      </w:r>
      <w:r w:rsidRPr="009F1983">
        <w:rPr>
          <w:rFonts w:cs="Arial"/>
        </w:rPr>
        <w:t>§</w:t>
      </w:r>
      <w:r>
        <w:rPr>
          <w:rFonts w:cs="Arial"/>
        </w:rPr>
        <w:t>74)</w:t>
      </w:r>
      <w:r>
        <w:t xml:space="preserve">. </w:t>
      </w:r>
    </w:p>
  </w:footnote>
  <w:footnote w:id="13">
    <w:p w:rsidR="00597320" w:rsidRPr="00C727C2" w:rsidRDefault="00597320" w:rsidP="00597320">
      <w:pPr>
        <w:pStyle w:val="FootnoteText"/>
        <w:spacing w:after="120"/>
        <w:jc w:val="both"/>
      </w:pPr>
      <w:r>
        <w:rPr>
          <w:rStyle w:val="FootnoteReference"/>
        </w:rPr>
        <w:footnoteRef/>
      </w:r>
      <w:r>
        <w:t xml:space="preserve"> </w:t>
      </w:r>
      <w:r>
        <w:rPr>
          <w:lang w:val="en-US"/>
        </w:rPr>
        <w:tab/>
        <w:t xml:space="preserve">For example Schedule 6 to the GRB sets out various “exempt EU instruments” which will not be converted into domestic law. Primarily these exemptions reflect the fact that certain EU instruments do not currently apply to the UK because of opt-outs which the UK has secured (e.g. in the area of freedom, security and justice). Similarly EU decisions which are addressed only to a Member State other than the EU are not to be converted (section 3(2)(a)(ii)). </w:t>
      </w:r>
      <w:r>
        <w:t xml:space="preserve"> </w:t>
      </w:r>
    </w:p>
  </w:footnote>
  <w:footnote w:id="14">
    <w:p w:rsidR="00597320" w:rsidRPr="00C727C2" w:rsidRDefault="00597320" w:rsidP="00597320">
      <w:pPr>
        <w:pStyle w:val="FootnoteText"/>
        <w:spacing w:after="120"/>
        <w:jc w:val="both"/>
      </w:pPr>
      <w:r>
        <w:rPr>
          <w:rStyle w:val="FootnoteReference"/>
        </w:rPr>
        <w:footnoteRef/>
      </w:r>
      <w:r>
        <w:t xml:space="preserve"> </w:t>
      </w:r>
      <w:r>
        <w:rPr>
          <w:lang w:val="en-US"/>
        </w:rPr>
        <w:tab/>
        <w:t>Explanatory Notes a</w:t>
      </w:r>
      <w:r w:rsidRPr="009F1983">
        <w:rPr>
          <w:lang w:val="en-US"/>
        </w:rPr>
        <w:t xml:space="preserve">t </w:t>
      </w:r>
      <w:r w:rsidRPr="009F1983">
        <w:rPr>
          <w:rFonts w:cs="Arial"/>
        </w:rPr>
        <w:t>§</w:t>
      </w:r>
      <w:r>
        <w:rPr>
          <w:rFonts w:cs="Arial"/>
        </w:rPr>
        <w:t>80</w:t>
      </w:r>
      <w:r>
        <w:t xml:space="preserve">. See also section 3(4) GRB. </w:t>
      </w:r>
    </w:p>
  </w:footnote>
  <w:footnote w:id="15">
    <w:p w:rsidR="00597320" w:rsidRPr="00C727C2" w:rsidRDefault="00597320" w:rsidP="00597320">
      <w:pPr>
        <w:pStyle w:val="FootnoteText"/>
        <w:tabs>
          <w:tab w:val="left" w:pos="720"/>
          <w:tab w:val="left" w:pos="1440"/>
          <w:tab w:val="left" w:pos="2160"/>
          <w:tab w:val="left" w:pos="2880"/>
          <w:tab w:val="left" w:pos="6796"/>
        </w:tabs>
        <w:spacing w:after="120"/>
        <w:jc w:val="both"/>
      </w:pPr>
      <w:r>
        <w:rPr>
          <w:rStyle w:val="FootnoteReference"/>
        </w:rPr>
        <w:footnoteRef/>
      </w:r>
      <w:r>
        <w:t xml:space="preserve"> </w:t>
      </w:r>
      <w:r>
        <w:rPr>
          <w:lang w:val="en-US"/>
        </w:rPr>
        <w:tab/>
        <w:t>Explanatory Notes a</w:t>
      </w:r>
      <w:r w:rsidRPr="009F1983">
        <w:rPr>
          <w:lang w:val="en-US"/>
        </w:rPr>
        <w:t xml:space="preserve">t </w:t>
      </w:r>
      <w:r w:rsidRPr="009F1983">
        <w:rPr>
          <w:rFonts w:cs="Arial"/>
        </w:rPr>
        <w:t>§</w:t>
      </w:r>
      <w:r>
        <w:rPr>
          <w:rFonts w:cs="Arial"/>
        </w:rPr>
        <w:t>92</w:t>
      </w:r>
      <w:r>
        <w:t xml:space="preserve">. </w:t>
      </w:r>
      <w:r>
        <w:tab/>
      </w:r>
      <w:r>
        <w:tab/>
      </w:r>
    </w:p>
  </w:footnote>
  <w:footnote w:id="16">
    <w:p w:rsidR="00597320" w:rsidRPr="00C727C2" w:rsidRDefault="00597320" w:rsidP="00597320">
      <w:pPr>
        <w:pStyle w:val="FootnoteText"/>
        <w:spacing w:after="120"/>
        <w:jc w:val="both"/>
      </w:pPr>
      <w:r>
        <w:rPr>
          <w:rStyle w:val="FootnoteReference"/>
        </w:rPr>
        <w:footnoteRef/>
      </w:r>
      <w:r>
        <w:t xml:space="preserve"> </w:t>
      </w:r>
      <w:r>
        <w:rPr>
          <w:lang w:val="en-US"/>
        </w:rPr>
        <w:tab/>
        <w:t xml:space="preserve">Practice Statement (Judicial Precedent) </w:t>
      </w:r>
      <w:r w:rsidRPr="00C727C2">
        <w:t>[1966] 3 All ER 77, [1966] 1 WLR 1234</w:t>
      </w:r>
      <w:r>
        <w:t xml:space="preserve">, endorsed by the Supreme Court in </w:t>
      </w:r>
      <w:r w:rsidRPr="00C727C2">
        <w:rPr>
          <w:i/>
        </w:rPr>
        <w:t>Austin v Mayor and Burgesses of the London Borough of Southwark</w:t>
      </w:r>
      <w:r w:rsidRPr="00C727C2">
        <w:t xml:space="preserve"> [2010] UKSC 28</w:t>
      </w:r>
      <w:r>
        <w:t xml:space="preserve"> at §25. </w:t>
      </w:r>
    </w:p>
  </w:footnote>
  <w:footnote w:id="17">
    <w:p w:rsidR="00597320" w:rsidRPr="000B7FA6" w:rsidRDefault="00597320" w:rsidP="00597320">
      <w:pPr>
        <w:pStyle w:val="FootnoteText"/>
        <w:spacing w:after="120"/>
        <w:jc w:val="both"/>
        <w:rPr>
          <w:lang w:val="en-US"/>
        </w:rPr>
      </w:pPr>
      <w:r>
        <w:rPr>
          <w:rStyle w:val="FootnoteReference"/>
        </w:rPr>
        <w:footnoteRef/>
      </w:r>
      <w:r>
        <w:t xml:space="preserve"> </w:t>
      </w:r>
      <w:r>
        <w:rPr>
          <w:lang w:val="en-US"/>
        </w:rPr>
        <w:tab/>
        <w:t xml:space="preserve">White Paper at §3.16. </w:t>
      </w:r>
    </w:p>
  </w:footnote>
  <w:footnote w:id="18">
    <w:p w:rsidR="00597320" w:rsidRPr="00981C39" w:rsidRDefault="00597320" w:rsidP="00597320">
      <w:pPr>
        <w:pStyle w:val="FootnoteText"/>
        <w:spacing w:after="120"/>
        <w:jc w:val="both"/>
        <w:rPr>
          <w:lang w:val="en-US"/>
        </w:rPr>
      </w:pPr>
      <w:r>
        <w:rPr>
          <w:rStyle w:val="FootnoteReference"/>
        </w:rPr>
        <w:footnoteRef/>
      </w:r>
      <w:r>
        <w:t xml:space="preserve"> </w:t>
      </w:r>
      <w:r>
        <w:rPr>
          <w:lang w:val="en-US"/>
        </w:rPr>
        <w:tab/>
      </w:r>
      <w:r>
        <w:rPr>
          <w:rFonts w:cs="Arial"/>
        </w:rPr>
        <w:t xml:space="preserve">Case 6/64 </w:t>
      </w:r>
      <w:r>
        <w:rPr>
          <w:rFonts w:cs="Arial"/>
          <w:i/>
        </w:rPr>
        <w:t xml:space="preserve">Flaminio Costa v ENEL </w:t>
      </w:r>
      <w:r>
        <w:rPr>
          <w:rFonts w:cs="Arial"/>
        </w:rPr>
        <w:t>[1964] ECR 585 at 593.</w:t>
      </w:r>
    </w:p>
  </w:footnote>
  <w:footnote w:id="19">
    <w:p w:rsidR="00597320" w:rsidRPr="001E29C3" w:rsidRDefault="00597320" w:rsidP="00597320">
      <w:pPr>
        <w:pStyle w:val="FootnoteText"/>
        <w:spacing w:after="120"/>
        <w:jc w:val="both"/>
        <w:rPr>
          <w:lang w:val="en-US"/>
        </w:rPr>
      </w:pPr>
      <w:r>
        <w:rPr>
          <w:rStyle w:val="FootnoteReference"/>
        </w:rPr>
        <w:footnoteRef/>
      </w:r>
      <w:r>
        <w:t xml:space="preserve"> </w:t>
      </w:r>
      <w:r>
        <w:rPr>
          <w:lang w:val="en-US"/>
        </w:rPr>
        <w:tab/>
        <w:t xml:space="preserve">Case C-221/89 </w:t>
      </w:r>
      <w:r>
        <w:rPr>
          <w:i/>
          <w:lang w:val="en-US"/>
        </w:rPr>
        <w:t>Factortame I</w:t>
      </w:r>
      <w:r>
        <w:rPr>
          <w:lang w:val="en-US"/>
        </w:rPr>
        <w:t xml:space="preserve"> [1991] ECR I-3905 continues to be the classic example. In </w:t>
      </w:r>
      <w:r>
        <w:rPr>
          <w:i/>
          <w:lang w:val="en-US"/>
        </w:rPr>
        <w:t>Factortame</w:t>
      </w:r>
      <w:r>
        <w:rPr>
          <w:lang w:val="en-US"/>
        </w:rPr>
        <w:t xml:space="preserve">, the Merchant Shipping Act 1988 was disapplied on the basis that it violated Community rules prohibiting discrimination. </w:t>
      </w:r>
    </w:p>
  </w:footnote>
  <w:footnote w:id="20">
    <w:p w:rsidR="00597320" w:rsidRPr="00981C39" w:rsidRDefault="00597320" w:rsidP="00597320">
      <w:pPr>
        <w:pStyle w:val="FootnoteText"/>
        <w:spacing w:after="120"/>
        <w:jc w:val="both"/>
        <w:rPr>
          <w:lang w:val="en-US"/>
        </w:rPr>
      </w:pPr>
      <w:r>
        <w:rPr>
          <w:rStyle w:val="FootnoteReference"/>
        </w:rPr>
        <w:footnoteRef/>
      </w:r>
      <w:r>
        <w:t xml:space="preserve"> </w:t>
      </w:r>
      <w:r>
        <w:rPr>
          <w:lang w:val="en-US"/>
        </w:rPr>
        <w:tab/>
        <w:t xml:space="preserve">Case C-118/00 </w:t>
      </w:r>
      <w:r>
        <w:rPr>
          <w:i/>
          <w:lang w:val="en-US"/>
        </w:rPr>
        <w:t xml:space="preserve">Larsy v INASTI </w:t>
      </w:r>
      <w:r>
        <w:rPr>
          <w:lang w:val="en-US"/>
        </w:rPr>
        <w:t xml:space="preserve">[2001] ECR I-5063, §§52-53.  </w:t>
      </w:r>
    </w:p>
  </w:footnote>
  <w:footnote w:id="21">
    <w:p w:rsidR="00597320" w:rsidRPr="000A04B3" w:rsidRDefault="00597320" w:rsidP="00597320">
      <w:pPr>
        <w:pStyle w:val="FootnoteText"/>
        <w:spacing w:after="120"/>
        <w:jc w:val="both"/>
        <w:rPr>
          <w:rFonts w:cs="Arial"/>
        </w:rPr>
      </w:pPr>
      <w:r>
        <w:rPr>
          <w:rStyle w:val="FootnoteReference"/>
        </w:rPr>
        <w:footnoteRef/>
      </w:r>
      <w:r>
        <w:t xml:space="preserve"> </w:t>
      </w:r>
      <w:r>
        <w:tab/>
      </w:r>
      <w:r>
        <w:rPr>
          <w:rFonts w:cs="Arial"/>
        </w:rPr>
        <w:t xml:space="preserve">Case C-41/74 </w:t>
      </w:r>
      <w:r>
        <w:rPr>
          <w:rFonts w:cs="Arial"/>
          <w:i/>
        </w:rPr>
        <w:t xml:space="preserve">Van Duyn v Home Office </w:t>
      </w:r>
      <w:r>
        <w:rPr>
          <w:rFonts w:cs="Arial"/>
        </w:rPr>
        <w:t>[</w:t>
      </w:r>
      <w:r w:rsidRPr="000A04B3">
        <w:rPr>
          <w:rFonts w:cs="Arial"/>
        </w:rPr>
        <w:t>1974</w:t>
      </w:r>
      <w:r>
        <w:rPr>
          <w:rFonts w:cs="Arial"/>
        </w:rPr>
        <w:t xml:space="preserve">] ECR </w:t>
      </w:r>
      <w:r w:rsidRPr="000A04B3">
        <w:rPr>
          <w:rFonts w:cs="Arial"/>
          <w:iCs/>
        </w:rPr>
        <w:t>1337</w:t>
      </w:r>
      <w:r>
        <w:rPr>
          <w:rFonts w:cs="Arial"/>
        </w:rPr>
        <w:t xml:space="preserve">, Case 8/81 </w:t>
      </w:r>
      <w:r>
        <w:rPr>
          <w:rFonts w:cs="Arial"/>
          <w:i/>
        </w:rPr>
        <w:t xml:space="preserve">Becker v Fananzamt Munster-Innestadt </w:t>
      </w:r>
      <w:r>
        <w:rPr>
          <w:rFonts w:cs="Arial"/>
        </w:rPr>
        <w:t>[1982] ECR 53</w:t>
      </w:r>
    </w:p>
  </w:footnote>
  <w:footnote w:id="22">
    <w:p w:rsidR="00597320" w:rsidRPr="00782752" w:rsidRDefault="00597320" w:rsidP="00597320">
      <w:pPr>
        <w:pStyle w:val="FootnoteText"/>
        <w:spacing w:after="120"/>
        <w:jc w:val="both"/>
        <w:rPr>
          <w:lang w:val="en-US"/>
        </w:rPr>
      </w:pPr>
      <w:r>
        <w:rPr>
          <w:rStyle w:val="FootnoteReference"/>
        </w:rPr>
        <w:footnoteRef/>
      </w:r>
      <w:r>
        <w:t xml:space="preserve"> </w:t>
      </w:r>
      <w:r>
        <w:rPr>
          <w:lang w:val="en-US"/>
        </w:rPr>
        <w:tab/>
        <w:t xml:space="preserve">Case C-62/00 </w:t>
      </w:r>
      <w:r w:rsidRPr="00782752">
        <w:rPr>
          <w:i/>
          <w:iCs/>
          <w:lang w:val="en-US"/>
        </w:rPr>
        <w:t xml:space="preserve">Marks &amp; Spencer </w:t>
      </w:r>
      <w:r>
        <w:rPr>
          <w:lang w:val="en-US"/>
        </w:rPr>
        <w:t>[2002] E.C.R. I-6325, esp at §27.</w:t>
      </w:r>
    </w:p>
  </w:footnote>
  <w:footnote w:id="23">
    <w:p w:rsidR="00597320" w:rsidRPr="00191B33" w:rsidRDefault="00597320" w:rsidP="00597320">
      <w:pPr>
        <w:pStyle w:val="FootnoteText"/>
        <w:spacing w:after="120"/>
        <w:jc w:val="both"/>
        <w:rPr>
          <w:lang w:val="en-US"/>
        </w:rPr>
      </w:pPr>
      <w:r>
        <w:rPr>
          <w:rStyle w:val="FootnoteReference"/>
        </w:rPr>
        <w:footnoteRef/>
      </w:r>
      <w:r>
        <w:t xml:space="preserve"> </w:t>
      </w:r>
      <w:r>
        <w:rPr>
          <w:lang w:val="en-US"/>
        </w:rPr>
        <w:tab/>
        <w:t xml:space="preserve">Case 14/83 </w:t>
      </w:r>
      <w:r>
        <w:rPr>
          <w:i/>
          <w:lang w:val="en-US"/>
        </w:rPr>
        <w:t xml:space="preserve">Von Colson </w:t>
      </w:r>
      <w:r>
        <w:rPr>
          <w:lang w:val="en-US"/>
        </w:rPr>
        <w:t xml:space="preserve">[1984] ECR 1891 and Case C-106/89 </w:t>
      </w:r>
      <w:r>
        <w:rPr>
          <w:i/>
          <w:lang w:val="en-US"/>
        </w:rPr>
        <w:t xml:space="preserve">Marleasing </w:t>
      </w:r>
      <w:r>
        <w:rPr>
          <w:lang w:val="en-US"/>
        </w:rPr>
        <w:t xml:space="preserve">[1990] ECR I-4135. In </w:t>
      </w:r>
      <w:r>
        <w:rPr>
          <w:i/>
          <w:lang w:val="en-US"/>
        </w:rPr>
        <w:t xml:space="preserve">Marleasing </w:t>
      </w:r>
      <w:r>
        <w:rPr>
          <w:lang w:val="en-US"/>
        </w:rPr>
        <w:t xml:space="preserve">the Court of Justice said (at §8): “It follows that, in apply national law, whether the provisions in question were adopted before or after the directive, the national court called upon to interpret it is required to do so, so far as possible, in the light of the wording and the purpose of the directive in order to achieve the result pursued by the latter …”. </w:t>
      </w:r>
    </w:p>
  </w:footnote>
  <w:footnote w:id="24">
    <w:p w:rsidR="00597320" w:rsidRPr="003B6D78" w:rsidRDefault="00597320" w:rsidP="00597320">
      <w:pPr>
        <w:pStyle w:val="FootnoteText"/>
        <w:spacing w:after="120"/>
        <w:jc w:val="both"/>
        <w:rPr>
          <w:lang w:val="en-US"/>
        </w:rPr>
      </w:pPr>
      <w:r>
        <w:rPr>
          <w:rStyle w:val="FootnoteReference"/>
        </w:rPr>
        <w:footnoteRef/>
      </w:r>
      <w:r>
        <w:t xml:space="preserve"> </w:t>
      </w:r>
      <w:r>
        <w:rPr>
          <w:lang w:val="en-US"/>
        </w:rPr>
        <w:tab/>
        <w:t xml:space="preserve">Case C-2/06 </w:t>
      </w:r>
      <w:r w:rsidRPr="003B6D78">
        <w:rPr>
          <w:i/>
          <w:iCs/>
          <w:lang w:val="en-US"/>
        </w:rPr>
        <w:t xml:space="preserve">Willy Kempter v Hauptzollamt Hamburg-Jonas </w:t>
      </w:r>
      <w:r w:rsidR="00492F9C">
        <w:rPr>
          <w:lang w:val="en-US"/>
        </w:rPr>
        <w:t>[2008] ECR</w:t>
      </w:r>
      <w:r w:rsidRPr="003B6D78">
        <w:rPr>
          <w:lang w:val="en-US"/>
        </w:rPr>
        <w:t xml:space="preserve"> I-411 at </w:t>
      </w:r>
      <w:r>
        <w:rPr>
          <w:lang w:val="en-US"/>
        </w:rPr>
        <w:t>§57.</w:t>
      </w:r>
    </w:p>
  </w:footnote>
  <w:footnote w:id="25">
    <w:p w:rsidR="00597320" w:rsidRPr="003B6D78" w:rsidRDefault="00597320" w:rsidP="00597320">
      <w:pPr>
        <w:pStyle w:val="FootnoteText"/>
        <w:spacing w:after="120"/>
        <w:jc w:val="both"/>
        <w:rPr>
          <w:lang w:val="en-US"/>
        </w:rPr>
      </w:pPr>
      <w:r>
        <w:rPr>
          <w:rStyle w:val="FootnoteReference"/>
        </w:rPr>
        <w:footnoteRef/>
      </w:r>
      <w:r>
        <w:t xml:space="preserve"> </w:t>
      </w:r>
      <w:r>
        <w:rPr>
          <w:lang w:val="en-US"/>
        </w:rPr>
        <w:tab/>
        <w:t>White Paper at §2.20.</w:t>
      </w:r>
    </w:p>
    <w:p w:rsidR="00597320" w:rsidRPr="003B6D78" w:rsidRDefault="00597320" w:rsidP="00597320">
      <w:pPr>
        <w:pStyle w:val="FootnoteText"/>
        <w:spacing w:after="120"/>
        <w:jc w:val="both"/>
        <w:rPr>
          <w:lang w:val="en-US"/>
        </w:rPr>
      </w:pPr>
    </w:p>
  </w:footnote>
  <w:footnote w:id="26">
    <w:p w:rsidR="00597320" w:rsidRPr="003B6D78" w:rsidRDefault="00597320" w:rsidP="00597320">
      <w:pPr>
        <w:pStyle w:val="FootnoteText"/>
        <w:spacing w:after="120"/>
        <w:jc w:val="both"/>
        <w:rPr>
          <w:lang w:val="en-US"/>
        </w:rPr>
      </w:pPr>
      <w:r>
        <w:rPr>
          <w:rStyle w:val="FootnoteReference"/>
        </w:rPr>
        <w:footnoteRef/>
      </w:r>
      <w:r>
        <w:t xml:space="preserve"> </w:t>
      </w:r>
      <w:r>
        <w:rPr>
          <w:lang w:val="en-US"/>
        </w:rPr>
        <w:tab/>
        <w:t>White Paper at §2.7.</w:t>
      </w:r>
    </w:p>
  </w:footnote>
  <w:footnote w:id="27">
    <w:p w:rsidR="00597320" w:rsidRPr="000918E6" w:rsidRDefault="00597320" w:rsidP="00597320">
      <w:pPr>
        <w:pStyle w:val="FootnoteText"/>
        <w:spacing w:after="120"/>
        <w:jc w:val="both"/>
        <w:rPr>
          <w:lang w:val="en-US"/>
        </w:rPr>
      </w:pPr>
      <w:r>
        <w:rPr>
          <w:rStyle w:val="FootnoteReference"/>
        </w:rPr>
        <w:footnoteRef/>
      </w:r>
      <w:r>
        <w:t xml:space="preserve"> </w:t>
      </w:r>
      <w:r w:rsidR="005C0351">
        <w:rPr>
          <w:lang w:val="en-US"/>
        </w:rPr>
        <w:tab/>
        <w:t>Joined C</w:t>
      </w:r>
      <w:r>
        <w:rPr>
          <w:lang w:val="en-US"/>
        </w:rPr>
        <w:t xml:space="preserve">ases C-397-403/01 </w:t>
      </w:r>
      <w:r>
        <w:rPr>
          <w:i/>
          <w:lang w:val="en-US"/>
        </w:rPr>
        <w:t xml:space="preserve">Pfeiffer </w:t>
      </w:r>
      <w:r>
        <w:rPr>
          <w:lang w:val="en-US"/>
        </w:rPr>
        <w:t xml:space="preserve">[2004] ECR I-8835 at §§118-119. </w:t>
      </w:r>
    </w:p>
  </w:footnote>
  <w:footnote w:id="28">
    <w:p w:rsidR="00597320" w:rsidRPr="005E5456" w:rsidRDefault="00597320" w:rsidP="00597320">
      <w:pPr>
        <w:pStyle w:val="FootnoteText"/>
        <w:spacing w:after="120"/>
        <w:jc w:val="both"/>
        <w:rPr>
          <w:lang w:val="en-US"/>
        </w:rPr>
      </w:pPr>
      <w:r>
        <w:rPr>
          <w:rStyle w:val="FootnoteReference"/>
        </w:rPr>
        <w:footnoteRef/>
      </w:r>
      <w:r>
        <w:t xml:space="preserve"> </w:t>
      </w:r>
      <w:r>
        <w:rPr>
          <w:lang w:val="en-US"/>
        </w:rPr>
        <w:tab/>
        <w:t xml:space="preserve">White Paper at §2.19. </w:t>
      </w:r>
    </w:p>
  </w:footnote>
  <w:footnote w:id="29">
    <w:p w:rsidR="00597320" w:rsidRPr="005E5456" w:rsidRDefault="00597320" w:rsidP="00597320">
      <w:pPr>
        <w:pStyle w:val="FootnoteText"/>
        <w:spacing w:after="120"/>
        <w:jc w:val="both"/>
        <w:rPr>
          <w:lang w:val="en-US"/>
        </w:rPr>
      </w:pPr>
      <w:r>
        <w:rPr>
          <w:rStyle w:val="FootnoteReference"/>
        </w:rPr>
        <w:footnoteRef/>
      </w:r>
      <w:r>
        <w:t xml:space="preserve"> </w:t>
      </w:r>
      <w:r>
        <w:rPr>
          <w:lang w:val="en-US"/>
        </w:rPr>
        <w:tab/>
        <w:t xml:space="preserve">Explanatory Notes at §96. </w:t>
      </w:r>
    </w:p>
  </w:footnote>
  <w:footnote w:id="30">
    <w:p w:rsidR="00597320" w:rsidRPr="005E5456" w:rsidRDefault="00597320" w:rsidP="00597320">
      <w:pPr>
        <w:pStyle w:val="FootnoteText"/>
        <w:spacing w:after="120"/>
        <w:jc w:val="both"/>
        <w:rPr>
          <w:lang w:val="en-US"/>
        </w:rPr>
      </w:pPr>
      <w:r>
        <w:rPr>
          <w:rStyle w:val="FootnoteReference"/>
        </w:rPr>
        <w:footnoteRef/>
      </w:r>
      <w:r>
        <w:t xml:space="preserve"> </w:t>
      </w:r>
      <w:r>
        <w:rPr>
          <w:lang w:val="en-US"/>
        </w:rPr>
        <w:tab/>
        <w:t xml:space="preserve">Explanatory Notes at §106. </w:t>
      </w:r>
    </w:p>
  </w:footnote>
  <w:footnote w:id="31">
    <w:p w:rsidR="00597320" w:rsidRPr="002F5154" w:rsidRDefault="00597320" w:rsidP="00597320">
      <w:pPr>
        <w:pStyle w:val="FootnoteText"/>
        <w:spacing w:after="120"/>
        <w:jc w:val="both"/>
        <w:rPr>
          <w:lang w:val="en-US"/>
        </w:rPr>
      </w:pPr>
      <w:r>
        <w:rPr>
          <w:rStyle w:val="FootnoteReference"/>
        </w:rPr>
        <w:footnoteRef/>
      </w:r>
      <w:r>
        <w:t xml:space="preserve"> </w:t>
      </w:r>
      <w:r>
        <w:rPr>
          <w:lang w:val="en-US"/>
        </w:rPr>
        <w:tab/>
        <w:t xml:space="preserve">Case 314/85 </w:t>
      </w:r>
      <w:r w:rsidRPr="00C16C02">
        <w:rPr>
          <w:i/>
        </w:rPr>
        <w:t>Firma Foto-Frost</w:t>
      </w:r>
      <w:r>
        <w:rPr>
          <w:i/>
        </w:rPr>
        <w:t xml:space="preserve"> </w:t>
      </w:r>
      <w:r>
        <w:t>[1987] ECR 4199</w:t>
      </w:r>
    </w:p>
  </w:footnote>
  <w:footnote w:id="32">
    <w:p w:rsidR="00597320" w:rsidRPr="005E5456" w:rsidRDefault="00597320" w:rsidP="00597320">
      <w:pPr>
        <w:pStyle w:val="FootnoteText"/>
        <w:spacing w:after="120"/>
        <w:jc w:val="both"/>
        <w:rPr>
          <w:lang w:val="en-US"/>
        </w:rPr>
      </w:pPr>
      <w:r>
        <w:rPr>
          <w:rStyle w:val="FootnoteReference"/>
        </w:rPr>
        <w:footnoteRef/>
      </w:r>
      <w:r>
        <w:t xml:space="preserve"> </w:t>
      </w:r>
      <w:r>
        <w:rPr>
          <w:lang w:val="en-US"/>
        </w:rPr>
        <w:tab/>
      </w:r>
      <w:r>
        <w:t xml:space="preserve">In 2014, for example, the CJEU </w:t>
      </w:r>
      <w:r w:rsidR="00532511">
        <w:t>effectively vetoed</w:t>
      </w:r>
      <w:r>
        <w:t xml:space="preserve"> the EU’s accession to the ECHR on the basis that the accession agreement would have conferred powers on the European Court of Human Rights to adjudicate upon questions of EU law and therefore compromised the autonomous nature of EU law (see Opinion 2/2013 delivered on 18 December 2014)</w:t>
      </w:r>
      <w:r>
        <w:rPr>
          <w:lang w:val="en-US"/>
        </w:rPr>
        <w:t xml:space="preserve">. </w:t>
      </w:r>
    </w:p>
  </w:footnote>
  <w:footnote w:id="33">
    <w:p w:rsidR="00597320" w:rsidRPr="003001C2" w:rsidRDefault="00597320" w:rsidP="00597320">
      <w:pPr>
        <w:pStyle w:val="FootnoteText"/>
        <w:spacing w:after="120"/>
        <w:jc w:val="both"/>
        <w:rPr>
          <w:lang w:val="en-US"/>
        </w:rPr>
      </w:pPr>
      <w:r>
        <w:rPr>
          <w:rStyle w:val="FootnoteReference"/>
        </w:rPr>
        <w:footnoteRef/>
      </w:r>
      <w:r>
        <w:t xml:space="preserve"> </w:t>
      </w:r>
      <w:r>
        <w:rPr>
          <w:lang w:val="en-US"/>
        </w:rPr>
        <w:tab/>
        <w:t xml:space="preserve">Available here: </w:t>
      </w:r>
      <w:hyperlink r:id="rId5" w:history="1">
        <w:r w:rsidRPr="00882638">
          <w:rPr>
            <w:rStyle w:val="Hyperlink"/>
            <w:lang w:val="en-US"/>
          </w:rPr>
          <w:t>https://www.parliament.uk/documents/lords-committees/constitution/Annual-evidence-2016-17/ucCC290317SupremeCourt.pdf</w:t>
        </w:r>
      </w:hyperlink>
      <w:r>
        <w:rPr>
          <w:lang w:val="en-US"/>
        </w:rPr>
        <w:t xml:space="preserve"> </w:t>
      </w:r>
    </w:p>
  </w:footnote>
  <w:footnote w:id="34">
    <w:p w:rsidR="00597320" w:rsidRPr="003001C2" w:rsidRDefault="00597320" w:rsidP="00597320">
      <w:pPr>
        <w:pStyle w:val="FootnoteText"/>
        <w:spacing w:after="120"/>
        <w:jc w:val="both"/>
        <w:rPr>
          <w:lang w:val="en-US"/>
        </w:rPr>
      </w:pPr>
      <w:r>
        <w:rPr>
          <w:rStyle w:val="FootnoteReference"/>
        </w:rPr>
        <w:footnoteRef/>
      </w:r>
      <w:r>
        <w:t xml:space="preserve"> </w:t>
      </w:r>
      <w:r>
        <w:rPr>
          <w:lang w:val="en-US"/>
        </w:rPr>
        <w:tab/>
        <w:t xml:space="preserve">The issue of cases which are pending before </w:t>
      </w:r>
      <w:r w:rsidRPr="000D4BC0">
        <w:rPr>
          <w:lang w:val="en-US"/>
        </w:rPr>
        <w:t>domestic courts</w:t>
      </w:r>
      <w:r>
        <w:rPr>
          <w:lang w:val="en-US"/>
        </w:rPr>
        <w:t xml:space="preserve"> at the moment of exit which raise EU law issues are dealt with in Part 4 of Schedule 8 to the GRB. No provision is currently made in the GRB for cases which are pending before the CJEU at the point of exit. That will be the subject of negotiation with the EU and is likely to be dealt with in the Withdrawal Agreement. The UK government has published a position paper on the topic which is available online at: </w:t>
      </w:r>
      <w:hyperlink r:id="rId6" w:history="1">
        <w:r w:rsidRPr="001C570F">
          <w:rPr>
            <w:rStyle w:val="Hyperlink"/>
            <w:lang w:val="en-US"/>
          </w:rPr>
          <w:t>https://www.gov.uk/government/collections/article-50-and-negotiations-with-the-eu</w:t>
        </w:r>
      </w:hyperlink>
      <w:r>
        <w:rPr>
          <w:lang w:val="en-US"/>
        </w:rPr>
        <w:t xml:space="preserve"> </w:t>
      </w:r>
    </w:p>
  </w:footnote>
  <w:footnote w:id="35">
    <w:p w:rsidR="00597320" w:rsidRPr="00C727C2" w:rsidRDefault="00597320" w:rsidP="00A567B0">
      <w:pPr>
        <w:pStyle w:val="FootnoteText"/>
        <w:tabs>
          <w:tab w:val="left" w:pos="720"/>
          <w:tab w:val="left" w:pos="1440"/>
          <w:tab w:val="left" w:pos="2160"/>
          <w:tab w:val="left" w:pos="2880"/>
          <w:tab w:val="left" w:pos="6796"/>
          <w:tab w:val="left" w:pos="7979"/>
        </w:tabs>
        <w:spacing w:after="120"/>
        <w:jc w:val="both"/>
      </w:pPr>
      <w:r>
        <w:rPr>
          <w:rStyle w:val="FootnoteReference"/>
        </w:rPr>
        <w:footnoteRef/>
      </w:r>
      <w:r>
        <w:t xml:space="preserve"> </w:t>
      </w:r>
      <w:r>
        <w:rPr>
          <w:lang w:val="en-US"/>
        </w:rPr>
        <w:tab/>
        <w:t>Explanatory Notes a</w:t>
      </w:r>
      <w:r w:rsidRPr="009F1983">
        <w:rPr>
          <w:lang w:val="en-US"/>
        </w:rPr>
        <w:t xml:space="preserve">t </w:t>
      </w:r>
      <w:r w:rsidRPr="009F1983">
        <w:rPr>
          <w:rFonts w:cs="Arial"/>
        </w:rPr>
        <w:t>§§</w:t>
      </w:r>
      <w:r>
        <w:rPr>
          <w:rFonts w:cs="Arial"/>
        </w:rPr>
        <w:t>99-100</w:t>
      </w:r>
      <w:r>
        <w:t xml:space="preserve">. </w:t>
      </w:r>
      <w:r>
        <w:tab/>
      </w:r>
      <w:r>
        <w:tab/>
      </w:r>
      <w:r w:rsidR="00A567B0">
        <w:tab/>
      </w:r>
    </w:p>
  </w:footnote>
  <w:footnote w:id="36">
    <w:p w:rsidR="00597320" w:rsidRPr="00C727C2" w:rsidRDefault="00597320" w:rsidP="00597320">
      <w:pPr>
        <w:pStyle w:val="FootnoteText"/>
        <w:tabs>
          <w:tab w:val="left" w:pos="720"/>
          <w:tab w:val="left" w:pos="1440"/>
          <w:tab w:val="left" w:pos="2160"/>
          <w:tab w:val="left" w:pos="2880"/>
          <w:tab w:val="left" w:pos="6796"/>
        </w:tabs>
        <w:spacing w:after="120"/>
        <w:jc w:val="both"/>
      </w:pPr>
      <w:r w:rsidRPr="00597320">
        <w:rPr>
          <w:rStyle w:val="FootnoteReference"/>
        </w:rPr>
        <w:footnoteRef/>
      </w:r>
      <w:r w:rsidRPr="00597320">
        <w:t xml:space="preserve"> </w:t>
      </w:r>
      <w:r w:rsidRPr="00597320">
        <w:rPr>
          <w:lang w:val="en-US"/>
        </w:rPr>
        <w:tab/>
      </w:r>
      <w:r>
        <w:rPr>
          <w:lang w:val="en-US"/>
        </w:rPr>
        <w:t xml:space="preserve">See, for example, </w:t>
      </w:r>
      <w:r w:rsidRPr="00597320">
        <w:rPr>
          <w:lang w:val="en-US"/>
        </w:rPr>
        <w:t xml:space="preserve">Case 5/88 </w:t>
      </w:r>
      <w:r w:rsidRPr="00597320">
        <w:rPr>
          <w:i/>
          <w:lang w:val="en-US"/>
        </w:rPr>
        <w:t xml:space="preserve">Wachauf </w:t>
      </w:r>
      <w:r w:rsidRPr="00597320">
        <w:rPr>
          <w:lang w:val="en-US"/>
        </w:rPr>
        <w:t xml:space="preserve">[1989] ECR 2609 at </w:t>
      </w:r>
      <w:r w:rsidRPr="00597320">
        <w:rPr>
          <w:rFonts w:cs="Arial"/>
          <w:lang w:val="en-US"/>
        </w:rPr>
        <w:t>§</w:t>
      </w:r>
      <w:r w:rsidRPr="00597320">
        <w:rPr>
          <w:lang w:val="en-US"/>
        </w:rPr>
        <w:t xml:space="preserve">17; Case C-274/99 P </w:t>
      </w:r>
      <w:r w:rsidRPr="00597320">
        <w:rPr>
          <w:i/>
          <w:lang w:val="en-US"/>
        </w:rPr>
        <w:t xml:space="preserve">Connolly v Commission </w:t>
      </w:r>
      <w:r w:rsidRPr="00597320">
        <w:rPr>
          <w:lang w:val="en-US"/>
        </w:rPr>
        <w:t xml:space="preserve">[2001] ECR I-1611 at </w:t>
      </w:r>
      <w:r w:rsidRPr="00597320">
        <w:rPr>
          <w:rFonts w:cs="Arial"/>
          <w:lang w:val="en-US"/>
        </w:rPr>
        <w:t>§</w:t>
      </w:r>
      <w:r w:rsidRPr="00597320">
        <w:rPr>
          <w:lang w:val="en-US"/>
        </w:rPr>
        <w:t xml:space="preserve">17; Case C-94/00 </w:t>
      </w:r>
      <w:r w:rsidRPr="00597320">
        <w:rPr>
          <w:i/>
          <w:lang w:val="en-US"/>
        </w:rPr>
        <w:t xml:space="preserve">Roquette Freres </w:t>
      </w:r>
      <w:r w:rsidRPr="00597320">
        <w:rPr>
          <w:lang w:val="en-US"/>
        </w:rPr>
        <w:t xml:space="preserve">[2002] ECR I-9011 at </w:t>
      </w:r>
      <w:r w:rsidRPr="00597320">
        <w:rPr>
          <w:rFonts w:cs="Arial"/>
          <w:lang w:val="en-US"/>
        </w:rPr>
        <w:t>§</w:t>
      </w:r>
      <w:r w:rsidRPr="00597320">
        <w:rPr>
          <w:lang w:val="en-US"/>
        </w:rPr>
        <w:t>2</w:t>
      </w:r>
      <w:r>
        <w:rPr>
          <w:lang w:val="en-US"/>
        </w:rPr>
        <w:t>3.</w:t>
      </w:r>
    </w:p>
  </w:footnote>
  <w:footnote w:id="37">
    <w:p w:rsidR="00597320" w:rsidRPr="00C727C2" w:rsidRDefault="00597320" w:rsidP="00597320">
      <w:pPr>
        <w:pStyle w:val="FootnoteText"/>
        <w:tabs>
          <w:tab w:val="left" w:pos="720"/>
          <w:tab w:val="left" w:pos="1440"/>
          <w:tab w:val="left" w:pos="2160"/>
          <w:tab w:val="left" w:pos="2880"/>
          <w:tab w:val="left" w:pos="6796"/>
          <w:tab w:val="left" w:pos="7607"/>
        </w:tabs>
        <w:spacing w:after="120"/>
        <w:jc w:val="both"/>
      </w:pPr>
      <w:r w:rsidRPr="00597320">
        <w:rPr>
          <w:rStyle w:val="FootnoteReference"/>
        </w:rPr>
        <w:footnoteRef/>
      </w:r>
      <w:r w:rsidRPr="00597320">
        <w:t xml:space="preserve"> </w:t>
      </w:r>
      <w:r w:rsidRPr="00597320">
        <w:rPr>
          <w:lang w:val="en-US"/>
        </w:rPr>
        <w:tab/>
        <w:t xml:space="preserve">Case 40/84 </w:t>
      </w:r>
      <w:r w:rsidRPr="00597320">
        <w:rPr>
          <w:i/>
          <w:lang w:val="en-US"/>
        </w:rPr>
        <w:t xml:space="preserve">Sgarlata v Commission </w:t>
      </w:r>
      <w:r w:rsidRPr="00597320">
        <w:rPr>
          <w:lang w:val="en-US"/>
        </w:rPr>
        <w:t>[1965] ECR 215.</w:t>
      </w:r>
      <w:r>
        <w:t xml:space="preserve"> </w:t>
      </w:r>
      <w:r>
        <w:tab/>
      </w:r>
      <w:r>
        <w:tab/>
      </w:r>
      <w:r>
        <w:tab/>
      </w:r>
    </w:p>
  </w:footnote>
  <w:footnote w:id="38">
    <w:p w:rsidR="00597320" w:rsidRPr="00C727C2" w:rsidRDefault="00597320" w:rsidP="00597320">
      <w:pPr>
        <w:pStyle w:val="FootnoteText"/>
        <w:tabs>
          <w:tab w:val="left" w:pos="720"/>
          <w:tab w:val="left" w:pos="1440"/>
          <w:tab w:val="left" w:pos="2160"/>
          <w:tab w:val="left" w:pos="2880"/>
          <w:tab w:val="left" w:pos="6796"/>
          <w:tab w:val="left" w:pos="7607"/>
        </w:tabs>
        <w:spacing w:after="120"/>
        <w:jc w:val="both"/>
      </w:pPr>
      <w:r w:rsidRPr="00597320">
        <w:rPr>
          <w:rStyle w:val="FootnoteReference"/>
        </w:rPr>
        <w:footnoteRef/>
      </w:r>
      <w:r w:rsidRPr="00597320">
        <w:t xml:space="preserve"> </w:t>
      </w:r>
      <w:r w:rsidRPr="00597320">
        <w:rPr>
          <w:lang w:val="en-US"/>
        </w:rPr>
        <w:tab/>
      </w:r>
      <w:r w:rsidRPr="00597320">
        <w:rPr>
          <w:i/>
        </w:rPr>
        <w:t>Benkharbouche v Secretary of State for Foreign and Commonwealth Affairs</w:t>
      </w:r>
      <w:r w:rsidRPr="00597320">
        <w:rPr>
          <w:lang w:val="en-US"/>
        </w:rPr>
        <w:t xml:space="preserve"> [</w:t>
      </w:r>
      <w:r>
        <w:rPr>
          <w:lang w:val="en-US"/>
        </w:rPr>
        <w:t xml:space="preserve">2015] EWCA Civ 33 (currently on appeal to the Supreme Court).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77C9"/>
    <w:multiLevelType w:val="hybridMultilevel"/>
    <w:tmpl w:val="B9CA281E"/>
    <w:lvl w:ilvl="0" w:tplc="741E3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77B0E"/>
    <w:multiLevelType w:val="multilevel"/>
    <w:tmpl w:val="28ACA634"/>
    <w:styleLink w:val="EMStyle1"/>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357" w:firstLine="3"/>
      </w:pPr>
      <w:rPr>
        <w:rFonts w:hint="default"/>
      </w:rPr>
    </w:lvl>
    <w:lvl w:ilvl="2">
      <w:start w:val="1"/>
      <w:numFmt w:val="lowerRoman"/>
      <w:lvlText w:val="(%3)"/>
      <w:lvlJc w:val="left"/>
      <w:pPr>
        <w:ind w:left="1247" w:hanging="3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AB3052"/>
    <w:multiLevelType w:val="hybridMultilevel"/>
    <w:tmpl w:val="C888A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12468"/>
    <w:multiLevelType w:val="hybridMultilevel"/>
    <w:tmpl w:val="E42296A6"/>
    <w:lvl w:ilvl="0" w:tplc="B0EAA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57F5D"/>
    <w:multiLevelType w:val="hybridMultilevel"/>
    <w:tmpl w:val="FCC4B1CA"/>
    <w:lvl w:ilvl="0" w:tplc="E40C451E">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2163E2F"/>
    <w:multiLevelType w:val="multilevel"/>
    <w:tmpl w:val="9A342C3C"/>
    <w:styleLink w:val="Style2"/>
    <w:lvl w:ilvl="0">
      <w:start w:val="1"/>
      <w:numFmt w:val="decimal"/>
      <w:lvlText w:val="%1."/>
      <w:lvlJc w:val="left"/>
      <w:pPr>
        <w:ind w:left="567" w:hanging="567"/>
      </w:pPr>
      <w:rPr>
        <w:rFonts w:ascii="Times New Roman" w:hAnsi="Times New Roman" w:hint="default"/>
        <w:sz w:val="22"/>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37CB1F3F"/>
    <w:multiLevelType w:val="multilevel"/>
    <w:tmpl w:val="97EE1F0A"/>
    <w:numStyleLink w:val="Forskeletons"/>
  </w:abstractNum>
  <w:abstractNum w:abstractNumId="7" w15:restartNumberingAfterBreak="0">
    <w:nsid w:val="39F64061"/>
    <w:multiLevelType w:val="multilevel"/>
    <w:tmpl w:val="37123B8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868EA"/>
    <w:multiLevelType w:val="hybridMultilevel"/>
    <w:tmpl w:val="42F63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C651D"/>
    <w:multiLevelType w:val="hybridMultilevel"/>
    <w:tmpl w:val="3ACCF5A2"/>
    <w:lvl w:ilvl="0" w:tplc="9006A2C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B5780E"/>
    <w:multiLevelType w:val="multilevel"/>
    <w:tmpl w:val="001A22A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A003A"/>
    <w:multiLevelType w:val="hybridMultilevel"/>
    <w:tmpl w:val="CFA6D01C"/>
    <w:lvl w:ilvl="0" w:tplc="CF080E7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D0B28"/>
    <w:multiLevelType w:val="hybridMultilevel"/>
    <w:tmpl w:val="EAC40768"/>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13" w15:restartNumberingAfterBreak="0">
    <w:nsid w:val="662575ED"/>
    <w:multiLevelType w:val="hybridMultilevel"/>
    <w:tmpl w:val="4B8A5FE2"/>
    <w:lvl w:ilvl="0" w:tplc="62722358">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801433F"/>
    <w:multiLevelType w:val="hybridMultilevel"/>
    <w:tmpl w:val="C73CF626"/>
    <w:lvl w:ilvl="0" w:tplc="85E29D02">
      <w:start w:val="1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CEF6A4E"/>
    <w:multiLevelType w:val="multilevel"/>
    <w:tmpl w:val="97EE1F0A"/>
    <w:styleLink w:val="Forskeletons"/>
    <w:lvl w:ilvl="0">
      <w:start w:val="1"/>
      <w:numFmt w:val="decimal"/>
      <w:lvlText w:val="%1."/>
      <w:lvlJc w:val="left"/>
      <w:pPr>
        <w:ind w:left="714" w:hanging="357"/>
      </w:pPr>
      <w:rPr>
        <w:rFonts w:ascii="Arial" w:hAnsi="Arial" w:hint="default"/>
        <w:sz w:val="24"/>
      </w:rPr>
    </w:lvl>
    <w:lvl w:ilvl="1">
      <w:start w:val="1"/>
      <w:numFmt w:val="lowerLetter"/>
      <w:lvlText w:val="%2."/>
      <w:lvlJc w:val="left"/>
      <w:pPr>
        <w:ind w:left="1071" w:hanging="357"/>
      </w:pPr>
      <w:rPr>
        <w:rFonts w:ascii="Arial" w:hAnsi="Arial" w:hint="default"/>
        <w:sz w:val="24"/>
      </w:rPr>
    </w:lvl>
    <w:lvl w:ilvl="2">
      <w:start w:val="1"/>
      <w:numFmt w:val="lowerRoman"/>
      <w:lvlText w:val="%3."/>
      <w:lvlJc w:val="lef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lef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left"/>
      <w:pPr>
        <w:ind w:left="3570" w:hanging="357"/>
      </w:pPr>
      <w:rPr>
        <w:rFonts w:hint="default"/>
      </w:rPr>
    </w:lvl>
  </w:abstractNum>
  <w:abstractNum w:abstractNumId="16" w15:restartNumberingAfterBreak="0">
    <w:nsid w:val="6E6E2E77"/>
    <w:multiLevelType w:val="multilevel"/>
    <w:tmpl w:val="97EE1F0A"/>
    <w:numStyleLink w:val="Forskeletons"/>
  </w:abstractNum>
  <w:abstractNum w:abstractNumId="17" w15:restartNumberingAfterBreak="0">
    <w:nsid w:val="76057773"/>
    <w:multiLevelType w:val="hybridMultilevel"/>
    <w:tmpl w:val="4E06CF8E"/>
    <w:lvl w:ilvl="0" w:tplc="A3ACAC60">
      <w:start w:val="1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15"/>
  </w:num>
  <w:num w:numId="3">
    <w:abstractNumId w:val="5"/>
  </w:num>
  <w:num w:numId="4">
    <w:abstractNumId w:val="6"/>
  </w:num>
  <w:num w:numId="5">
    <w:abstractNumId w:val="16"/>
    <w:lvlOverride w:ilvl="0">
      <w:lvl w:ilvl="0">
        <w:start w:val="1"/>
        <w:numFmt w:val="decimal"/>
        <w:lvlText w:val="%1."/>
        <w:lvlJc w:val="left"/>
        <w:pPr>
          <w:ind w:left="567" w:hanging="567"/>
        </w:pPr>
        <w:rPr>
          <w:rFonts w:ascii="Arial" w:hAnsi="Arial" w:hint="default"/>
          <w:b w:val="0"/>
          <w:sz w:val="22"/>
          <w:szCs w:val="22"/>
        </w:rPr>
      </w:lvl>
    </w:lvlOverride>
    <w:lvlOverride w:ilvl="1">
      <w:lvl w:ilvl="1">
        <w:start w:val="1"/>
        <w:numFmt w:val="lowerLetter"/>
        <w:lvlText w:val="%2."/>
        <w:lvlJc w:val="left"/>
        <w:pPr>
          <w:ind w:left="1134" w:hanging="567"/>
        </w:pPr>
        <w:rPr>
          <w:rFonts w:ascii="Arial" w:hAnsi="Arial" w:hint="default"/>
          <w:sz w:val="22"/>
          <w:szCs w:val="22"/>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268" w:hanging="567"/>
        </w:pPr>
        <w:rPr>
          <w:rFonts w:hint="default"/>
          <w:sz w:val="22"/>
          <w:szCs w:val="22"/>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
    <w:abstractNumId w:val="17"/>
  </w:num>
  <w:num w:numId="7">
    <w:abstractNumId w:val="14"/>
  </w:num>
  <w:num w:numId="8">
    <w:abstractNumId w:val="13"/>
  </w:num>
  <w:num w:numId="9">
    <w:abstractNumId w:val="4"/>
  </w:num>
  <w:num w:numId="10">
    <w:abstractNumId w:val="0"/>
  </w:num>
  <w:num w:numId="11">
    <w:abstractNumId w:val="11"/>
  </w:num>
  <w:num w:numId="12">
    <w:abstractNumId w:val="3"/>
  </w:num>
  <w:num w:numId="13">
    <w:abstractNumId w:val="9"/>
  </w:num>
  <w:num w:numId="14">
    <w:abstractNumId w:val="8"/>
  </w:num>
  <w:num w:numId="15">
    <w:abstractNumId w:val="2"/>
  </w:num>
  <w:num w:numId="16">
    <w:abstractNumId w:val="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46"/>
    <w:rsid w:val="00003F0D"/>
    <w:rsid w:val="0001113C"/>
    <w:rsid w:val="00014597"/>
    <w:rsid w:val="00014B84"/>
    <w:rsid w:val="0001644E"/>
    <w:rsid w:val="000205B4"/>
    <w:rsid w:val="00023451"/>
    <w:rsid w:val="00025460"/>
    <w:rsid w:val="00026DDB"/>
    <w:rsid w:val="00034B8D"/>
    <w:rsid w:val="000360FE"/>
    <w:rsid w:val="000444D8"/>
    <w:rsid w:val="00067022"/>
    <w:rsid w:val="00071FC3"/>
    <w:rsid w:val="00072A4C"/>
    <w:rsid w:val="00077BE0"/>
    <w:rsid w:val="000819C7"/>
    <w:rsid w:val="000866AB"/>
    <w:rsid w:val="000918E6"/>
    <w:rsid w:val="000A04B3"/>
    <w:rsid w:val="000A1A49"/>
    <w:rsid w:val="000A1CC7"/>
    <w:rsid w:val="000A47F0"/>
    <w:rsid w:val="000A4E29"/>
    <w:rsid w:val="000A7143"/>
    <w:rsid w:val="000B1E48"/>
    <w:rsid w:val="000B3C8D"/>
    <w:rsid w:val="000B5499"/>
    <w:rsid w:val="000B5EEA"/>
    <w:rsid w:val="000B7FA6"/>
    <w:rsid w:val="000C4A9D"/>
    <w:rsid w:val="000C77D7"/>
    <w:rsid w:val="000D0E73"/>
    <w:rsid w:val="000D3226"/>
    <w:rsid w:val="000D3C9F"/>
    <w:rsid w:val="000D3DD4"/>
    <w:rsid w:val="000D4BC0"/>
    <w:rsid w:val="000E245D"/>
    <w:rsid w:val="000F1929"/>
    <w:rsid w:val="000F25DA"/>
    <w:rsid w:val="000F556E"/>
    <w:rsid w:val="000F56C3"/>
    <w:rsid w:val="00102171"/>
    <w:rsid w:val="00105784"/>
    <w:rsid w:val="00107F0A"/>
    <w:rsid w:val="00112FF6"/>
    <w:rsid w:val="001135EA"/>
    <w:rsid w:val="00116154"/>
    <w:rsid w:val="0012043D"/>
    <w:rsid w:val="00121D61"/>
    <w:rsid w:val="001465EC"/>
    <w:rsid w:val="00147FD6"/>
    <w:rsid w:val="001509B7"/>
    <w:rsid w:val="0015469F"/>
    <w:rsid w:val="001565B5"/>
    <w:rsid w:val="00161FCC"/>
    <w:rsid w:val="00180568"/>
    <w:rsid w:val="00182452"/>
    <w:rsid w:val="00183434"/>
    <w:rsid w:val="0018431B"/>
    <w:rsid w:val="0018527B"/>
    <w:rsid w:val="00186096"/>
    <w:rsid w:val="001901A8"/>
    <w:rsid w:val="00191B33"/>
    <w:rsid w:val="001945C1"/>
    <w:rsid w:val="001A027F"/>
    <w:rsid w:val="001B000A"/>
    <w:rsid w:val="001B2EF9"/>
    <w:rsid w:val="001B4283"/>
    <w:rsid w:val="001C4984"/>
    <w:rsid w:val="001C5C4E"/>
    <w:rsid w:val="001D3224"/>
    <w:rsid w:val="001D4BC4"/>
    <w:rsid w:val="001D705F"/>
    <w:rsid w:val="001E000B"/>
    <w:rsid w:val="001E29C3"/>
    <w:rsid w:val="001E545F"/>
    <w:rsid w:val="0020634E"/>
    <w:rsid w:val="00213041"/>
    <w:rsid w:val="00216955"/>
    <w:rsid w:val="00216AE6"/>
    <w:rsid w:val="00227279"/>
    <w:rsid w:val="00232450"/>
    <w:rsid w:val="002400FF"/>
    <w:rsid w:val="00247114"/>
    <w:rsid w:val="00247F0F"/>
    <w:rsid w:val="00255FB3"/>
    <w:rsid w:val="002563E3"/>
    <w:rsid w:val="002762A3"/>
    <w:rsid w:val="002809C3"/>
    <w:rsid w:val="00294C55"/>
    <w:rsid w:val="00295A03"/>
    <w:rsid w:val="002962E9"/>
    <w:rsid w:val="00296BCD"/>
    <w:rsid w:val="002A41EE"/>
    <w:rsid w:val="002A70B1"/>
    <w:rsid w:val="002C2006"/>
    <w:rsid w:val="002D1152"/>
    <w:rsid w:val="002D20AD"/>
    <w:rsid w:val="002D2655"/>
    <w:rsid w:val="002D5FFF"/>
    <w:rsid w:val="002E6FBE"/>
    <w:rsid w:val="002F31D8"/>
    <w:rsid w:val="002F5154"/>
    <w:rsid w:val="003001C2"/>
    <w:rsid w:val="00300D9E"/>
    <w:rsid w:val="003111B3"/>
    <w:rsid w:val="0031174E"/>
    <w:rsid w:val="00316A4B"/>
    <w:rsid w:val="00323EA4"/>
    <w:rsid w:val="00341BFF"/>
    <w:rsid w:val="003474E6"/>
    <w:rsid w:val="00352818"/>
    <w:rsid w:val="003552F9"/>
    <w:rsid w:val="00362CB2"/>
    <w:rsid w:val="0036433F"/>
    <w:rsid w:val="00366E28"/>
    <w:rsid w:val="00375594"/>
    <w:rsid w:val="003965EF"/>
    <w:rsid w:val="003A6766"/>
    <w:rsid w:val="003B04B0"/>
    <w:rsid w:val="003B38A5"/>
    <w:rsid w:val="003B522B"/>
    <w:rsid w:val="003B61E1"/>
    <w:rsid w:val="003B6D78"/>
    <w:rsid w:val="003B7876"/>
    <w:rsid w:val="003D2E7A"/>
    <w:rsid w:val="003D6449"/>
    <w:rsid w:val="003D7B5C"/>
    <w:rsid w:val="003E1534"/>
    <w:rsid w:val="003E1E1F"/>
    <w:rsid w:val="003E5576"/>
    <w:rsid w:val="00400E6D"/>
    <w:rsid w:val="0041083A"/>
    <w:rsid w:val="00412602"/>
    <w:rsid w:val="00412A16"/>
    <w:rsid w:val="00422639"/>
    <w:rsid w:val="00422BAD"/>
    <w:rsid w:val="00423504"/>
    <w:rsid w:val="004246AC"/>
    <w:rsid w:val="00424B18"/>
    <w:rsid w:val="00427DDB"/>
    <w:rsid w:val="00441C06"/>
    <w:rsid w:val="004428ED"/>
    <w:rsid w:val="004442CE"/>
    <w:rsid w:val="00444A12"/>
    <w:rsid w:val="00451AA6"/>
    <w:rsid w:val="004624B6"/>
    <w:rsid w:val="00464F88"/>
    <w:rsid w:val="0046789C"/>
    <w:rsid w:val="004859A0"/>
    <w:rsid w:val="00486371"/>
    <w:rsid w:val="00492F9C"/>
    <w:rsid w:val="004A1736"/>
    <w:rsid w:val="004B2AEA"/>
    <w:rsid w:val="004B2E80"/>
    <w:rsid w:val="004B3FB1"/>
    <w:rsid w:val="004B5A3E"/>
    <w:rsid w:val="004C2DBF"/>
    <w:rsid w:val="004C4AA9"/>
    <w:rsid w:val="004F41F0"/>
    <w:rsid w:val="004F731D"/>
    <w:rsid w:val="005028FE"/>
    <w:rsid w:val="00503703"/>
    <w:rsid w:val="00504ED3"/>
    <w:rsid w:val="0050551E"/>
    <w:rsid w:val="00515C45"/>
    <w:rsid w:val="00515CA5"/>
    <w:rsid w:val="00532511"/>
    <w:rsid w:val="00535528"/>
    <w:rsid w:val="005368CA"/>
    <w:rsid w:val="00537B7F"/>
    <w:rsid w:val="0054692E"/>
    <w:rsid w:val="00551B93"/>
    <w:rsid w:val="00553EDF"/>
    <w:rsid w:val="00566C47"/>
    <w:rsid w:val="00572280"/>
    <w:rsid w:val="00584B9D"/>
    <w:rsid w:val="00597320"/>
    <w:rsid w:val="005A14DE"/>
    <w:rsid w:val="005A1F9C"/>
    <w:rsid w:val="005A2D38"/>
    <w:rsid w:val="005A4DBA"/>
    <w:rsid w:val="005A5C68"/>
    <w:rsid w:val="005A7824"/>
    <w:rsid w:val="005B4FFD"/>
    <w:rsid w:val="005B565D"/>
    <w:rsid w:val="005C0351"/>
    <w:rsid w:val="005C2192"/>
    <w:rsid w:val="005C4DA8"/>
    <w:rsid w:val="005C66CD"/>
    <w:rsid w:val="005C6941"/>
    <w:rsid w:val="005D048C"/>
    <w:rsid w:val="005D63D5"/>
    <w:rsid w:val="005E3C07"/>
    <w:rsid w:val="005E5456"/>
    <w:rsid w:val="005E775F"/>
    <w:rsid w:val="005F2114"/>
    <w:rsid w:val="005F6532"/>
    <w:rsid w:val="005F675E"/>
    <w:rsid w:val="00604491"/>
    <w:rsid w:val="0060786D"/>
    <w:rsid w:val="00613D20"/>
    <w:rsid w:val="006243B5"/>
    <w:rsid w:val="00632F22"/>
    <w:rsid w:val="00634767"/>
    <w:rsid w:val="006476F9"/>
    <w:rsid w:val="006479AA"/>
    <w:rsid w:val="00647E54"/>
    <w:rsid w:val="006557CF"/>
    <w:rsid w:val="006619F4"/>
    <w:rsid w:val="006743CB"/>
    <w:rsid w:val="00677B94"/>
    <w:rsid w:val="006A7402"/>
    <w:rsid w:val="006B37C4"/>
    <w:rsid w:val="006B5776"/>
    <w:rsid w:val="006B770F"/>
    <w:rsid w:val="006C3BCC"/>
    <w:rsid w:val="006C70EF"/>
    <w:rsid w:val="006D17E9"/>
    <w:rsid w:val="006D3199"/>
    <w:rsid w:val="006E0DE0"/>
    <w:rsid w:val="006F5111"/>
    <w:rsid w:val="006F592C"/>
    <w:rsid w:val="006F5DF4"/>
    <w:rsid w:val="00702A8B"/>
    <w:rsid w:val="00706569"/>
    <w:rsid w:val="007069A1"/>
    <w:rsid w:val="007118C3"/>
    <w:rsid w:val="0071343B"/>
    <w:rsid w:val="00717C38"/>
    <w:rsid w:val="00720779"/>
    <w:rsid w:val="00727831"/>
    <w:rsid w:val="007319B6"/>
    <w:rsid w:val="00733CD8"/>
    <w:rsid w:val="00734615"/>
    <w:rsid w:val="00736F37"/>
    <w:rsid w:val="0075013C"/>
    <w:rsid w:val="00751965"/>
    <w:rsid w:val="00754DE7"/>
    <w:rsid w:val="00755B75"/>
    <w:rsid w:val="007610A4"/>
    <w:rsid w:val="0076366E"/>
    <w:rsid w:val="00765130"/>
    <w:rsid w:val="00767013"/>
    <w:rsid w:val="007770E9"/>
    <w:rsid w:val="00782752"/>
    <w:rsid w:val="00786078"/>
    <w:rsid w:val="00786507"/>
    <w:rsid w:val="007870ED"/>
    <w:rsid w:val="00791F89"/>
    <w:rsid w:val="0079517F"/>
    <w:rsid w:val="00795894"/>
    <w:rsid w:val="0079697B"/>
    <w:rsid w:val="00797824"/>
    <w:rsid w:val="007A2FA9"/>
    <w:rsid w:val="007B2358"/>
    <w:rsid w:val="007B4BFE"/>
    <w:rsid w:val="007B4CDB"/>
    <w:rsid w:val="007B5ABC"/>
    <w:rsid w:val="007B79CC"/>
    <w:rsid w:val="007C0C97"/>
    <w:rsid w:val="007C0FEA"/>
    <w:rsid w:val="007C56E8"/>
    <w:rsid w:val="007C6C77"/>
    <w:rsid w:val="007D15A9"/>
    <w:rsid w:val="007D3DF3"/>
    <w:rsid w:val="007D4D54"/>
    <w:rsid w:val="007E0146"/>
    <w:rsid w:val="007E0929"/>
    <w:rsid w:val="007E1B04"/>
    <w:rsid w:val="007E359F"/>
    <w:rsid w:val="007F2BE2"/>
    <w:rsid w:val="007F3FE2"/>
    <w:rsid w:val="00805886"/>
    <w:rsid w:val="00806107"/>
    <w:rsid w:val="00813062"/>
    <w:rsid w:val="008162FD"/>
    <w:rsid w:val="008263B3"/>
    <w:rsid w:val="00827C53"/>
    <w:rsid w:val="008528E2"/>
    <w:rsid w:val="0085553D"/>
    <w:rsid w:val="00860140"/>
    <w:rsid w:val="00861A58"/>
    <w:rsid w:val="00864811"/>
    <w:rsid w:val="00865308"/>
    <w:rsid w:val="0087292D"/>
    <w:rsid w:val="008740A1"/>
    <w:rsid w:val="008846F4"/>
    <w:rsid w:val="00886DDE"/>
    <w:rsid w:val="00896E4D"/>
    <w:rsid w:val="008D01E4"/>
    <w:rsid w:val="008E1A10"/>
    <w:rsid w:val="008E28CF"/>
    <w:rsid w:val="008F64ED"/>
    <w:rsid w:val="008F7301"/>
    <w:rsid w:val="00902DA9"/>
    <w:rsid w:val="009034BD"/>
    <w:rsid w:val="0091458E"/>
    <w:rsid w:val="00916D3F"/>
    <w:rsid w:val="0092166E"/>
    <w:rsid w:val="009219BB"/>
    <w:rsid w:val="00931230"/>
    <w:rsid w:val="009374A2"/>
    <w:rsid w:val="009376DD"/>
    <w:rsid w:val="00941958"/>
    <w:rsid w:val="0094374C"/>
    <w:rsid w:val="00951D04"/>
    <w:rsid w:val="00952B6F"/>
    <w:rsid w:val="00960A20"/>
    <w:rsid w:val="009631E8"/>
    <w:rsid w:val="00971E22"/>
    <w:rsid w:val="009733AF"/>
    <w:rsid w:val="009778C8"/>
    <w:rsid w:val="00981C39"/>
    <w:rsid w:val="0098707F"/>
    <w:rsid w:val="00990350"/>
    <w:rsid w:val="009908EA"/>
    <w:rsid w:val="009935DF"/>
    <w:rsid w:val="009A270E"/>
    <w:rsid w:val="009A40A7"/>
    <w:rsid w:val="009A7CFA"/>
    <w:rsid w:val="009B113E"/>
    <w:rsid w:val="009B282E"/>
    <w:rsid w:val="009B40BD"/>
    <w:rsid w:val="009B754A"/>
    <w:rsid w:val="009C6E2B"/>
    <w:rsid w:val="009D4E28"/>
    <w:rsid w:val="009D7291"/>
    <w:rsid w:val="009E7124"/>
    <w:rsid w:val="009F1983"/>
    <w:rsid w:val="009F4D71"/>
    <w:rsid w:val="00A01A29"/>
    <w:rsid w:val="00A04181"/>
    <w:rsid w:val="00A04D7E"/>
    <w:rsid w:val="00A112B8"/>
    <w:rsid w:val="00A1518A"/>
    <w:rsid w:val="00A24205"/>
    <w:rsid w:val="00A250F3"/>
    <w:rsid w:val="00A32F5A"/>
    <w:rsid w:val="00A34238"/>
    <w:rsid w:val="00A3446C"/>
    <w:rsid w:val="00A406EB"/>
    <w:rsid w:val="00A41E07"/>
    <w:rsid w:val="00A429C6"/>
    <w:rsid w:val="00A5528A"/>
    <w:rsid w:val="00A55638"/>
    <w:rsid w:val="00A5653D"/>
    <w:rsid w:val="00A567B0"/>
    <w:rsid w:val="00A57607"/>
    <w:rsid w:val="00A577AB"/>
    <w:rsid w:val="00A620E9"/>
    <w:rsid w:val="00A659D3"/>
    <w:rsid w:val="00A672F8"/>
    <w:rsid w:val="00A73AAF"/>
    <w:rsid w:val="00A74DE7"/>
    <w:rsid w:val="00A80AE1"/>
    <w:rsid w:val="00A81CF0"/>
    <w:rsid w:val="00A8684C"/>
    <w:rsid w:val="00A9390C"/>
    <w:rsid w:val="00A95D78"/>
    <w:rsid w:val="00AA17B8"/>
    <w:rsid w:val="00AA5D52"/>
    <w:rsid w:val="00AA7645"/>
    <w:rsid w:val="00AB2843"/>
    <w:rsid w:val="00AB34DD"/>
    <w:rsid w:val="00AC292E"/>
    <w:rsid w:val="00AD450E"/>
    <w:rsid w:val="00AF09CF"/>
    <w:rsid w:val="00AF1569"/>
    <w:rsid w:val="00B016BC"/>
    <w:rsid w:val="00B11F70"/>
    <w:rsid w:val="00B1293B"/>
    <w:rsid w:val="00B25D64"/>
    <w:rsid w:val="00B3292B"/>
    <w:rsid w:val="00B40905"/>
    <w:rsid w:val="00B5118C"/>
    <w:rsid w:val="00B5210C"/>
    <w:rsid w:val="00B54EE6"/>
    <w:rsid w:val="00B5595D"/>
    <w:rsid w:val="00B55C4E"/>
    <w:rsid w:val="00B60163"/>
    <w:rsid w:val="00B6242C"/>
    <w:rsid w:val="00B668DF"/>
    <w:rsid w:val="00B66CBD"/>
    <w:rsid w:val="00B670B7"/>
    <w:rsid w:val="00B75F21"/>
    <w:rsid w:val="00B816AC"/>
    <w:rsid w:val="00B84D1E"/>
    <w:rsid w:val="00B85A50"/>
    <w:rsid w:val="00B93ED4"/>
    <w:rsid w:val="00B94209"/>
    <w:rsid w:val="00BA5868"/>
    <w:rsid w:val="00BA7AFC"/>
    <w:rsid w:val="00BB6CDB"/>
    <w:rsid w:val="00BB7AD2"/>
    <w:rsid w:val="00BC2E7F"/>
    <w:rsid w:val="00BC6284"/>
    <w:rsid w:val="00BD0F09"/>
    <w:rsid w:val="00BD221F"/>
    <w:rsid w:val="00BD4B43"/>
    <w:rsid w:val="00BD5E8F"/>
    <w:rsid w:val="00BD7500"/>
    <w:rsid w:val="00BE2F94"/>
    <w:rsid w:val="00BE3C39"/>
    <w:rsid w:val="00BE43B4"/>
    <w:rsid w:val="00BE66CB"/>
    <w:rsid w:val="00C04DCA"/>
    <w:rsid w:val="00C05A41"/>
    <w:rsid w:val="00C16C02"/>
    <w:rsid w:val="00C26D4A"/>
    <w:rsid w:val="00C354EE"/>
    <w:rsid w:val="00C36127"/>
    <w:rsid w:val="00C41DBF"/>
    <w:rsid w:val="00C425EB"/>
    <w:rsid w:val="00C477F1"/>
    <w:rsid w:val="00C52873"/>
    <w:rsid w:val="00C54A7C"/>
    <w:rsid w:val="00C60925"/>
    <w:rsid w:val="00C62240"/>
    <w:rsid w:val="00C64927"/>
    <w:rsid w:val="00C64B4C"/>
    <w:rsid w:val="00C653E3"/>
    <w:rsid w:val="00C67934"/>
    <w:rsid w:val="00C71CE5"/>
    <w:rsid w:val="00C71F44"/>
    <w:rsid w:val="00C727C2"/>
    <w:rsid w:val="00C90A8D"/>
    <w:rsid w:val="00C92EA6"/>
    <w:rsid w:val="00C9509D"/>
    <w:rsid w:val="00CB381B"/>
    <w:rsid w:val="00CD42CD"/>
    <w:rsid w:val="00CE0BDE"/>
    <w:rsid w:val="00CE30C2"/>
    <w:rsid w:val="00CF1D26"/>
    <w:rsid w:val="00CF262C"/>
    <w:rsid w:val="00CF3C93"/>
    <w:rsid w:val="00CF49D9"/>
    <w:rsid w:val="00CF5897"/>
    <w:rsid w:val="00CF7E8F"/>
    <w:rsid w:val="00D02C7F"/>
    <w:rsid w:val="00D03477"/>
    <w:rsid w:val="00D0382F"/>
    <w:rsid w:val="00D03CBA"/>
    <w:rsid w:val="00D06D7D"/>
    <w:rsid w:val="00D1394F"/>
    <w:rsid w:val="00D1414F"/>
    <w:rsid w:val="00D21DF7"/>
    <w:rsid w:val="00D26590"/>
    <w:rsid w:val="00D326AD"/>
    <w:rsid w:val="00D41E79"/>
    <w:rsid w:val="00D47BEB"/>
    <w:rsid w:val="00D565CC"/>
    <w:rsid w:val="00D7483F"/>
    <w:rsid w:val="00D83FE5"/>
    <w:rsid w:val="00D87987"/>
    <w:rsid w:val="00D87C20"/>
    <w:rsid w:val="00DA27C9"/>
    <w:rsid w:val="00DA711B"/>
    <w:rsid w:val="00DB0B2C"/>
    <w:rsid w:val="00DB15D6"/>
    <w:rsid w:val="00DB1B25"/>
    <w:rsid w:val="00DC3B3B"/>
    <w:rsid w:val="00DD1D2C"/>
    <w:rsid w:val="00DE12DE"/>
    <w:rsid w:val="00DE3160"/>
    <w:rsid w:val="00DF5332"/>
    <w:rsid w:val="00E0523E"/>
    <w:rsid w:val="00E160DD"/>
    <w:rsid w:val="00E44A51"/>
    <w:rsid w:val="00E45505"/>
    <w:rsid w:val="00E5020A"/>
    <w:rsid w:val="00E512A3"/>
    <w:rsid w:val="00E540B4"/>
    <w:rsid w:val="00E576AD"/>
    <w:rsid w:val="00E636F6"/>
    <w:rsid w:val="00E87C3D"/>
    <w:rsid w:val="00E90665"/>
    <w:rsid w:val="00E91E75"/>
    <w:rsid w:val="00E94EDB"/>
    <w:rsid w:val="00E952E4"/>
    <w:rsid w:val="00E95F8E"/>
    <w:rsid w:val="00EA5454"/>
    <w:rsid w:val="00EB04C3"/>
    <w:rsid w:val="00EB560E"/>
    <w:rsid w:val="00EB5A78"/>
    <w:rsid w:val="00EC2330"/>
    <w:rsid w:val="00EC4964"/>
    <w:rsid w:val="00EC5FC7"/>
    <w:rsid w:val="00ED1E62"/>
    <w:rsid w:val="00ED43D8"/>
    <w:rsid w:val="00ED43E6"/>
    <w:rsid w:val="00ED444A"/>
    <w:rsid w:val="00ED5326"/>
    <w:rsid w:val="00ED6921"/>
    <w:rsid w:val="00ED705F"/>
    <w:rsid w:val="00EF2D02"/>
    <w:rsid w:val="00EF40C1"/>
    <w:rsid w:val="00EF45B4"/>
    <w:rsid w:val="00F109B4"/>
    <w:rsid w:val="00F14CB5"/>
    <w:rsid w:val="00F22BB2"/>
    <w:rsid w:val="00F26930"/>
    <w:rsid w:val="00F305BA"/>
    <w:rsid w:val="00F30841"/>
    <w:rsid w:val="00F30DC0"/>
    <w:rsid w:val="00F3571F"/>
    <w:rsid w:val="00F3733A"/>
    <w:rsid w:val="00F464CB"/>
    <w:rsid w:val="00F46E40"/>
    <w:rsid w:val="00F50EDC"/>
    <w:rsid w:val="00F52492"/>
    <w:rsid w:val="00F57040"/>
    <w:rsid w:val="00F61725"/>
    <w:rsid w:val="00F66168"/>
    <w:rsid w:val="00F662E6"/>
    <w:rsid w:val="00F67991"/>
    <w:rsid w:val="00F70029"/>
    <w:rsid w:val="00F73746"/>
    <w:rsid w:val="00F8355F"/>
    <w:rsid w:val="00F93AA2"/>
    <w:rsid w:val="00FA140C"/>
    <w:rsid w:val="00FA361C"/>
    <w:rsid w:val="00FB1E7A"/>
    <w:rsid w:val="00FB79D8"/>
    <w:rsid w:val="00FC0A48"/>
    <w:rsid w:val="00FC4744"/>
    <w:rsid w:val="00FD1207"/>
    <w:rsid w:val="00FD5DE9"/>
    <w:rsid w:val="00FD6E49"/>
    <w:rsid w:val="00FF0206"/>
    <w:rsid w:val="00FF7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1584FC-5985-46BF-AAF9-EEF6972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Style1">
    <w:name w:val="EM Style 1"/>
    <w:uiPriority w:val="99"/>
    <w:rsid w:val="006B770F"/>
    <w:pPr>
      <w:numPr>
        <w:numId w:val="1"/>
      </w:numPr>
    </w:pPr>
  </w:style>
  <w:style w:type="paragraph" w:styleId="FootnoteText">
    <w:name w:val="footnote text"/>
    <w:basedOn w:val="Normal"/>
    <w:link w:val="FootnoteTextChar"/>
    <w:uiPriority w:val="99"/>
    <w:unhideWhenUsed/>
    <w:rsid w:val="00E90665"/>
    <w:pPr>
      <w:ind w:left="397" w:hanging="397"/>
    </w:pPr>
    <w:rPr>
      <w:rFonts w:ascii="Arial" w:hAnsi="Arial"/>
      <w:sz w:val="20"/>
      <w:szCs w:val="20"/>
    </w:rPr>
  </w:style>
  <w:style w:type="character" w:customStyle="1" w:styleId="FootnoteTextChar">
    <w:name w:val="Footnote Text Char"/>
    <w:basedOn w:val="DefaultParagraphFont"/>
    <w:link w:val="FootnoteText"/>
    <w:uiPriority w:val="99"/>
    <w:rsid w:val="00E90665"/>
    <w:rPr>
      <w:rFonts w:ascii="Arial" w:hAnsi="Arial"/>
      <w:sz w:val="20"/>
      <w:szCs w:val="20"/>
    </w:rPr>
  </w:style>
  <w:style w:type="numbering" w:customStyle="1" w:styleId="Forskeletons">
    <w:name w:val="For skeletons"/>
    <w:uiPriority w:val="99"/>
    <w:rsid w:val="00AA7645"/>
    <w:pPr>
      <w:numPr>
        <w:numId w:val="2"/>
      </w:numPr>
    </w:pPr>
  </w:style>
  <w:style w:type="numbering" w:customStyle="1" w:styleId="Style2">
    <w:name w:val="Style2"/>
    <w:uiPriority w:val="99"/>
    <w:rsid w:val="005B4FFD"/>
    <w:pPr>
      <w:numPr>
        <w:numId w:val="3"/>
      </w:numPr>
    </w:pPr>
  </w:style>
  <w:style w:type="paragraph" w:styleId="ListParagraph">
    <w:name w:val="List Paragraph"/>
    <w:basedOn w:val="Normal"/>
    <w:uiPriority w:val="34"/>
    <w:qFormat/>
    <w:rsid w:val="007E0146"/>
    <w:pPr>
      <w:ind w:left="720"/>
      <w:contextualSpacing/>
    </w:pPr>
  </w:style>
  <w:style w:type="character" w:styleId="FootnoteReference">
    <w:name w:val="footnote reference"/>
    <w:basedOn w:val="DefaultParagraphFont"/>
    <w:uiPriority w:val="99"/>
    <w:unhideWhenUsed/>
    <w:rsid w:val="00E90665"/>
    <w:rPr>
      <w:vertAlign w:val="superscript"/>
    </w:rPr>
  </w:style>
  <w:style w:type="paragraph" w:styleId="Header">
    <w:name w:val="header"/>
    <w:basedOn w:val="Normal"/>
    <w:link w:val="HeaderChar"/>
    <w:uiPriority w:val="99"/>
    <w:unhideWhenUsed/>
    <w:rsid w:val="003965EF"/>
    <w:pPr>
      <w:tabs>
        <w:tab w:val="center" w:pos="4513"/>
        <w:tab w:val="right" w:pos="9026"/>
      </w:tabs>
    </w:pPr>
  </w:style>
  <w:style w:type="character" w:customStyle="1" w:styleId="HeaderChar">
    <w:name w:val="Header Char"/>
    <w:basedOn w:val="DefaultParagraphFont"/>
    <w:link w:val="Header"/>
    <w:uiPriority w:val="99"/>
    <w:rsid w:val="003965EF"/>
  </w:style>
  <w:style w:type="paragraph" w:styleId="Footer">
    <w:name w:val="footer"/>
    <w:basedOn w:val="Normal"/>
    <w:link w:val="FooterChar"/>
    <w:uiPriority w:val="99"/>
    <w:unhideWhenUsed/>
    <w:rsid w:val="003965EF"/>
    <w:pPr>
      <w:tabs>
        <w:tab w:val="center" w:pos="4513"/>
        <w:tab w:val="right" w:pos="9026"/>
      </w:tabs>
    </w:pPr>
  </w:style>
  <w:style w:type="character" w:customStyle="1" w:styleId="FooterChar">
    <w:name w:val="Footer Char"/>
    <w:basedOn w:val="DefaultParagraphFont"/>
    <w:link w:val="Footer"/>
    <w:uiPriority w:val="99"/>
    <w:rsid w:val="003965EF"/>
  </w:style>
  <w:style w:type="paragraph" w:styleId="BalloonText">
    <w:name w:val="Balloon Text"/>
    <w:basedOn w:val="Normal"/>
    <w:link w:val="BalloonTextChar"/>
    <w:uiPriority w:val="99"/>
    <w:semiHidden/>
    <w:unhideWhenUsed/>
    <w:rsid w:val="00116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54"/>
    <w:rPr>
      <w:rFonts w:ascii="Segoe UI" w:hAnsi="Segoe UI" w:cs="Segoe UI"/>
      <w:sz w:val="18"/>
      <w:szCs w:val="18"/>
    </w:rPr>
  </w:style>
  <w:style w:type="paragraph" w:styleId="NormalWeb">
    <w:name w:val="Normal (Web)"/>
    <w:basedOn w:val="Normal"/>
    <w:uiPriority w:val="99"/>
    <w:unhideWhenUsed/>
    <w:rsid w:val="0012043D"/>
    <w:pPr>
      <w:spacing w:before="100" w:beforeAutospacing="1" w:after="100" w:afterAutospacing="1"/>
      <w:ind w:left="0" w:firstLine="0"/>
    </w:pPr>
    <w:rPr>
      <w:rFonts w:ascii="Times" w:hAnsi="Times" w:cs="Times New Roman"/>
      <w:sz w:val="20"/>
      <w:szCs w:val="20"/>
    </w:rPr>
  </w:style>
  <w:style w:type="character" w:styleId="Hyperlink">
    <w:name w:val="Hyperlink"/>
    <w:basedOn w:val="DefaultParagraphFont"/>
    <w:uiPriority w:val="99"/>
    <w:unhideWhenUsed/>
    <w:rsid w:val="001B2EF9"/>
    <w:rPr>
      <w:color w:val="0563C1" w:themeColor="hyperlink"/>
      <w:u w:val="single"/>
    </w:rPr>
  </w:style>
  <w:style w:type="character" w:styleId="Strong">
    <w:name w:val="Strong"/>
    <w:basedOn w:val="DefaultParagraphFont"/>
    <w:uiPriority w:val="22"/>
    <w:qFormat/>
    <w:rsid w:val="00597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4459">
      <w:bodyDiv w:val="1"/>
      <w:marLeft w:val="0"/>
      <w:marRight w:val="0"/>
      <w:marTop w:val="0"/>
      <w:marBottom w:val="0"/>
      <w:divBdr>
        <w:top w:val="none" w:sz="0" w:space="0" w:color="auto"/>
        <w:left w:val="none" w:sz="0" w:space="0" w:color="auto"/>
        <w:bottom w:val="none" w:sz="0" w:space="0" w:color="auto"/>
        <w:right w:val="none" w:sz="0" w:space="0" w:color="auto"/>
      </w:divBdr>
    </w:div>
    <w:div w:id="318312945">
      <w:bodyDiv w:val="1"/>
      <w:marLeft w:val="0"/>
      <w:marRight w:val="0"/>
      <w:marTop w:val="0"/>
      <w:marBottom w:val="0"/>
      <w:divBdr>
        <w:top w:val="none" w:sz="0" w:space="0" w:color="auto"/>
        <w:left w:val="none" w:sz="0" w:space="0" w:color="auto"/>
        <w:bottom w:val="none" w:sz="0" w:space="0" w:color="auto"/>
        <w:right w:val="none" w:sz="0" w:space="0" w:color="auto"/>
      </w:divBdr>
      <w:divsChild>
        <w:div w:id="739182486">
          <w:marLeft w:val="0"/>
          <w:marRight w:val="0"/>
          <w:marTop w:val="0"/>
          <w:marBottom w:val="0"/>
          <w:divBdr>
            <w:top w:val="none" w:sz="0" w:space="0" w:color="auto"/>
            <w:left w:val="none" w:sz="0" w:space="0" w:color="auto"/>
            <w:bottom w:val="none" w:sz="0" w:space="0" w:color="auto"/>
            <w:right w:val="none" w:sz="0" w:space="0" w:color="auto"/>
          </w:divBdr>
          <w:divsChild>
            <w:div w:id="1926718859">
              <w:marLeft w:val="0"/>
              <w:marRight w:val="0"/>
              <w:marTop w:val="0"/>
              <w:marBottom w:val="0"/>
              <w:divBdr>
                <w:top w:val="none" w:sz="0" w:space="0" w:color="auto"/>
                <w:left w:val="none" w:sz="0" w:space="0" w:color="auto"/>
                <w:bottom w:val="none" w:sz="0" w:space="0" w:color="auto"/>
                <w:right w:val="none" w:sz="0" w:space="0" w:color="auto"/>
              </w:divBdr>
              <w:divsChild>
                <w:div w:id="1651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7342">
      <w:bodyDiv w:val="1"/>
      <w:marLeft w:val="0"/>
      <w:marRight w:val="0"/>
      <w:marTop w:val="0"/>
      <w:marBottom w:val="0"/>
      <w:divBdr>
        <w:top w:val="none" w:sz="0" w:space="0" w:color="auto"/>
        <w:left w:val="none" w:sz="0" w:space="0" w:color="auto"/>
        <w:bottom w:val="none" w:sz="0" w:space="0" w:color="auto"/>
        <w:right w:val="none" w:sz="0" w:space="0" w:color="auto"/>
      </w:divBdr>
      <w:divsChild>
        <w:div w:id="1772386720">
          <w:marLeft w:val="0"/>
          <w:marRight w:val="0"/>
          <w:marTop w:val="0"/>
          <w:marBottom w:val="0"/>
          <w:divBdr>
            <w:top w:val="none" w:sz="0" w:space="0" w:color="auto"/>
            <w:left w:val="none" w:sz="0" w:space="0" w:color="auto"/>
            <w:bottom w:val="none" w:sz="0" w:space="0" w:color="auto"/>
            <w:right w:val="none" w:sz="0" w:space="0" w:color="auto"/>
          </w:divBdr>
          <w:divsChild>
            <w:div w:id="1638489587">
              <w:marLeft w:val="0"/>
              <w:marRight w:val="0"/>
              <w:marTop w:val="0"/>
              <w:marBottom w:val="0"/>
              <w:divBdr>
                <w:top w:val="none" w:sz="0" w:space="0" w:color="auto"/>
                <w:left w:val="none" w:sz="0" w:space="0" w:color="auto"/>
                <w:bottom w:val="none" w:sz="0" w:space="0" w:color="auto"/>
                <w:right w:val="none" w:sz="0" w:space="0" w:color="auto"/>
              </w:divBdr>
              <w:divsChild>
                <w:div w:id="1392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2514">
      <w:bodyDiv w:val="1"/>
      <w:marLeft w:val="0"/>
      <w:marRight w:val="0"/>
      <w:marTop w:val="0"/>
      <w:marBottom w:val="0"/>
      <w:divBdr>
        <w:top w:val="none" w:sz="0" w:space="0" w:color="auto"/>
        <w:left w:val="none" w:sz="0" w:space="0" w:color="auto"/>
        <w:bottom w:val="none" w:sz="0" w:space="0" w:color="auto"/>
        <w:right w:val="none" w:sz="0" w:space="0" w:color="auto"/>
      </w:divBdr>
      <w:divsChild>
        <w:div w:id="2053073237">
          <w:marLeft w:val="0"/>
          <w:marRight w:val="0"/>
          <w:marTop w:val="0"/>
          <w:marBottom w:val="0"/>
          <w:divBdr>
            <w:top w:val="none" w:sz="0" w:space="0" w:color="auto"/>
            <w:left w:val="none" w:sz="0" w:space="0" w:color="auto"/>
            <w:bottom w:val="none" w:sz="0" w:space="0" w:color="auto"/>
            <w:right w:val="none" w:sz="0" w:space="0" w:color="auto"/>
          </w:divBdr>
          <w:divsChild>
            <w:div w:id="2045713590">
              <w:marLeft w:val="0"/>
              <w:marRight w:val="0"/>
              <w:marTop w:val="0"/>
              <w:marBottom w:val="0"/>
              <w:divBdr>
                <w:top w:val="none" w:sz="0" w:space="0" w:color="auto"/>
                <w:left w:val="none" w:sz="0" w:space="0" w:color="auto"/>
                <w:bottom w:val="none" w:sz="0" w:space="0" w:color="auto"/>
                <w:right w:val="none" w:sz="0" w:space="0" w:color="auto"/>
              </w:divBdr>
              <w:divsChild>
                <w:div w:id="10088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383">
      <w:bodyDiv w:val="1"/>
      <w:marLeft w:val="0"/>
      <w:marRight w:val="0"/>
      <w:marTop w:val="0"/>
      <w:marBottom w:val="0"/>
      <w:divBdr>
        <w:top w:val="none" w:sz="0" w:space="0" w:color="auto"/>
        <w:left w:val="none" w:sz="0" w:space="0" w:color="auto"/>
        <w:bottom w:val="none" w:sz="0" w:space="0" w:color="auto"/>
        <w:right w:val="none" w:sz="0" w:space="0" w:color="auto"/>
      </w:divBdr>
    </w:div>
    <w:div w:id="827475928">
      <w:bodyDiv w:val="1"/>
      <w:marLeft w:val="0"/>
      <w:marRight w:val="0"/>
      <w:marTop w:val="0"/>
      <w:marBottom w:val="0"/>
      <w:divBdr>
        <w:top w:val="none" w:sz="0" w:space="0" w:color="auto"/>
        <w:left w:val="none" w:sz="0" w:space="0" w:color="auto"/>
        <w:bottom w:val="none" w:sz="0" w:space="0" w:color="auto"/>
        <w:right w:val="none" w:sz="0" w:space="0" w:color="auto"/>
      </w:divBdr>
      <w:divsChild>
        <w:div w:id="669212153">
          <w:marLeft w:val="0"/>
          <w:marRight w:val="0"/>
          <w:marTop w:val="0"/>
          <w:marBottom w:val="0"/>
          <w:divBdr>
            <w:top w:val="none" w:sz="0" w:space="0" w:color="auto"/>
            <w:left w:val="none" w:sz="0" w:space="0" w:color="auto"/>
            <w:bottom w:val="none" w:sz="0" w:space="0" w:color="auto"/>
            <w:right w:val="none" w:sz="0" w:space="0" w:color="auto"/>
          </w:divBdr>
          <w:divsChild>
            <w:div w:id="1668941862">
              <w:marLeft w:val="0"/>
              <w:marRight w:val="0"/>
              <w:marTop w:val="0"/>
              <w:marBottom w:val="0"/>
              <w:divBdr>
                <w:top w:val="none" w:sz="0" w:space="0" w:color="auto"/>
                <w:left w:val="none" w:sz="0" w:space="0" w:color="auto"/>
                <w:bottom w:val="none" w:sz="0" w:space="0" w:color="auto"/>
                <w:right w:val="none" w:sz="0" w:space="0" w:color="auto"/>
              </w:divBdr>
              <w:divsChild>
                <w:div w:id="7342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7052">
      <w:bodyDiv w:val="1"/>
      <w:marLeft w:val="0"/>
      <w:marRight w:val="0"/>
      <w:marTop w:val="0"/>
      <w:marBottom w:val="0"/>
      <w:divBdr>
        <w:top w:val="none" w:sz="0" w:space="0" w:color="auto"/>
        <w:left w:val="none" w:sz="0" w:space="0" w:color="auto"/>
        <w:bottom w:val="none" w:sz="0" w:space="0" w:color="auto"/>
        <w:right w:val="none" w:sz="0" w:space="0" w:color="auto"/>
      </w:divBdr>
      <w:divsChild>
        <w:div w:id="334310575">
          <w:marLeft w:val="0"/>
          <w:marRight w:val="0"/>
          <w:marTop w:val="0"/>
          <w:marBottom w:val="0"/>
          <w:divBdr>
            <w:top w:val="none" w:sz="0" w:space="0" w:color="auto"/>
            <w:left w:val="none" w:sz="0" w:space="0" w:color="auto"/>
            <w:bottom w:val="none" w:sz="0" w:space="0" w:color="auto"/>
            <w:right w:val="none" w:sz="0" w:space="0" w:color="auto"/>
          </w:divBdr>
          <w:divsChild>
            <w:div w:id="1865245180">
              <w:marLeft w:val="0"/>
              <w:marRight w:val="0"/>
              <w:marTop w:val="0"/>
              <w:marBottom w:val="0"/>
              <w:divBdr>
                <w:top w:val="none" w:sz="0" w:space="0" w:color="auto"/>
                <w:left w:val="none" w:sz="0" w:space="0" w:color="auto"/>
                <w:bottom w:val="none" w:sz="0" w:space="0" w:color="auto"/>
                <w:right w:val="none" w:sz="0" w:space="0" w:color="auto"/>
              </w:divBdr>
              <w:divsChild>
                <w:div w:id="21346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6640">
      <w:bodyDiv w:val="1"/>
      <w:marLeft w:val="0"/>
      <w:marRight w:val="0"/>
      <w:marTop w:val="0"/>
      <w:marBottom w:val="0"/>
      <w:divBdr>
        <w:top w:val="none" w:sz="0" w:space="0" w:color="auto"/>
        <w:left w:val="none" w:sz="0" w:space="0" w:color="auto"/>
        <w:bottom w:val="none" w:sz="0" w:space="0" w:color="auto"/>
        <w:right w:val="none" w:sz="0" w:space="0" w:color="auto"/>
      </w:divBdr>
    </w:div>
    <w:div w:id="1252935904">
      <w:bodyDiv w:val="1"/>
      <w:marLeft w:val="0"/>
      <w:marRight w:val="0"/>
      <w:marTop w:val="0"/>
      <w:marBottom w:val="0"/>
      <w:divBdr>
        <w:top w:val="none" w:sz="0" w:space="0" w:color="auto"/>
        <w:left w:val="none" w:sz="0" w:space="0" w:color="auto"/>
        <w:bottom w:val="none" w:sz="0" w:space="0" w:color="auto"/>
        <w:right w:val="none" w:sz="0" w:space="0" w:color="auto"/>
      </w:divBdr>
      <w:divsChild>
        <w:div w:id="1847594721">
          <w:marLeft w:val="0"/>
          <w:marRight w:val="0"/>
          <w:marTop w:val="0"/>
          <w:marBottom w:val="0"/>
          <w:divBdr>
            <w:top w:val="none" w:sz="0" w:space="0" w:color="auto"/>
            <w:left w:val="none" w:sz="0" w:space="0" w:color="auto"/>
            <w:bottom w:val="none" w:sz="0" w:space="0" w:color="auto"/>
            <w:right w:val="none" w:sz="0" w:space="0" w:color="auto"/>
          </w:divBdr>
          <w:divsChild>
            <w:div w:id="501433648">
              <w:marLeft w:val="0"/>
              <w:marRight w:val="0"/>
              <w:marTop w:val="0"/>
              <w:marBottom w:val="0"/>
              <w:divBdr>
                <w:top w:val="none" w:sz="0" w:space="0" w:color="auto"/>
                <w:left w:val="none" w:sz="0" w:space="0" w:color="auto"/>
                <w:bottom w:val="none" w:sz="0" w:space="0" w:color="auto"/>
                <w:right w:val="none" w:sz="0" w:space="0" w:color="auto"/>
              </w:divBdr>
              <w:divsChild>
                <w:div w:id="4334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298">
      <w:bodyDiv w:val="1"/>
      <w:marLeft w:val="0"/>
      <w:marRight w:val="0"/>
      <w:marTop w:val="0"/>
      <w:marBottom w:val="0"/>
      <w:divBdr>
        <w:top w:val="none" w:sz="0" w:space="0" w:color="auto"/>
        <w:left w:val="none" w:sz="0" w:space="0" w:color="auto"/>
        <w:bottom w:val="none" w:sz="0" w:space="0" w:color="auto"/>
        <w:right w:val="none" w:sz="0" w:space="0" w:color="auto"/>
      </w:divBdr>
      <w:divsChild>
        <w:div w:id="143593815">
          <w:marLeft w:val="0"/>
          <w:marRight w:val="0"/>
          <w:marTop w:val="0"/>
          <w:marBottom w:val="0"/>
          <w:divBdr>
            <w:top w:val="none" w:sz="0" w:space="0" w:color="auto"/>
            <w:left w:val="none" w:sz="0" w:space="0" w:color="auto"/>
            <w:bottom w:val="none" w:sz="0" w:space="0" w:color="auto"/>
            <w:right w:val="none" w:sz="0" w:space="0" w:color="auto"/>
          </w:divBdr>
          <w:divsChild>
            <w:div w:id="2112778692">
              <w:marLeft w:val="0"/>
              <w:marRight w:val="0"/>
              <w:marTop w:val="0"/>
              <w:marBottom w:val="0"/>
              <w:divBdr>
                <w:top w:val="none" w:sz="0" w:space="0" w:color="auto"/>
                <w:left w:val="none" w:sz="0" w:space="0" w:color="auto"/>
                <w:bottom w:val="none" w:sz="0" w:space="0" w:color="auto"/>
                <w:right w:val="none" w:sz="0" w:space="0" w:color="auto"/>
              </w:divBdr>
              <w:divsChild>
                <w:div w:id="10769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0743">
      <w:bodyDiv w:val="1"/>
      <w:marLeft w:val="0"/>
      <w:marRight w:val="0"/>
      <w:marTop w:val="0"/>
      <w:marBottom w:val="0"/>
      <w:divBdr>
        <w:top w:val="none" w:sz="0" w:space="0" w:color="auto"/>
        <w:left w:val="none" w:sz="0" w:space="0" w:color="auto"/>
        <w:bottom w:val="none" w:sz="0" w:space="0" w:color="auto"/>
        <w:right w:val="none" w:sz="0" w:space="0" w:color="auto"/>
      </w:divBdr>
    </w:div>
    <w:div w:id="1383169690">
      <w:bodyDiv w:val="1"/>
      <w:marLeft w:val="0"/>
      <w:marRight w:val="0"/>
      <w:marTop w:val="0"/>
      <w:marBottom w:val="0"/>
      <w:divBdr>
        <w:top w:val="none" w:sz="0" w:space="0" w:color="auto"/>
        <w:left w:val="none" w:sz="0" w:space="0" w:color="auto"/>
        <w:bottom w:val="none" w:sz="0" w:space="0" w:color="auto"/>
        <w:right w:val="none" w:sz="0" w:space="0" w:color="auto"/>
      </w:divBdr>
    </w:div>
    <w:div w:id="1576209730">
      <w:bodyDiv w:val="1"/>
      <w:marLeft w:val="0"/>
      <w:marRight w:val="0"/>
      <w:marTop w:val="0"/>
      <w:marBottom w:val="0"/>
      <w:divBdr>
        <w:top w:val="none" w:sz="0" w:space="0" w:color="auto"/>
        <w:left w:val="none" w:sz="0" w:space="0" w:color="auto"/>
        <w:bottom w:val="none" w:sz="0" w:space="0" w:color="auto"/>
        <w:right w:val="none" w:sz="0" w:space="0" w:color="auto"/>
      </w:divBdr>
    </w:div>
    <w:div w:id="1631132228">
      <w:bodyDiv w:val="1"/>
      <w:marLeft w:val="0"/>
      <w:marRight w:val="0"/>
      <w:marTop w:val="0"/>
      <w:marBottom w:val="0"/>
      <w:divBdr>
        <w:top w:val="none" w:sz="0" w:space="0" w:color="auto"/>
        <w:left w:val="none" w:sz="0" w:space="0" w:color="auto"/>
        <w:bottom w:val="none" w:sz="0" w:space="0" w:color="auto"/>
        <w:right w:val="none" w:sz="0" w:space="0" w:color="auto"/>
      </w:divBdr>
    </w:div>
    <w:div w:id="1794640231">
      <w:bodyDiv w:val="1"/>
      <w:marLeft w:val="0"/>
      <w:marRight w:val="0"/>
      <w:marTop w:val="0"/>
      <w:marBottom w:val="0"/>
      <w:divBdr>
        <w:top w:val="none" w:sz="0" w:space="0" w:color="auto"/>
        <w:left w:val="none" w:sz="0" w:space="0" w:color="auto"/>
        <w:bottom w:val="none" w:sz="0" w:space="0" w:color="auto"/>
        <w:right w:val="none" w:sz="0" w:space="0" w:color="auto"/>
      </w:divBdr>
    </w:div>
    <w:div w:id="1887064087">
      <w:bodyDiv w:val="1"/>
      <w:marLeft w:val="0"/>
      <w:marRight w:val="0"/>
      <w:marTop w:val="0"/>
      <w:marBottom w:val="0"/>
      <w:divBdr>
        <w:top w:val="none" w:sz="0" w:space="0" w:color="auto"/>
        <w:left w:val="none" w:sz="0" w:space="0" w:color="auto"/>
        <w:bottom w:val="none" w:sz="0" w:space="0" w:color="auto"/>
        <w:right w:val="none" w:sz="0" w:space="0" w:color="auto"/>
      </w:divBdr>
    </w:div>
    <w:div w:id="2041977504">
      <w:bodyDiv w:val="1"/>
      <w:marLeft w:val="0"/>
      <w:marRight w:val="0"/>
      <w:marTop w:val="0"/>
      <w:marBottom w:val="0"/>
      <w:divBdr>
        <w:top w:val="none" w:sz="0" w:space="0" w:color="auto"/>
        <w:left w:val="none" w:sz="0" w:space="0" w:color="auto"/>
        <w:bottom w:val="none" w:sz="0" w:space="0" w:color="auto"/>
        <w:right w:val="none" w:sz="0" w:space="0" w:color="auto"/>
      </w:divBdr>
      <w:divsChild>
        <w:div w:id="236288912">
          <w:marLeft w:val="0"/>
          <w:marRight w:val="0"/>
          <w:marTop w:val="0"/>
          <w:marBottom w:val="0"/>
          <w:divBdr>
            <w:top w:val="none" w:sz="0" w:space="0" w:color="auto"/>
            <w:left w:val="none" w:sz="0" w:space="0" w:color="auto"/>
            <w:bottom w:val="none" w:sz="0" w:space="0" w:color="auto"/>
            <w:right w:val="none" w:sz="0" w:space="0" w:color="auto"/>
          </w:divBdr>
          <w:divsChild>
            <w:div w:id="1243758263">
              <w:marLeft w:val="0"/>
              <w:marRight w:val="0"/>
              <w:marTop w:val="0"/>
              <w:marBottom w:val="0"/>
              <w:divBdr>
                <w:top w:val="none" w:sz="0" w:space="0" w:color="auto"/>
                <w:left w:val="none" w:sz="0" w:space="0" w:color="auto"/>
                <w:bottom w:val="none" w:sz="0" w:space="0" w:color="auto"/>
                <w:right w:val="none" w:sz="0" w:space="0" w:color="auto"/>
              </w:divBdr>
              <w:divsChild>
                <w:div w:id="19381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7048">
      <w:bodyDiv w:val="1"/>
      <w:marLeft w:val="0"/>
      <w:marRight w:val="0"/>
      <w:marTop w:val="0"/>
      <w:marBottom w:val="0"/>
      <w:divBdr>
        <w:top w:val="none" w:sz="0" w:space="0" w:color="auto"/>
        <w:left w:val="none" w:sz="0" w:space="0" w:color="auto"/>
        <w:bottom w:val="none" w:sz="0" w:space="0" w:color="auto"/>
        <w:right w:val="none" w:sz="0" w:space="0" w:color="auto"/>
      </w:divBdr>
      <w:divsChild>
        <w:div w:id="588655906">
          <w:marLeft w:val="0"/>
          <w:marRight w:val="0"/>
          <w:marTop w:val="0"/>
          <w:marBottom w:val="0"/>
          <w:divBdr>
            <w:top w:val="none" w:sz="0" w:space="0" w:color="auto"/>
            <w:left w:val="none" w:sz="0" w:space="0" w:color="auto"/>
            <w:bottom w:val="none" w:sz="0" w:space="0" w:color="auto"/>
            <w:right w:val="none" w:sz="0" w:space="0" w:color="auto"/>
          </w:divBdr>
          <w:divsChild>
            <w:div w:id="2140491105">
              <w:marLeft w:val="0"/>
              <w:marRight w:val="0"/>
              <w:marTop w:val="0"/>
              <w:marBottom w:val="0"/>
              <w:divBdr>
                <w:top w:val="none" w:sz="0" w:space="0" w:color="auto"/>
                <w:left w:val="none" w:sz="0" w:space="0" w:color="auto"/>
                <w:bottom w:val="none" w:sz="0" w:space="0" w:color="auto"/>
                <w:right w:val="none" w:sz="0" w:space="0" w:color="auto"/>
              </w:divBdr>
              <w:divsChild>
                <w:div w:id="11328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4009">
      <w:bodyDiv w:val="1"/>
      <w:marLeft w:val="0"/>
      <w:marRight w:val="0"/>
      <w:marTop w:val="0"/>
      <w:marBottom w:val="0"/>
      <w:divBdr>
        <w:top w:val="none" w:sz="0" w:space="0" w:color="auto"/>
        <w:left w:val="none" w:sz="0" w:space="0" w:color="auto"/>
        <w:bottom w:val="none" w:sz="0" w:space="0" w:color="auto"/>
        <w:right w:val="none" w:sz="0" w:space="0" w:color="auto"/>
      </w:divBdr>
      <w:divsChild>
        <w:div w:id="1120150614">
          <w:marLeft w:val="0"/>
          <w:marRight w:val="0"/>
          <w:marTop w:val="0"/>
          <w:marBottom w:val="0"/>
          <w:divBdr>
            <w:top w:val="none" w:sz="0" w:space="0" w:color="auto"/>
            <w:left w:val="none" w:sz="0" w:space="0" w:color="auto"/>
            <w:bottom w:val="none" w:sz="0" w:space="0" w:color="auto"/>
            <w:right w:val="none" w:sz="0" w:space="0" w:color="auto"/>
          </w:divBdr>
          <w:divsChild>
            <w:div w:id="513081993">
              <w:marLeft w:val="0"/>
              <w:marRight w:val="0"/>
              <w:marTop w:val="0"/>
              <w:marBottom w:val="0"/>
              <w:divBdr>
                <w:top w:val="none" w:sz="0" w:space="0" w:color="auto"/>
                <w:left w:val="none" w:sz="0" w:space="0" w:color="auto"/>
                <w:bottom w:val="none" w:sz="0" w:space="0" w:color="auto"/>
                <w:right w:val="none" w:sz="0" w:space="0" w:color="auto"/>
              </w:divBdr>
              <w:divsChild>
                <w:div w:id="17026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0378">
      <w:bodyDiv w:val="1"/>
      <w:marLeft w:val="0"/>
      <w:marRight w:val="0"/>
      <w:marTop w:val="0"/>
      <w:marBottom w:val="0"/>
      <w:divBdr>
        <w:top w:val="none" w:sz="0" w:space="0" w:color="auto"/>
        <w:left w:val="none" w:sz="0" w:space="0" w:color="auto"/>
        <w:bottom w:val="none" w:sz="0" w:space="0" w:color="auto"/>
        <w:right w:val="none" w:sz="0" w:space="0" w:color="auto"/>
      </w:divBdr>
      <w:divsChild>
        <w:div w:id="1074206505">
          <w:marLeft w:val="0"/>
          <w:marRight w:val="0"/>
          <w:marTop w:val="0"/>
          <w:marBottom w:val="0"/>
          <w:divBdr>
            <w:top w:val="none" w:sz="0" w:space="0" w:color="auto"/>
            <w:left w:val="none" w:sz="0" w:space="0" w:color="auto"/>
            <w:bottom w:val="none" w:sz="0" w:space="0" w:color="auto"/>
            <w:right w:val="none" w:sz="0" w:space="0" w:color="auto"/>
          </w:divBdr>
          <w:divsChild>
            <w:div w:id="63263341">
              <w:marLeft w:val="0"/>
              <w:marRight w:val="0"/>
              <w:marTop w:val="0"/>
              <w:marBottom w:val="0"/>
              <w:divBdr>
                <w:top w:val="none" w:sz="0" w:space="0" w:color="auto"/>
                <w:left w:val="none" w:sz="0" w:space="0" w:color="auto"/>
                <w:bottom w:val="none" w:sz="0" w:space="0" w:color="auto"/>
                <w:right w:val="none" w:sz="0" w:space="0" w:color="auto"/>
              </w:divBdr>
              <w:divsChild>
                <w:div w:id="6055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rvices.parliament.uk/bills/2017-19/europeanunionwithdrawal.html" TargetMode="External"/><Relationship Id="rId2" Type="http://schemas.openxmlformats.org/officeDocument/2006/relationships/hyperlink" Target="https://www.gov.uk/government/publications/the-great-repeal-bill-white-paper" TargetMode="External"/><Relationship Id="rId1" Type="http://schemas.openxmlformats.org/officeDocument/2006/relationships/hyperlink" Target="http://services.parliament.uk/bills/2017-19/europeanunionwithdrawal/documents.html" TargetMode="External"/><Relationship Id="rId6" Type="http://schemas.openxmlformats.org/officeDocument/2006/relationships/hyperlink" Target="https://www.gov.uk/government/collections/article-50-and-negotiations-with-the-eu" TargetMode="External"/><Relationship Id="rId5" Type="http://schemas.openxmlformats.org/officeDocument/2006/relationships/hyperlink" Target="https://www.parliament.uk/documents/lords-committees/constitution/Annual-evidence-2016-17/ucCC290317SupremeCourt.pdf" TargetMode="External"/><Relationship Id="rId4" Type="http://schemas.openxmlformats.org/officeDocument/2006/relationships/hyperlink" Target="https://www.theguardian.com/politics/2017/jul/12/labour-tories-great-repeal-bill-brex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5A45-C5AB-41E5-A47A-D22088A8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7402</Words>
  <Characters>42198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Mockford</dc:creator>
  <cp:keywords/>
  <dc:description/>
  <cp:lastModifiedBy>Susan Monteiro</cp:lastModifiedBy>
  <cp:revision>2</cp:revision>
  <cp:lastPrinted>2017-07-20T15:08:00Z</cp:lastPrinted>
  <dcterms:created xsi:type="dcterms:W3CDTF">2017-07-20T20:59:00Z</dcterms:created>
  <dcterms:modified xsi:type="dcterms:W3CDTF">2017-07-20T20:59:00Z</dcterms:modified>
</cp:coreProperties>
</file>