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D856" w14:textId="77777777" w:rsidR="00E94324" w:rsidRPr="008D6B3D" w:rsidRDefault="006A763A" w:rsidP="00E94324">
      <w:pPr>
        <w:spacing w:line="360" w:lineRule="auto"/>
        <w:jc w:val="center"/>
        <w:rPr>
          <w:rFonts w:ascii="Times New Roman" w:hAnsi="Times New Roman"/>
          <w:sz w:val="24"/>
          <w:szCs w:val="24"/>
        </w:rPr>
      </w:pPr>
      <w:bookmarkStart w:id="0" w:name="_GoBack"/>
      <w:bookmarkEnd w:id="0"/>
      <w:r>
        <w:rPr>
          <w:rFonts w:ascii="Helvetica" w:hAnsi="Helvetica" w:cs="Arial"/>
          <w:noProof/>
          <w:color w:val="D92051"/>
          <w:sz w:val="26"/>
          <w:szCs w:val="26"/>
          <w:lang w:eastAsia="en-GB"/>
        </w:rPr>
        <w:drawing>
          <wp:inline distT="0" distB="0" distL="0" distR="0" wp14:anchorId="1DF7DA14" wp14:editId="1DF7DA15">
            <wp:extent cx="3329305" cy="1711325"/>
            <wp:effectExtent l="19050" t="0" r="4445" b="0"/>
            <wp:docPr id="1" name="logo" descr="AL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LBA">
                      <a:hlinkClick r:id="rId8"/>
                    </pic:cNvPr>
                    <pic:cNvPicPr>
                      <a:picLocks noChangeAspect="1" noChangeArrowheads="1"/>
                    </pic:cNvPicPr>
                  </pic:nvPicPr>
                  <pic:blipFill>
                    <a:blip r:embed="rId9"/>
                    <a:srcRect/>
                    <a:stretch>
                      <a:fillRect/>
                    </a:stretch>
                  </pic:blipFill>
                  <pic:spPr bwMode="auto">
                    <a:xfrm>
                      <a:off x="0" y="0"/>
                      <a:ext cx="3329305" cy="1711325"/>
                    </a:xfrm>
                    <a:prstGeom prst="rect">
                      <a:avLst/>
                    </a:prstGeom>
                    <a:noFill/>
                    <a:ln w="9525">
                      <a:noFill/>
                      <a:miter lim="800000"/>
                      <a:headEnd/>
                      <a:tailEnd/>
                    </a:ln>
                  </pic:spPr>
                </pic:pic>
              </a:graphicData>
            </a:graphic>
          </wp:inline>
        </w:drawing>
      </w:r>
    </w:p>
    <w:p w14:paraId="1DF7D857" w14:textId="77777777" w:rsidR="006A763A" w:rsidRDefault="006A763A" w:rsidP="00E94324">
      <w:pPr>
        <w:spacing w:line="360" w:lineRule="auto"/>
        <w:ind w:left="360"/>
        <w:jc w:val="center"/>
        <w:rPr>
          <w:rFonts w:ascii="Times New Roman" w:hAnsi="Times New Roman"/>
          <w:b/>
          <w:sz w:val="24"/>
          <w:szCs w:val="24"/>
        </w:rPr>
      </w:pPr>
    </w:p>
    <w:p w14:paraId="1DF7D858" w14:textId="77777777" w:rsidR="00E94324" w:rsidRPr="008D6B3D" w:rsidRDefault="00E94324" w:rsidP="00E94324">
      <w:pPr>
        <w:spacing w:line="360" w:lineRule="auto"/>
        <w:ind w:left="360"/>
        <w:jc w:val="center"/>
        <w:rPr>
          <w:rFonts w:ascii="Times New Roman" w:hAnsi="Times New Roman"/>
          <w:b/>
          <w:sz w:val="24"/>
          <w:szCs w:val="24"/>
        </w:rPr>
      </w:pPr>
      <w:r w:rsidRPr="008D6B3D">
        <w:rPr>
          <w:rFonts w:ascii="Times New Roman" w:hAnsi="Times New Roman"/>
          <w:b/>
          <w:sz w:val="24"/>
          <w:szCs w:val="24"/>
        </w:rPr>
        <w:t>INTRODUCTION TO JUDICIAL REVIEW</w:t>
      </w:r>
    </w:p>
    <w:p w14:paraId="4785E0E4" w14:textId="77777777" w:rsidR="009D0ADD" w:rsidRDefault="009D0ADD" w:rsidP="00E94324">
      <w:pPr>
        <w:spacing w:line="360" w:lineRule="auto"/>
        <w:ind w:left="360"/>
        <w:jc w:val="center"/>
        <w:rPr>
          <w:rFonts w:ascii="Times New Roman" w:hAnsi="Times New Roman"/>
          <w:b/>
          <w:sz w:val="24"/>
          <w:szCs w:val="24"/>
        </w:rPr>
      </w:pPr>
    </w:p>
    <w:p w14:paraId="1DF7D859" w14:textId="3682806F" w:rsidR="00E94324" w:rsidRPr="008D6B3D" w:rsidRDefault="00E94324" w:rsidP="00E94324">
      <w:pPr>
        <w:spacing w:line="360" w:lineRule="auto"/>
        <w:ind w:left="360"/>
        <w:jc w:val="center"/>
        <w:rPr>
          <w:rFonts w:ascii="Times New Roman" w:hAnsi="Times New Roman"/>
          <w:b/>
          <w:sz w:val="24"/>
          <w:szCs w:val="24"/>
        </w:rPr>
      </w:pPr>
      <w:r w:rsidRPr="008D6B3D">
        <w:rPr>
          <w:rFonts w:ascii="Times New Roman" w:hAnsi="Times New Roman"/>
          <w:b/>
          <w:sz w:val="24"/>
          <w:szCs w:val="24"/>
        </w:rPr>
        <w:t xml:space="preserve">PREPARATION FOR THE SUBSTANTIVE HEARING </w:t>
      </w:r>
    </w:p>
    <w:p w14:paraId="1DF7D85A" w14:textId="77777777" w:rsidR="00E94324" w:rsidRDefault="00E94324" w:rsidP="00E94324">
      <w:pPr>
        <w:spacing w:line="360" w:lineRule="auto"/>
        <w:ind w:left="360"/>
        <w:jc w:val="center"/>
        <w:rPr>
          <w:rFonts w:ascii="Times New Roman" w:hAnsi="Times New Roman"/>
          <w:b/>
          <w:sz w:val="24"/>
          <w:szCs w:val="24"/>
        </w:rPr>
      </w:pPr>
    </w:p>
    <w:p w14:paraId="1DF7D85B" w14:textId="7FDCCBC6" w:rsidR="006A763A" w:rsidRDefault="006A763A" w:rsidP="00E94324">
      <w:pPr>
        <w:spacing w:line="360" w:lineRule="auto"/>
        <w:ind w:left="360"/>
        <w:jc w:val="center"/>
        <w:rPr>
          <w:rFonts w:ascii="Times New Roman" w:hAnsi="Times New Roman"/>
          <w:b/>
          <w:sz w:val="24"/>
          <w:szCs w:val="24"/>
        </w:rPr>
      </w:pPr>
      <w:r>
        <w:rPr>
          <w:rFonts w:ascii="Times New Roman" w:hAnsi="Times New Roman"/>
          <w:b/>
          <w:sz w:val="24"/>
          <w:szCs w:val="24"/>
        </w:rPr>
        <w:t>Caoilfhionn Gallagher QC</w:t>
      </w:r>
      <w:r w:rsidR="005F5903" w:rsidRPr="005F5903">
        <w:rPr>
          <w:rStyle w:val="FootnoteReference"/>
          <w:rFonts w:ascii="Times New Roman" w:hAnsi="Times New Roman"/>
          <w:sz w:val="24"/>
          <w:szCs w:val="24"/>
        </w:rPr>
        <w:footnoteReference w:id="2"/>
      </w:r>
    </w:p>
    <w:p w14:paraId="1DF7D85C" w14:textId="77777777" w:rsidR="006A763A" w:rsidRDefault="006A763A" w:rsidP="00E94324">
      <w:pPr>
        <w:spacing w:line="360" w:lineRule="auto"/>
        <w:ind w:left="360"/>
        <w:jc w:val="center"/>
        <w:rPr>
          <w:rFonts w:ascii="Times New Roman" w:hAnsi="Times New Roman"/>
          <w:b/>
          <w:sz w:val="24"/>
          <w:szCs w:val="24"/>
        </w:rPr>
      </w:pPr>
      <w:r>
        <w:rPr>
          <w:rFonts w:ascii="Times New Roman" w:hAnsi="Times New Roman"/>
          <w:b/>
          <w:sz w:val="24"/>
          <w:szCs w:val="24"/>
        </w:rPr>
        <w:t>Doughty Street Chambers</w:t>
      </w:r>
    </w:p>
    <w:p w14:paraId="1DF7D85D" w14:textId="77777777" w:rsidR="006A763A" w:rsidRPr="008D6B3D" w:rsidRDefault="00BD2640" w:rsidP="00E94324">
      <w:pPr>
        <w:spacing w:line="360" w:lineRule="auto"/>
        <w:ind w:left="360"/>
        <w:jc w:val="center"/>
        <w:rPr>
          <w:rFonts w:ascii="Times New Roman" w:hAnsi="Times New Roman"/>
          <w:b/>
          <w:sz w:val="24"/>
          <w:szCs w:val="24"/>
        </w:rPr>
      </w:pPr>
      <w:hyperlink r:id="rId10" w:history="1">
        <w:r w:rsidR="006A763A" w:rsidRPr="00EF49F1">
          <w:rPr>
            <w:rStyle w:val="Hyperlink"/>
            <w:rFonts w:ascii="Times New Roman" w:hAnsi="Times New Roman"/>
            <w:b/>
            <w:sz w:val="24"/>
            <w:szCs w:val="24"/>
          </w:rPr>
          <w:t>c.gallagher@doughtystreet.co.uk</w:t>
        </w:r>
      </w:hyperlink>
      <w:r w:rsidR="006A763A">
        <w:rPr>
          <w:rFonts w:ascii="Times New Roman" w:hAnsi="Times New Roman"/>
          <w:b/>
          <w:sz w:val="24"/>
          <w:szCs w:val="24"/>
        </w:rPr>
        <w:t xml:space="preserve"> </w:t>
      </w:r>
    </w:p>
    <w:p w14:paraId="1DF7D85E" w14:textId="7DB53922" w:rsidR="00E94324" w:rsidRDefault="0037619F" w:rsidP="00E94324">
      <w:pPr>
        <w:spacing w:line="360" w:lineRule="auto"/>
        <w:ind w:left="360"/>
        <w:jc w:val="center"/>
        <w:rPr>
          <w:rFonts w:ascii="Times New Roman" w:hAnsi="Times New Roman"/>
          <w:b/>
          <w:sz w:val="24"/>
          <w:szCs w:val="24"/>
        </w:rPr>
      </w:pPr>
      <w:r>
        <w:rPr>
          <w:rFonts w:ascii="Times New Roman" w:hAnsi="Times New Roman"/>
          <w:b/>
          <w:sz w:val="24"/>
          <w:szCs w:val="24"/>
        </w:rPr>
        <w:t>22</w:t>
      </w:r>
      <w:r w:rsidRPr="0037619F">
        <w:rPr>
          <w:rFonts w:ascii="Times New Roman" w:hAnsi="Times New Roman"/>
          <w:b/>
          <w:sz w:val="24"/>
          <w:szCs w:val="24"/>
          <w:vertAlign w:val="superscript"/>
        </w:rPr>
        <w:t>nd</w:t>
      </w:r>
      <w:r>
        <w:rPr>
          <w:rFonts w:ascii="Times New Roman" w:hAnsi="Times New Roman"/>
          <w:b/>
          <w:sz w:val="24"/>
          <w:szCs w:val="24"/>
        </w:rPr>
        <w:t xml:space="preserve"> </w:t>
      </w:r>
      <w:r w:rsidR="009D0ADD">
        <w:rPr>
          <w:rFonts w:ascii="Times New Roman" w:hAnsi="Times New Roman"/>
          <w:b/>
          <w:sz w:val="24"/>
          <w:szCs w:val="24"/>
        </w:rPr>
        <w:t>November 2018</w:t>
      </w:r>
      <w:r w:rsidR="00E94324" w:rsidRPr="008D6B3D">
        <w:rPr>
          <w:rFonts w:ascii="Times New Roman" w:hAnsi="Times New Roman"/>
          <w:b/>
          <w:sz w:val="24"/>
          <w:szCs w:val="24"/>
        </w:rPr>
        <w:t xml:space="preserve"> </w:t>
      </w:r>
    </w:p>
    <w:p w14:paraId="1DF7D85F" w14:textId="77777777" w:rsidR="006A763A" w:rsidRDefault="006A763A" w:rsidP="00E94324">
      <w:pPr>
        <w:spacing w:line="360" w:lineRule="auto"/>
        <w:ind w:left="360"/>
        <w:jc w:val="center"/>
        <w:rPr>
          <w:rFonts w:ascii="Times New Roman" w:hAnsi="Times New Roman"/>
          <w:b/>
          <w:sz w:val="24"/>
          <w:szCs w:val="24"/>
        </w:rPr>
      </w:pPr>
    </w:p>
    <w:p w14:paraId="1DF7D860" w14:textId="77777777" w:rsidR="006A763A" w:rsidRPr="008D6B3D" w:rsidRDefault="006A763A" w:rsidP="00E94324">
      <w:pPr>
        <w:spacing w:line="360" w:lineRule="auto"/>
        <w:ind w:left="360"/>
        <w:jc w:val="center"/>
        <w:rPr>
          <w:rFonts w:ascii="Times New Roman" w:hAnsi="Times New Roman"/>
          <w:b/>
          <w:sz w:val="24"/>
          <w:szCs w:val="24"/>
        </w:rPr>
      </w:pPr>
    </w:p>
    <w:p w14:paraId="1DF7D861" w14:textId="77777777" w:rsidR="00E94324" w:rsidRPr="008D6B3D" w:rsidRDefault="00E94324" w:rsidP="00E94324">
      <w:pPr>
        <w:spacing w:line="360" w:lineRule="auto"/>
        <w:rPr>
          <w:rFonts w:ascii="Times New Roman" w:hAnsi="Times New Roman"/>
          <w:i/>
          <w:sz w:val="24"/>
          <w:szCs w:val="24"/>
        </w:rPr>
      </w:pPr>
    </w:p>
    <w:p w14:paraId="1DF7D862" w14:textId="77777777" w:rsidR="006A763A" w:rsidRDefault="006A763A">
      <w:pPr>
        <w:rPr>
          <w:rFonts w:ascii="Times New Roman" w:hAnsi="Times New Roman"/>
          <w:i/>
          <w:sz w:val="24"/>
          <w:szCs w:val="24"/>
        </w:rPr>
      </w:pPr>
      <w:r>
        <w:rPr>
          <w:rFonts w:ascii="Times New Roman" w:hAnsi="Times New Roman"/>
          <w:i/>
          <w:sz w:val="24"/>
          <w:szCs w:val="24"/>
        </w:rPr>
        <w:br w:type="page"/>
      </w:r>
    </w:p>
    <w:p w14:paraId="2C894DBE" w14:textId="77777777" w:rsidR="006A763A" w:rsidRPr="004709E9" w:rsidRDefault="004709E9" w:rsidP="004709E9">
      <w:pPr>
        <w:spacing w:after="0" w:line="360" w:lineRule="auto"/>
        <w:ind w:firstLine="360"/>
        <w:jc w:val="center"/>
        <w:rPr>
          <w:rFonts w:ascii="Times New Roman" w:hAnsi="Times New Roman" w:cs="Times New Roman"/>
          <w:b/>
          <w:sz w:val="24"/>
          <w:szCs w:val="24"/>
        </w:rPr>
      </w:pPr>
      <w:r w:rsidRPr="004709E9">
        <w:rPr>
          <w:rFonts w:ascii="Times New Roman" w:hAnsi="Times New Roman" w:cs="Times New Roman"/>
          <w:b/>
          <w:sz w:val="24"/>
          <w:szCs w:val="24"/>
        </w:rPr>
        <w:lastRenderedPageBreak/>
        <w:t>CONTENTS</w:t>
      </w:r>
    </w:p>
    <w:p w14:paraId="1DF7D864" w14:textId="77777777" w:rsidR="006A763A" w:rsidRPr="009C7ED6" w:rsidRDefault="006A763A" w:rsidP="006A763A">
      <w:pPr>
        <w:spacing w:after="0" w:line="360" w:lineRule="auto"/>
        <w:ind w:firstLine="360"/>
        <w:jc w:val="both"/>
        <w:rPr>
          <w:rFonts w:ascii="Times New Roman" w:hAnsi="Times New Roman" w:cs="Times New Roman"/>
        </w:rPr>
      </w:pPr>
    </w:p>
    <w:p w14:paraId="1DF7D865" w14:textId="77777777" w:rsidR="006A763A" w:rsidRPr="009C7ED6" w:rsidRDefault="006A763A" w:rsidP="009C7ED6">
      <w:pPr>
        <w:pStyle w:val="ListParagraph"/>
        <w:numPr>
          <w:ilvl w:val="0"/>
          <w:numId w:val="22"/>
        </w:numPr>
        <w:spacing w:after="0" w:line="360" w:lineRule="auto"/>
        <w:jc w:val="both"/>
        <w:rPr>
          <w:rFonts w:ascii="Times New Roman" w:hAnsi="Times New Roman" w:cs="Times New Roman"/>
        </w:rPr>
      </w:pPr>
      <w:r w:rsidRPr="009C7ED6">
        <w:rPr>
          <w:rFonts w:ascii="Times New Roman" w:hAnsi="Times New Roman" w:cs="Times New Roman"/>
        </w:rPr>
        <w:t>Immediate Next Steps Following the Grant of Permission</w:t>
      </w:r>
    </w:p>
    <w:p w14:paraId="1DF7D866" w14:textId="77777777" w:rsidR="009C7ED6" w:rsidRPr="009C7ED6" w:rsidRDefault="009C7ED6" w:rsidP="009C7ED6">
      <w:pPr>
        <w:pStyle w:val="ListParagraph"/>
        <w:spacing w:after="0" w:line="360" w:lineRule="auto"/>
        <w:jc w:val="both"/>
        <w:rPr>
          <w:rFonts w:ascii="Times New Roman" w:hAnsi="Times New Roman" w:cs="Times New Roman"/>
        </w:rPr>
      </w:pPr>
    </w:p>
    <w:p w14:paraId="1DF7D867" w14:textId="77777777" w:rsidR="006A763A" w:rsidRPr="009C7ED6" w:rsidRDefault="006A763A" w:rsidP="006A763A">
      <w:pPr>
        <w:pStyle w:val="ListParagraph"/>
        <w:numPr>
          <w:ilvl w:val="0"/>
          <w:numId w:val="22"/>
        </w:numPr>
        <w:spacing w:after="0" w:line="360" w:lineRule="auto"/>
        <w:jc w:val="both"/>
        <w:rPr>
          <w:rFonts w:ascii="Times New Roman" w:hAnsi="Times New Roman" w:cs="Times New Roman"/>
        </w:rPr>
      </w:pPr>
      <w:r w:rsidRPr="009C7ED6">
        <w:rPr>
          <w:rFonts w:ascii="Times New Roman" w:hAnsi="Times New Roman" w:cs="Times New Roman"/>
        </w:rPr>
        <w:t>Interim Applications</w:t>
      </w:r>
    </w:p>
    <w:p w14:paraId="1DF7D868" w14:textId="77777777" w:rsidR="009C7ED6" w:rsidRPr="009C7ED6" w:rsidRDefault="009C7ED6" w:rsidP="009C7ED6">
      <w:pPr>
        <w:pStyle w:val="ListParagraph"/>
        <w:numPr>
          <w:ilvl w:val="0"/>
          <w:numId w:val="23"/>
        </w:numPr>
        <w:spacing w:after="0" w:line="360" w:lineRule="auto"/>
        <w:jc w:val="both"/>
        <w:rPr>
          <w:rFonts w:ascii="Times New Roman" w:hAnsi="Times New Roman" w:cs="Times New Roman"/>
        </w:rPr>
      </w:pPr>
      <w:r w:rsidRPr="009C7ED6">
        <w:rPr>
          <w:rFonts w:ascii="Times New Roman" w:hAnsi="Times New Roman" w:cs="Times New Roman"/>
        </w:rPr>
        <w:t>Amendment of the Claimant’s Case</w:t>
      </w:r>
    </w:p>
    <w:p w14:paraId="1DF7D869" w14:textId="77777777" w:rsidR="009C7ED6" w:rsidRPr="009C7ED6" w:rsidRDefault="009C7ED6" w:rsidP="009C7ED6">
      <w:pPr>
        <w:pStyle w:val="ListParagraph"/>
        <w:numPr>
          <w:ilvl w:val="0"/>
          <w:numId w:val="23"/>
        </w:numPr>
        <w:spacing w:after="0" w:line="360" w:lineRule="auto"/>
        <w:jc w:val="both"/>
        <w:rPr>
          <w:rFonts w:ascii="Times New Roman" w:hAnsi="Times New Roman" w:cs="Times New Roman"/>
        </w:rPr>
      </w:pPr>
      <w:r w:rsidRPr="009C7ED6">
        <w:rPr>
          <w:rFonts w:ascii="Times New Roman" w:hAnsi="Times New Roman" w:cs="Times New Roman"/>
        </w:rPr>
        <w:t>Further Evidence</w:t>
      </w:r>
    </w:p>
    <w:p w14:paraId="1DF7D86A" w14:textId="77777777" w:rsidR="009C7ED6" w:rsidRPr="009C7ED6" w:rsidRDefault="009C7ED6" w:rsidP="009C7ED6">
      <w:pPr>
        <w:pStyle w:val="ListParagraph"/>
        <w:numPr>
          <w:ilvl w:val="0"/>
          <w:numId w:val="23"/>
        </w:numPr>
        <w:spacing w:after="0" w:line="360" w:lineRule="auto"/>
        <w:jc w:val="both"/>
        <w:rPr>
          <w:rFonts w:ascii="Times New Roman" w:hAnsi="Times New Roman" w:cs="Times New Roman"/>
        </w:rPr>
      </w:pPr>
      <w:r w:rsidRPr="009C7ED6">
        <w:rPr>
          <w:rFonts w:ascii="Times New Roman" w:hAnsi="Times New Roman" w:cs="Times New Roman"/>
        </w:rPr>
        <w:t>Disclosure</w:t>
      </w:r>
    </w:p>
    <w:p w14:paraId="1DF7D86B" w14:textId="77777777" w:rsidR="009C7ED6" w:rsidRPr="009C7ED6" w:rsidRDefault="009C7ED6" w:rsidP="009C7ED6">
      <w:pPr>
        <w:pStyle w:val="ListParagraph"/>
        <w:numPr>
          <w:ilvl w:val="0"/>
          <w:numId w:val="23"/>
        </w:numPr>
        <w:spacing w:after="0" w:line="360" w:lineRule="auto"/>
        <w:jc w:val="both"/>
        <w:rPr>
          <w:rFonts w:ascii="Times New Roman" w:hAnsi="Times New Roman" w:cs="Times New Roman"/>
        </w:rPr>
      </w:pPr>
      <w:r w:rsidRPr="009C7ED6">
        <w:rPr>
          <w:rFonts w:ascii="Times New Roman" w:hAnsi="Times New Roman" w:cs="Times New Roman"/>
        </w:rPr>
        <w:t>Cross-examination</w:t>
      </w:r>
    </w:p>
    <w:p w14:paraId="1DF7D86C" w14:textId="77777777" w:rsidR="009C7ED6" w:rsidRPr="009C7ED6" w:rsidRDefault="009C7ED6" w:rsidP="009C7ED6">
      <w:pPr>
        <w:pStyle w:val="ListParagraph"/>
        <w:numPr>
          <w:ilvl w:val="0"/>
          <w:numId w:val="23"/>
        </w:numPr>
        <w:spacing w:after="0" w:line="360" w:lineRule="auto"/>
        <w:jc w:val="both"/>
        <w:rPr>
          <w:rFonts w:ascii="Times New Roman" w:hAnsi="Times New Roman" w:cs="Times New Roman"/>
        </w:rPr>
      </w:pPr>
      <w:r w:rsidRPr="009C7ED6">
        <w:rPr>
          <w:rFonts w:ascii="Times New Roman" w:hAnsi="Times New Roman" w:cs="Times New Roman"/>
        </w:rPr>
        <w:t>Part 18 CPR</w:t>
      </w:r>
    </w:p>
    <w:p w14:paraId="1DF7D86D" w14:textId="77777777" w:rsidR="009C7ED6" w:rsidRPr="009C7ED6" w:rsidRDefault="009C7ED6" w:rsidP="009C7ED6">
      <w:pPr>
        <w:pStyle w:val="ListParagraph"/>
        <w:numPr>
          <w:ilvl w:val="0"/>
          <w:numId w:val="23"/>
        </w:numPr>
        <w:spacing w:after="0" w:line="360" w:lineRule="auto"/>
        <w:jc w:val="both"/>
        <w:rPr>
          <w:rFonts w:ascii="Times New Roman" w:hAnsi="Times New Roman" w:cs="Times New Roman"/>
        </w:rPr>
      </w:pPr>
      <w:r w:rsidRPr="009C7ED6">
        <w:rPr>
          <w:rFonts w:ascii="Times New Roman" w:hAnsi="Times New Roman" w:cs="Times New Roman"/>
        </w:rPr>
        <w:t>Procedure – interim applications</w:t>
      </w:r>
    </w:p>
    <w:p w14:paraId="1DF7D86E" w14:textId="77777777" w:rsidR="009C7ED6" w:rsidRPr="009C7ED6" w:rsidRDefault="009C7ED6" w:rsidP="009C7ED6">
      <w:pPr>
        <w:pStyle w:val="ListParagraph"/>
        <w:spacing w:after="0" w:line="360" w:lineRule="auto"/>
        <w:jc w:val="both"/>
        <w:rPr>
          <w:rFonts w:ascii="Times New Roman" w:hAnsi="Times New Roman" w:cs="Times New Roman"/>
        </w:rPr>
      </w:pPr>
    </w:p>
    <w:p w14:paraId="1DF7D86F" w14:textId="77777777" w:rsidR="006A763A" w:rsidRPr="009C7ED6" w:rsidRDefault="009C7ED6" w:rsidP="006A763A">
      <w:pPr>
        <w:pStyle w:val="ListParagraph"/>
        <w:numPr>
          <w:ilvl w:val="0"/>
          <w:numId w:val="22"/>
        </w:numPr>
        <w:spacing w:after="0" w:line="360" w:lineRule="auto"/>
        <w:jc w:val="both"/>
        <w:rPr>
          <w:rFonts w:ascii="Times New Roman" w:hAnsi="Times New Roman" w:cs="Times New Roman"/>
        </w:rPr>
      </w:pPr>
      <w:r w:rsidRPr="009C7ED6">
        <w:rPr>
          <w:rFonts w:ascii="Times New Roman" w:hAnsi="Times New Roman" w:cs="Times New Roman"/>
        </w:rPr>
        <w:t>Listing</w:t>
      </w:r>
    </w:p>
    <w:p w14:paraId="1DF7D870" w14:textId="77777777" w:rsidR="009C7ED6" w:rsidRPr="009C7ED6" w:rsidRDefault="009C7ED6" w:rsidP="009C7ED6">
      <w:pPr>
        <w:pStyle w:val="ListParagraph"/>
        <w:numPr>
          <w:ilvl w:val="0"/>
          <w:numId w:val="24"/>
        </w:numPr>
        <w:spacing w:after="0" w:line="360" w:lineRule="auto"/>
        <w:jc w:val="both"/>
        <w:rPr>
          <w:rFonts w:ascii="Times New Roman" w:hAnsi="Times New Roman" w:cs="Times New Roman"/>
        </w:rPr>
      </w:pPr>
      <w:r w:rsidRPr="009C7ED6">
        <w:rPr>
          <w:rFonts w:ascii="Times New Roman" w:hAnsi="Times New Roman" w:cs="Times New Roman"/>
        </w:rPr>
        <w:t>Time estimate</w:t>
      </w:r>
    </w:p>
    <w:p w14:paraId="1DF7D871" w14:textId="77777777" w:rsidR="009C7ED6" w:rsidRPr="009C7ED6" w:rsidRDefault="009C7ED6" w:rsidP="009C7ED6">
      <w:pPr>
        <w:pStyle w:val="ListParagraph"/>
        <w:numPr>
          <w:ilvl w:val="0"/>
          <w:numId w:val="24"/>
        </w:numPr>
        <w:spacing w:after="0" w:line="360" w:lineRule="auto"/>
        <w:jc w:val="both"/>
        <w:rPr>
          <w:rFonts w:ascii="Times New Roman" w:hAnsi="Times New Roman" w:cs="Times New Roman"/>
        </w:rPr>
      </w:pPr>
      <w:r w:rsidRPr="009C7ED6">
        <w:rPr>
          <w:rFonts w:ascii="Times New Roman" w:hAnsi="Times New Roman" w:cs="Times New Roman"/>
        </w:rPr>
        <w:t>Reading time</w:t>
      </w:r>
    </w:p>
    <w:p w14:paraId="1DF7D872" w14:textId="77777777" w:rsidR="009C7ED6" w:rsidRPr="009C7ED6" w:rsidRDefault="009C7ED6" w:rsidP="009C7ED6">
      <w:pPr>
        <w:pStyle w:val="ListParagraph"/>
        <w:numPr>
          <w:ilvl w:val="0"/>
          <w:numId w:val="24"/>
        </w:numPr>
        <w:spacing w:after="0" w:line="360" w:lineRule="auto"/>
        <w:jc w:val="both"/>
        <w:rPr>
          <w:rFonts w:ascii="Times New Roman" w:hAnsi="Times New Roman" w:cs="Times New Roman"/>
        </w:rPr>
      </w:pPr>
      <w:r w:rsidRPr="009C7ED6">
        <w:rPr>
          <w:rFonts w:ascii="Times New Roman" w:hAnsi="Times New Roman" w:cs="Times New Roman"/>
        </w:rPr>
        <w:t>Securing a listing</w:t>
      </w:r>
    </w:p>
    <w:p w14:paraId="1DF7D873" w14:textId="77777777" w:rsidR="009C7ED6" w:rsidRPr="009C7ED6" w:rsidRDefault="009C7ED6" w:rsidP="009C7ED6">
      <w:pPr>
        <w:pStyle w:val="ListParagraph"/>
        <w:spacing w:after="0" w:line="360" w:lineRule="auto"/>
        <w:ind w:left="1440"/>
        <w:jc w:val="both"/>
        <w:rPr>
          <w:rFonts w:ascii="Times New Roman" w:hAnsi="Times New Roman" w:cs="Times New Roman"/>
        </w:rPr>
      </w:pPr>
    </w:p>
    <w:p w14:paraId="1DF7D874" w14:textId="77777777" w:rsidR="009C7ED6" w:rsidRPr="009C7ED6" w:rsidRDefault="009C7ED6" w:rsidP="006A763A">
      <w:pPr>
        <w:pStyle w:val="ListParagraph"/>
        <w:numPr>
          <w:ilvl w:val="0"/>
          <w:numId w:val="22"/>
        </w:numPr>
        <w:spacing w:after="0" w:line="360" w:lineRule="auto"/>
        <w:jc w:val="both"/>
        <w:rPr>
          <w:rFonts w:ascii="Times New Roman" w:hAnsi="Times New Roman" w:cs="Times New Roman"/>
        </w:rPr>
      </w:pPr>
      <w:r w:rsidRPr="009C7ED6">
        <w:rPr>
          <w:rFonts w:ascii="Times New Roman" w:hAnsi="Times New Roman" w:cs="Times New Roman"/>
        </w:rPr>
        <w:t>Settlement and Discontinuance</w:t>
      </w:r>
    </w:p>
    <w:p w14:paraId="1DF7D875" w14:textId="77777777" w:rsidR="009C7ED6" w:rsidRPr="009C7ED6" w:rsidRDefault="009C7ED6" w:rsidP="009C7ED6">
      <w:pPr>
        <w:pStyle w:val="ListParagraph"/>
        <w:spacing w:after="0" w:line="360" w:lineRule="auto"/>
        <w:jc w:val="both"/>
        <w:rPr>
          <w:rFonts w:ascii="Times New Roman" w:hAnsi="Times New Roman" w:cs="Times New Roman"/>
        </w:rPr>
      </w:pPr>
    </w:p>
    <w:p w14:paraId="1DF7D876" w14:textId="77777777" w:rsidR="009C7ED6" w:rsidRPr="009C7ED6" w:rsidRDefault="009C7ED6" w:rsidP="006A763A">
      <w:pPr>
        <w:pStyle w:val="ListParagraph"/>
        <w:numPr>
          <w:ilvl w:val="0"/>
          <w:numId w:val="22"/>
        </w:numPr>
        <w:spacing w:after="0" w:line="360" w:lineRule="auto"/>
        <w:jc w:val="both"/>
        <w:rPr>
          <w:rFonts w:ascii="Times New Roman" w:hAnsi="Times New Roman" w:cs="Times New Roman"/>
        </w:rPr>
      </w:pPr>
      <w:r w:rsidRPr="009C7ED6">
        <w:rPr>
          <w:rFonts w:ascii="Times New Roman" w:hAnsi="Times New Roman" w:cs="Times New Roman"/>
        </w:rPr>
        <w:t>Preparation for the Hearing</w:t>
      </w:r>
    </w:p>
    <w:p w14:paraId="1DF7D877" w14:textId="77777777" w:rsidR="009C7ED6" w:rsidRPr="009C7ED6" w:rsidRDefault="009C7ED6" w:rsidP="009C7ED6">
      <w:pPr>
        <w:pStyle w:val="ListParagraph"/>
        <w:numPr>
          <w:ilvl w:val="0"/>
          <w:numId w:val="28"/>
        </w:numPr>
        <w:rPr>
          <w:rFonts w:ascii="Times New Roman" w:hAnsi="Times New Roman" w:cs="Times New Roman"/>
        </w:rPr>
      </w:pPr>
      <w:r w:rsidRPr="009C7ED6">
        <w:rPr>
          <w:rFonts w:ascii="Times New Roman" w:hAnsi="Times New Roman" w:cs="Times New Roman"/>
        </w:rPr>
        <w:t>Determination without a hearing</w:t>
      </w:r>
    </w:p>
    <w:p w14:paraId="1DF7D878" w14:textId="77777777" w:rsidR="009C7ED6" w:rsidRPr="009C7ED6" w:rsidRDefault="009C7ED6" w:rsidP="009C7ED6">
      <w:pPr>
        <w:pStyle w:val="ListParagraph"/>
        <w:numPr>
          <w:ilvl w:val="0"/>
          <w:numId w:val="28"/>
        </w:numPr>
        <w:rPr>
          <w:rFonts w:ascii="Times New Roman" w:hAnsi="Times New Roman" w:cs="Times New Roman"/>
        </w:rPr>
      </w:pPr>
      <w:r w:rsidRPr="009C7ED6">
        <w:rPr>
          <w:rFonts w:ascii="Times New Roman" w:hAnsi="Times New Roman" w:cs="Times New Roman"/>
        </w:rPr>
        <w:t>Bundles</w:t>
      </w:r>
    </w:p>
    <w:p w14:paraId="1DF7D879" w14:textId="77777777" w:rsidR="009C7ED6" w:rsidRPr="009C7ED6" w:rsidRDefault="009C7ED6" w:rsidP="009C7ED6">
      <w:pPr>
        <w:pStyle w:val="ListParagraph"/>
        <w:numPr>
          <w:ilvl w:val="0"/>
          <w:numId w:val="28"/>
        </w:numPr>
        <w:rPr>
          <w:rFonts w:ascii="Times New Roman" w:hAnsi="Times New Roman" w:cs="Times New Roman"/>
        </w:rPr>
      </w:pPr>
      <w:r w:rsidRPr="009C7ED6">
        <w:rPr>
          <w:rFonts w:ascii="Times New Roman" w:hAnsi="Times New Roman" w:cs="Times New Roman"/>
        </w:rPr>
        <w:t>Skeleton Arguments</w:t>
      </w:r>
    </w:p>
    <w:p w14:paraId="1DF7D87A" w14:textId="77777777" w:rsidR="009C7ED6" w:rsidRPr="009C7ED6" w:rsidRDefault="009C7ED6" w:rsidP="009C7ED6">
      <w:pPr>
        <w:pStyle w:val="ListParagraph"/>
        <w:numPr>
          <w:ilvl w:val="0"/>
          <w:numId w:val="28"/>
        </w:numPr>
        <w:rPr>
          <w:rFonts w:ascii="Times New Roman" w:hAnsi="Times New Roman" w:cs="Times New Roman"/>
        </w:rPr>
      </w:pPr>
      <w:r w:rsidRPr="009C7ED6">
        <w:rPr>
          <w:rFonts w:ascii="Times New Roman" w:hAnsi="Times New Roman" w:cs="Times New Roman"/>
        </w:rPr>
        <w:t>Authorities Bundles</w:t>
      </w:r>
    </w:p>
    <w:p w14:paraId="1DF7D87B" w14:textId="77777777" w:rsidR="009C7ED6" w:rsidRPr="009C7ED6" w:rsidRDefault="009C7ED6" w:rsidP="009C7ED6">
      <w:pPr>
        <w:pStyle w:val="ListParagraph"/>
        <w:ind w:left="1440"/>
        <w:rPr>
          <w:rFonts w:ascii="Times New Roman" w:hAnsi="Times New Roman" w:cs="Times New Roman"/>
        </w:rPr>
      </w:pPr>
    </w:p>
    <w:p w14:paraId="1DF7D87C" w14:textId="77777777" w:rsidR="009C7ED6" w:rsidRPr="009C7ED6" w:rsidRDefault="009C7ED6" w:rsidP="006A763A">
      <w:pPr>
        <w:pStyle w:val="ListParagraph"/>
        <w:numPr>
          <w:ilvl w:val="0"/>
          <w:numId w:val="22"/>
        </w:numPr>
        <w:spacing w:after="0" w:line="360" w:lineRule="auto"/>
        <w:jc w:val="both"/>
        <w:rPr>
          <w:rFonts w:ascii="Times New Roman" w:hAnsi="Times New Roman" w:cs="Times New Roman"/>
        </w:rPr>
      </w:pPr>
      <w:r w:rsidRPr="009C7ED6">
        <w:rPr>
          <w:rFonts w:ascii="Times New Roman" w:hAnsi="Times New Roman" w:cs="Times New Roman"/>
        </w:rPr>
        <w:t>Hearing</w:t>
      </w:r>
    </w:p>
    <w:p w14:paraId="1DF7D87D" w14:textId="77777777" w:rsidR="009C7ED6" w:rsidRPr="009C7ED6" w:rsidRDefault="009C7ED6" w:rsidP="009C7ED6">
      <w:pPr>
        <w:pStyle w:val="ListParagraph"/>
        <w:numPr>
          <w:ilvl w:val="0"/>
          <w:numId w:val="29"/>
        </w:numPr>
        <w:spacing w:after="0" w:line="360" w:lineRule="auto"/>
        <w:jc w:val="both"/>
        <w:rPr>
          <w:rFonts w:ascii="Times New Roman" w:hAnsi="Times New Roman" w:cs="Times New Roman"/>
        </w:rPr>
      </w:pPr>
      <w:r w:rsidRPr="009C7ED6">
        <w:rPr>
          <w:rFonts w:ascii="Times New Roman" w:hAnsi="Times New Roman" w:cs="Times New Roman"/>
        </w:rPr>
        <w:t>Composition of the Court</w:t>
      </w:r>
    </w:p>
    <w:p w14:paraId="1DF7D87E" w14:textId="77777777" w:rsidR="009C7ED6" w:rsidRPr="009C7ED6" w:rsidRDefault="009C7ED6" w:rsidP="009C7ED6">
      <w:pPr>
        <w:pStyle w:val="ListParagraph"/>
        <w:numPr>
          <w:ilvl w:val="0"/>
          <w:numId w:val="29"/>
        </w:numPr>
        <w:spacing w:after="0" w:line="360" w:lineRule="auto"/>
        <w:jc w:val="both"/>
        <w:rPr>
          <w:rFonts w:ascii="Times New Roman" w:hAnsi="Times New Roman" w:cs="Times New Roman"/>
        </w:rPr>
      </w:pPr>
      <w:r w:rsidRPr="009C7ED6">
        <w:rPr>
          <w:rFonts w:ascii="Times New Roman" w:hAnsi="Times New Roman" w:cs="Times New Roman"/>
        </w:rPr>
        <w:t>Timetabling of oral submissions</w:t>
      </w:r>
    </w:p>
    <w:p w14:paraId="1DF7D87F" w14:textId="77777777" w:rsidR="009C7ED6" w:rsidRPr="009C7ED6" w:rsidRDefault="009C7ED6" w:rsidP="009C7ED6">
      <w:pPr>
        <w:pStyle w:val="ListParagraph"/>
        <w:numPr>
          <w:ilvl w:val="0"/>
          <w:numId w:val="29"/>
        </w:numPr>
        <w:spacing w:after="0" w:line="360" w:lineRule="auto"/>
        <w:jc w:val="both"/>
        <w:rPr>
          <w:rFonts w:ascii="Times New Roman" w:hAnsi="Times New Roman" w:cs="Times New Roman"/>
        </w:rPr>
      </w:pPr>
      <w:r w:rsidRPr="009C7ED6">
        <w:rPr>
          <w:rFonts w:ascii="Times New Roman" w:hAnsi="Times New Roman" w:cs="Times New Roman"/>
        </w:rPr>
        <w:t>Approach to certain issues: standing, delay, limited permission</w:t>
      </w:r>
    </w:p>
    <w:p w14:paraId="1DF7D880" w14:textId="77777777" w:rsidR="009C7ED6" w:rsidRPr="009C7ED6" w:rsidRDefault="009C7ED6" w:rsidP="009C7ED6">
      <w:pPr>
        <w:pStyle w:val="ListParagraph"/>
        <w:numPr>
          <w:ilvl w:val="0"/>
          <w:numId w:val="29"/>
        </w:numPr>
        <w:spacing w:after="0" w:line="360" w:lineRule="auto"/>
        <w:jc w:val="both"/>
        <w:rPr>
          <w:rFonts w:ascii="Times New Roman" w:hAnsi="Times New Roman" w:cs="Times New Roman"/>
        </w:rPr>
      </w:pPr>
      <w:r w:rsidRPr="009C7ED6">
        <w:rPr>
          <w:rFonts w:ascii="Times New Roman" w:hAnsi="Times New Roman" w:cs="Times New Roman"/>
        </w:rPr>
        <w:t>“Any difference” / academic claims</w:t>
      </w:r>
    </w:p>
    <w:p w14:paraId="1DF7D881" w14:textId="77777777" w:rsidR="009C7ED6" w:rsidRPr="009C7ED6" w:rsidRDefault="009C7ED6" w:rsidP="009C7ED6">
      <w:pPr>
        <w:pStyle w:val="ListParagraph"/>
        <w:spacing w:after="0" w:line="360" w:lineRule="auto"/>
        <w:jc w:val="both"/>
        <w:rPr>
          <w:rFonts w:ascii="Times New Roman" w:hAnsi="Times New Roman" w:cs="Times New Roman"/>
        </w:rPr>
      </w:pPr>
    </w:p>
    <w:p w14:paraId="2A783469" w14:textId="77777777" w:rsidR="004709E9" w:rsidRDefault="004709E9" w:rsidP="004709E9">
      <w:pPr>
        <w:pStyle w:val="ListParagraph"/>
        <w:numPr>
          <w:ilvl w:val="0"/>
          <w:numId w:val="22"/>
        </w:numPr>
        <w:spacing w:after="0" w:line="360" w:lineRule="auto"/>
        <w:jc w:val="both"/>
        <w:rPr>
          <w:rFonts w:ascii="Times New Roman" w:hAnsi="Times New Roman" w:cs="Times New Roman"/>
        </w:rPr>
      </w:pPr>
      <w:r>
        <w:rPr>
          <w:rFonts w:ascii="Times New Roman" w:hAnsi="Times New Roman" w:cs="Times New Roman"/>
        </w:rPr>
        <w:t>Orders and Appeals</w:t>
      </w:r>
    </w:p>
    <w:p w14:paraId="607F776F" w14:textId="77777777" w:rsidR="004709E9" w:rsidRDefault="004709E9" w:rsidP="004709E9">
      <w:pPr>
        <w:pStyle w:val="ListParagraph"/>
        <w:spacing w:after="0" w:line="360" w:lineRule="auto"/>
        <w:jc w:val="both"/>
        <w:rPr>
          <w:rFonts w:ascii="Times New Roman" w:hAnsi="Times New Roman" w:cs="Times New Roman"/>
        </w:rPr>
      </w:pPr>
    </w:p>
    <w:p w14:paraId="1DF7D883" w14:textId="1515CE9E" w:rsidR="006A763A" w:rsidRPr="009C7ED6" w:rsidRDefault="004709E9" w:rsidP="0068488D">
      <w:pPr>
        <w:pStyle w:val="ListParagraph"/>
        <w:numPr>
          <w:ilvl w:val="0"/>
          <w:numId w:val="22"/>
        </w:numPr>
        <w:spacing w:after="0" w:line="360" w:lineRule="auto"/>
        <w:jc w:val="both"/>
        <w:rPr>
          <w:rFonts w:ascii="Times New Roman" w:hAnsi="Times New Roman" w:cs="Times New Roman"/>
        </w:rPr>
      </w:pPr>
      <w:r>
        <w:rPr>
          <w:rFonts w:ascii="Times New Roman" w:hAnsi="Times New Roman" w:cs="Times New Roman"/>
        </w:rPr>
        <w:t>Costs</w:t>
      </w:r>
    </w:p>
    <w:p w14:paraId="1DF7D884" w14:textId="77777777" w:rsidR="006A763A" w:rsidRPr="006A763A" w:rsidRDefault="006A763A" w:rsidP="006A763A">
      <w:pPr>
        <w:spacing w:after="0" w:line="360" w:lineRule="auto"/>
        <w:ind w:firstLine="360"/>
        <w:jc w:val="both"/>
        <w:rPr>
          <w:rFonts w:ascii="Times New Roman" w:hAnsi="Times New Roman" w:cs="Times New Roman"/>
          <w:i/>
          <w:sz w:val="24"/>
          <w:szCs w:val="24"/>
        </w:rPr>
      </w:pPr>
    </w:p>
    <w:p w14:paraId="1DF7D885" w14:textId="77777777" w:rsidR="009C7ED6" w:rsidRDefault="009C7ED6">
      <w:pPr>
        <w:rPr>
          <w:rFonts w:ascii="Times New Roman" w:hAnsi="Times New Roman" w:cs="Times New Roman"/>
          <w:i/>
          <w:sz w:val="24"/>
          <w:szCs w:val="24"/>
        </w:rPr>
      </w:pPr>
      <w:r>
        <w:rPr>
          <w:rFonts w:ascii="Times New Roman" w:hAnsi="Times New Roman" w:cs="Times New Roman"/>
          <w:i/>
          <w:sz w:val="24"/>
          <w:szCs w:val="24"/>
        </w:rPr>
        <w:br w:type="page"/>
      </w:r>
    </w:p>
    <w:p w14:paraId="1DF7D886" w14:textId="77777777" w:rsidR="009C7ED6" w:rsidRPr="009D0ADD" w:rsidRDefault="009C7ED6" w:rsidP="009C7ED6">
      <w:pPr>
        <w:pStyle w:val="ListParagraph"/>
        <w:numPr>
          <w:ilvl w:val="0"/>
          <w:numId w:val="30"/>
        </w:numPr>
        <w:spacing w:after="0" w:line="360" w:lineRule="auto"/>
        <w:jc w:val="center"/>
        <w:rPr>
          <w:rFonts w:ascii="Times New Roman Bold" w:hAnsi="Times New Roman Bold" w:cs="Times New Roman"/>
          <w:b/>
          <w:smallCaps/>
          <w:sz w:val="24"/>
          <w:szCs w:val="24"/>
        </w:rPr>
      </w:pPr>
      <w:r w:rsidRPr="009D0ADD">
        <w:rPr>
          <w:rFonts w:ascii="Times New Roman Bold" w:hAnsi="Times New Roman Bold" w:cs="Times New Roman"/>
          <w:b/>
          <w:smallCaps/>
          <w:sz w:val="24"/>
          <w:szCs w:val="24"/>
        </w:rPr>
        <w:lastRenderedPageBreak/>
        <w:t>Immediate Next Steps Following the Grant of Permission</w:t>
      </w:r>
    </w:p>
    <w:p w14:paraId="1DF7D887" w14:textId="77777777" w:rsidR="006A763A" w:rsidRPr="006A763A" w:rsidRDefault="006A763A" w:rsidP="009D0ADD">
      <w:pPr>
        <w:spacing w:after="0" w:line="360" w:lineRule="auto"/>
        <w:ind w:firstLine="360"/>
        <w:jc w:val="both"/>
        <w:rPr>
          <w:rFonts w:ascii="Times New Roman" w:hAnsi="Times New Roman" w:cs="Times New Roman"/>
          <w:i/>
          <w:sz w:val="24"/>
          <w:szCs w:val="24"/>
        </w:rPr>
      </w:pPr>
    </w:p>
    <w:p w14:paraId="1DF7D888" w14:textId="77777777" w:rsidR="009C7ED6" w:rsidRDefault="006A763A" w:rsidP="009D0ADD">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t>There are certain routine steps which should take place following the grant of</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permission in all judicial reviews: the filing of Detailed Grounds of Resistance</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and any supporting evidence by the Defendant; a listing date being secured;</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exchange of Skeleton Arguments; the hearing itself.</w:t>
      </w:r>
      <w:r w:rsidR="009C7ED6" w:rsidRPr="009C7ED6">
        <w:rPr>
          <w:rFonts w:ascii="Times New Roman" w:hAnsi="Times New Roman" w:cs="Times New Roman"/>
          <w:sz w:val="24"/>
          <w:szCs w:val="24"/>
        </w:rPr>
        <w:t xml:space="preserve"> </w:t>
      </w:r>
    </w:p>
    <w:p w14:paraId="1DF7D889" w14:textId="77777777" w:rsidR="009C7ED6" w:rsidRDefault="009C7ED6" w:rsidP="009D0ADD">
      <w:pPr>
        <w:pStyle w:val="ListParagraph"/>
        <w:autoSpaceDE w:val="0"/>
        <w:autoSpaceDN w:val="0"/>
        <w:adjustRightInd w:val="0"/>
        <w:spacing w:after="0" w:line="360" w:lineRule="auto"/>
        <w:jc w:val="both"/>
        <w:rPr>
          <w:rFonts w:ascii="Times New Roman" w:hAnsi="Times New Roman" w:cs="Times New Roman"/>
          <w:sz w:val="24"/>
          <w:szCs w:val="24"/>
        </w:rPr>
      </w:pPr>
    </w:p>
    <w:p w14:paraId="1DF7D88A" w14:textId="77777777" w:rsidR="006A763A" w:rsidRDefault="006A763A" w:rsidP="009D0ADD">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t>There are, however, many variations on that theme, depending upon matters</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such as the directions made at permission stage, the urgency of the case, the</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issues, whether the Claimant wishes to file further evidence or amend his or</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her Grounds, whether interim relief is sought, and whether there are any third</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party interveners.</w:t>
      </w:r>
    </w:p>
    <w:p w14:paraId="1DF7D88B" w14:textId="77777777" w:rsidR="009C7ED6" w:rsidRPr="009C7ED6" w:rsidRDefault="009C7ED6" w:rsidP="009D0ADD">
      <w:pPr>
        <w:pStyle w:val="ListParagraph"/>
        <w:jc w:val="both"/>
        <w:rPr>
          <w:rFonts w:ascii="Times New Roman" w:hAnsi="Times New Roman" w:cs="Times New Roman"/>
          <w:sz w:val="24"/>
          <w:szCs w:val="24"/>
        </w:rPr>
      </w:pPr>
    </w:p>
    <w:p w14:paraId="1DF7D88C" w14:textId="050087D6" w:rsidR="009C7ED6" w:rsidRPr="009C7ED6" w:rsidRDefault="009C7ED6" w:rsidP="009D0ADD">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immediate step to take is the payment by the Claimant of the continuation fee.</w:t>
      </w:r>
      <w:r w:rsidR="009D0ADD">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9C7ED6">
        <w:rPr>
          <w:rFonts w:ascii="Times New Roman" w:hAnsi="Times New Roman" w:cs="Times New Roman"/>
          <w:sz w:val="24"/>
          <w:szCs w:val="24"/>
        </w:rPr>
        <w:t xml:space="preserve">The CPR then envisages the next stage being the filing and service of the Defendant’s Detailed Grounds and evidence. </w:t>
      </w:r>
    </w:p>
    <w:p w14:paraId="1DF7D88D" w14:textId="77777777" w:rsidR="009C7ED6" w:rsidRPr="009C7ED6" w:rsidRDefault="009C7ED6" w:rsidP="009D0ADD">
      <w:pPr>
        <w:pStyle w:val="ListParagraph"/>
        <w:jc w:val="both"/>
        <w:rPr>
          <w:rFonts w:ascii="Times New Roman" w:hAnsi="Times New Roman" w:cs="Times New Roman"/>
          <w:sz w:val="24"/>
          <w:szCs w:val="24"/>
        </w:rPr>
      </w:pPr>
    </w:p>
    <w:p w14:paraId="1DF7D88E" w14:textId="6FEBED23" w:rsidR="006A763A" w:rsidRPr="009C7ED6" w:rsidRDefault="006A763A" w:rsidP="009D0ADD">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t>CPR 54.10(1) provides that where permission to proceed is given the court</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 xml:space="preserve">may also give directions. The content of these </w:t>
      </w:r>
      <w:r w:rsidR="009D0ADD">
        <w:rPr>
          <w:rFonts w:ascii="Times New Roman" w:hAnsi="Times New Roman" w:cs="Times New Roman"/>
          <w:sz w:val="24"/>
          <w:szCs w:val="24"/>
        </w:rPr>
        <w:t>directions will</w:t>
      </w:r>
      <w:r w:rsidRPr="009C7ED6">
        <w:rPr>
          <w:rFonts w:ascii="Times New Roman" w:hAnsi="Times New Roman" w:cs="Times New Roman"/>
          <w:sz w:val="24"/>
          <w:szCs w:val="24"/>
        </w:rPr>
        <w:t xml:space="preserve"> vary depending on the</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 xml:space="preserve">nature of the case, but typical directions made </w:t>
      </w:r>
      <w:r w:rsidR="009C7ED6">
        <w:rPr>
          <w:rFonts w:ascii="Times New Roman" w:hAnsi="Times New Roman" w:cs="Times New Roman"/>
          <w:sz w:val="24"/>
          <w:szCs w:val="24"/>
        </w:rPr>
        <w:t xml:space="preserve">at permission stage are </w:t>
      </w:r>
      <w:r w:rsidRPr="009C7ED6">
        <w:rPr>
          <w:rFonts w:ascii="Times New Roman" w:hAnsi="Times New Roman" w:cs="Times New Roman"/>
          <w:sz w:val="24"/>
          <w:szCs w:val="24"/>
        </w:rPr>
        <w:t>as</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follows:</w:t>
      </w:r>
    </w:p>
    <w:p w14:paraId="1DF7D88F" w14:textId="77777777" w:rsidR="009C7ED6" w:rsidRDefault="006A763A" w:rsidP="009D0ADD">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t>Permission to apply for Judicial Review is granted.</w:t>
      </w:r>
    </w:p>
    <w:p w14:paraId="1DF7D890" w14:textId="453A8D8D" w:rsidR="006A763A" w:rsidRDefault="006A763A" w:rsidP="009D0ADD">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t xml:space="preserve">The Defendant </w:t>
      </w:r>
      <w:r w:rsidR="009D0ADD">
        <w:rPr>
          <w:rFonts w:ascii="Times New Roman" w:hAnsi="Times New Roman" w:cs="Times New Roman"/>
          <w:sz w:val="24"/>
          <w:szCs w:val="24"/>
        </w:rPr>
        <w:t>shall</w:t>
      </w:r>
      <w:r w:rsidRPr="009C7ED6">
        <w:rPr>
          <w:rFonts w:ascii="Times New Roman" w:hAnsi="Times New Roman" w:cs="Times New Roman"/>
          <w:sz w:val="24"/>
          <w:szCs w:val="24"/>
        </w:rPr>
        <w:t xml:space="preserve"> file with the Court and serve on the Claimant</w:t>
      </w:r>
      <w:r w:rsidR="009C7ED6" w:rsidRPr="009C7ED6">
        <w:rPr>
          <w:rFonts w:ascii="Times New Roman" w:hAnsi="Times New Roman" w:cs="Times New Roman"/>
          <w:sz w:val="24"/>
          <w:szCs w:val="24"/>
        </w:rPr>
        <w:t xml:space="preserve"> Detailed G</w:t>
      </w:r>
      <w:r w:rsidRPr="009C7ED6">
        <w:rPr>
          <w:rFonts w:ascii="Times New Roman" w:hAnsi="Times New Roman" w:cs="Times New Roman"/>
          <w:sz w:val="24"/>
          <w:szCs w:val="24"/>
        </w:rPr>
        <w:t>rounds for contesting the application and any written</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evidence within 35 days from the date of service of this Order.</w:t>
      </w:r>
    </w:p>
    <w:p w14:paraId="1DF7D891" w14:textId="77777777" w:rsidR="006A763A" w:rsidRDefault="006A763A" w:rsidP="009D0ADD">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t>Any reply and any application by the Claimant to adduce further</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 xml:space="preserve">evidence must be filed within 14 days of service of </w:t>
      </w:r>
      <w:r w:rsidR="009C7ED6">
        <w:rPr>
          <w:rFonts w:ascii="Times New Roman" w:hAnsi="Times New Roman" w:cs="Times New Roman"/>
          <w:sz w:val="24"/>
          <w:szCs w:val="24"/>
        </w:rPr>
        <w:t>the Detailed G</w:t>
      </w:r>
      <w:r w:rsidRPr="009C7ED6">
        <w:rPr>
          <w:rFonts w:ascii="Times New Roman" w:hAnsi="Times New Roman" w:cs="Times New Roman"/>
          <w:sz w:val="24"/>
          <w:szCs w:val="24"/>
        </w:rPr>
        <w:t>rounds.</w:t>
      </w:r>
    </w:p>
    <w:p w14:paraId="1DF7D892" w14:textId="77777777" w:rsidR="006A763A" w:rsidRDefault="006A763A" w:rsidP="009D0ADD">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t>The application shall be listed on the first available date thereafter</w:t>
      </w:r>
      <w:r w:rsidR="009C7ED6">
        <w:rPr>
          <w:rFonts w:ascii="Times New Roman" w:hAnsi="Times New Roman" w:cs="Times New Roman"/>
          <w:sz w:val="24"/>
          <w:szCs w:val="24"/>
        </w:rPr>
        <w:t xml:space="preserve"> / after a specific date with a time estimate of X, [to take place in any event no later than Y].</w:t>
      </w:r>
    </w:p>
    <w:p w14:paraId="1DF7D893" w14:textId="725539C1" w:rsidR="006A763A" w:rsidRDefault="006A763A" w:rsidP="009D0ADD">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t>The Claimant must file with the Court and serve on the Defendant a</w:t>
      </w:r>
      <w:r w:rsidR="009C7ED6">
        <w:rPr>
          <w:rFonts w:ascii="Times New Roman" w:hAnsi="Times New Roman" w:cs="Times New Roman"/>
          <w:sz w:val="24"/>
          <w:szCs w:val="24"/>
        </w:rPr>
        <w:t xml:space="preserve"> </w:t>
      </w:r>
      <w:r w:rsidRPr="009C7ED6">
        <w:rPr>
          <w:rFonts w:ascii="Times New Roman" w:hAnsi="Times New Roman" w:cs="Times New Roman"/>
          <w:sz w:val="24"/>
          <w:szCs w:val="24"/>
        </w:rPr>
        <w:t>skeleton argument no later than 21 days before the</w:t>
      </w:r>
      <w:r w:rsidR="009C7ED6">
        <w:rPr>
          <w:rFonts w:ascii="Times New Roman" w:hAnsi="Times New Roman" w:cs="Times New Roman"/>
          <w:sz w:val="24"/>
          <w:szCs w:val="24"/>
        </w:rPr>
        <w:t xml:space="preserve"> </w:t>
      </w:r>
      <w:r w:rsidRPr="009C7ED6">
        <w:rPr>
          <w:rFonts w:ascii="Times New Roman" w:hAnsi="Times New Roman" w:cs="Times New Roman"/>
          <w:sz w:val="24"/>
          <w:szCs w:val="24"/>
        </w:rPr>
        <w:t>hearing of the judicial review.</w:t>
      </w:r>
    </w:p>
    <w:p w14:paraId="1DF7D894" w14:textId="4A9591A8" w:rsidR="009C7ED6" w:rsidRDefault="006A763A" w:rsidP="009D0ADD">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lastRenderedPageBreak/>
        <w:t>The Defendant must file with the Court and serve on the Claimant a</w:t>
      </w:r>
      <w:r w:rsidR="009C7ED6">
        <w:rPr>
          <w:rFonts w:ascii="Times New Roman" w:hAnsi="Times New Roman" w:cs="Times New Roman"/>
          <w:sz w:val="24"/>
          <w:szCs w:val="24"/>
        </w:rPr>
        <w:t xml:space="preserve"> </w:t>
      </w:r>
      <w:r w:rsidRPr="009C7ED6">
        <w:rPr>
          <w:rFonts w:ascii="Times New Roman" w:hAnsi="Times New Roman" w:cs="Times New Roman"/>
          <w:sz w:val="24"/>
          <w:szCs w:val="24"/>
        </w:rPr>
        <w:t>skeleton argument not later than 14 days before the hearing of the</w:t>
      </w:r>
      <w:r w:rsidR="009C7ED6">
        <w:rPr>
          <w:rFonts w:ascii="Times New Roman" w:hAnsi="Times New Roman" w:cs="Times New Roman"/>
          <w:sz w:val="24"/>
          <w:szCs w:val="24"/>
        </w:rPr>
        <w:t xml:space="preserve"> </w:t>
      </w:r>
      <w:r w:rsidRPr="009C7ED6">
        <w:rPr>
          <w:rFonts w:ascii="Times New Roman" w:hAnsi="Times New Roman" w:cs="Times New Roman"/>
          <w:sz w:val="24"/>
          <w:szCs w:val="24"/>
        </w:rPr>
        <w:t>judicial review.</w:t>
      </w:r>
    </w:p>
    <w:p w14:paraId="6701AD46" w14:textId="3B87123C" w:rsidR="009D0ADD" w:rsidRDefault="009D0ADD" w:rsidP="009D0ADD">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 agreed hearing bundle must be filed and served by the Claimant no later than 14 days before the hearing of the judicial review.</w:t>
      </w:r>
    </w:p>
    <w:p w14:paraId="1DF7D895" w14:textId="227E3A93" w:rsidR="006A763A" w:rsidRPr="009C7ED6" w:rsidRDefault="006A763A" w:rsidP="009D0ADD">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t xml:space="preserve">The </w:t>
      </w:r>
      <w:r w:rsidR="009D0ADD">
        <w:rPr>
          <w:rFonts w:ascii="Times New Roman" w:hAnsi="Times New Roman" w:cs="Times New Roman"/>
          <w:sz w:val="24"/>
          <w:szCs w:val="24"/>
        </w:rPr>
        <w:t>Claimant</w:t>
      </w:r>
      <w:r w:rsidRPr="009C7ED6">
        <w:rPr>
          <w:rFonts w:ascii="Times New Roman" w:hAnsi="Times New Roman" w:cs="Times New Roman"/>
          <w:sz w:val="24"/>
          <w:szCs w:val="24"/>
        </w:rPr>
        <w:t xml:space="preserve"> must file </w:t>
      </w:r>
      <w:r w:rsidR="009C7ED6">
        <w:rPr>
          <w:rFonts w:ascii="Times New Roman" w:hAnsi="Times New Roman" w:cs="Times New Roman"/>
          <w:sz w:val="24"/>
          <w:szCs w:val="24"/>
        </w:rPr>
        <w:t>and serve an agreed bundle of authorities</w:t>
      </w:r>
      <w:r w:rsidRPr="009C7ED6">
        <w:rPr>
          <w:rFonts w:ascii="Times New Roman" w:hAnsi="Times New Roman" w:cs="Times New Roman"/>
          <w:sz w:val="24"/>
          <w:szCs w:val="24"/>
        </w:rPr>
        <w:t xml:space="preserve"> not less than</w:t>
      </w:r>
    </w:p>
    <w:p w14:paraId="1DF7D896" w14:textId="77777777" w:rsidR="006A763A" w:rsidRPr="009C7ED6" w:rsidRDefault="009C7ED6" w:rsidP="009D0ADD">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7</w:t>
      </w:r>
      <w:r w:rsidR="006A763A" w:rsidRPr="009C7ED6">
        <w:rPr>
          <w:rFonts w:ascii="Times New Roman" w:hAnsi="Times New Roman" w:cs="Times New Roman"/>
          <w:sz w:val="24"/>
          <w:szCs w:val="24"/>
        </w:rPr>
        <w:t xml:space="preserve"> days before the date of the hearing of the judicial review.</w:t>
      </w:r>
    </w:p>
    <w:p w14:paraId="1DF7D897" w14:textId="77777777" w:rsidR="006A763A" w:rsidRDefault="006A763A" w:rsidP="006A763A">
      <w:pPr>
        <w:spacing w:after="0" w:line="360" w:lineRule="auto"/>
        <w:ind w:firstLine="360"/>
        <w:rPr>
          <w:rFonts w:ascii="Times New Roman" w:hAnsi="Times New Roman" w:cs="Times New Roman"/>
          <w:i/>
          <w:sz w:val="24"/>
          <w:szCs w:val="24"/>
        </w:rPr>
      </w:pPr>
    </w:p>
    <w:p w14:paraId="1DF7D898" w14:textId="77777777" w:rsidR="006A763A" w:rsidRPr="009C7ED6" w:rsidRDefault="006A763A" w:rsidP="009C7ED6">
      <w:pPr>
        <w:pStyle w:val="ListParagraph"/>
        <w:numPr>
          <w:ilvl w:val="0"/>
          <w:numId w:val="31"/>
        </w:numPr>
        <w:autoSpaceDE w:val="0"/>
        <w:autoSpaceDN w:val="0"/>
        <w:adjustRightInd w:val="0"/>
        <w:spacing w:after="0" w:line="360" w:lineRule="auto"/>
        <w:rPr>
          <w:rFonts w:ascii="Times New Roman" w:hAnsi="Times New Roman" w:cs="Times New Roman"/>
          <w:sz w:val="24"/>
          <w:szCs w:val="24"/>
        </w:rPr>
      </w:pPr>
      <w:r w:rsidRPr="009C7ED6">
        <w:rPr>
          <w:rFonts w:ascii="Times New Roman" w:hAnsi="Times New Roman" w:cs="Times New Roman"/>
          <w:sz w:val="24"/>
          <w:szCs w:val="24"/>
        </w:rPr>
        <w:t>The reference to the Defendant filing its Detailed Grounds for contesting the</w:t>
      </w:r>
      <w:r w:rsidR="009C7ED6">
        <w:rPr>
          <w:rFonts w:ascii="Times New Roman" w:hAnsi="Times New Roman" w:cs="Times New Roman"/>
          <w:sz w:val="24"/>
          <w:szCs w:val="24"/>
        </w:rPr>
        <w:t xml:space="preserve"> </w:t>
      </w:r>
      <w:r w:rsidRPr="009C7ED6">
        <w:rPr>
          <w:rFonts w:ascii="Times New Roman" w:hAnsi="Times New Roman" w:cs="Times New Roman"/>
          <w:sz w:val="24"/>
          <w:szCs w:val="24"/>
        </w:rPr>
        <w:t>claim arises from CPR r.54.14:</w:t>
      </w:r>
    </w:p>
    <w:p w14:paraId="1DF7D899" w14:textId="77777777" w:rsidR="009C7ED6" w:rsidRDefault="009C7ED6" w:rsidP="009C7ED6">
      <w:pPr>
        <w:autoSpaceDE w:val="0"/>
        <w:autoSpaceDN w:val="0"/>
        <w:adjustRightInd w:val="0"/>
        <w:spacing w:after="0" w:line="360" w:lineRule="auto"/>
        <w:ind w:left="1440"/>
        <w:rPr>
          <w:rFonts w:ascii="Times New Roman" w:hAnsi="Times New Roman" w:cs="Times New Roman"/>
          <w:i/>
          <w:iCs/>
          <w:sz w:val="24"/>
          <w:szCs w:val="24"/>
        </w:rPr>
      </w:pPr>
    </w:p>
    <w:p w14:paraId="1DF7D89C" w14:textId="0F248BB8" w:rsidR="006A763A" w:rsidRPr="009C7ED6" w:rsidRDefault="006A763A" w:rsidP="009C7ED6">
      <w:pPr>
        <w:autoSpaceDE w:val="0"/>
        <w:autoSpaceDN w:val="0"/>
        <w:adjustRightInd w:val="0"/>
        <w:spacing w:after="0" w:line="360" w:lineRule="auto"/>
        <w:ind w:left="1440"/>
        <w:rPr>
          <w:rFonts w:ascii="Times New Roman" w:hAnsi="Times New Roman" w:cs="Times New Roman"/>
          <w:i/>
          <w:iCs/>
          <w:sz w:val="24"/>
          <w:szCs w:val="24"/>
        </w:rPr>
      </w:pPr>
      <w:r w:rsidRPr="009C7ED6">
        <w:rPr>
          <w:rFonts w:ascii="Times New Roman" w:hAnsi="Times New Roman" w:cs="Times New Roman"/>
          <w:i/>
          <w:iCs/>
          <w:sz w:val="24"/>
          <w:szCs w:val="24"/>
        </w:rPr>
        <w:t>(1) A defendant and any other person served with the claim form</w:t>
      </w:r>
      <w:r w:rsidR="009D0ADD">
        <w:rPr>
          <w:rFonts w:ascii="Times New Roman" w:hAnsi="Times New Roman" w:cs="Times New Roman"/>
          <w:i/>
          <w:iCs/>
          <w:sz w:val="24"/>
          <w:szCs w:val="24"/>
        </w:rPr>
        <w:t xml:space="preserve"> </w:t>
      </w:r>
      <w:r w:rsidRPr="009C7ED6">
        <w:rPr>
          <w:rFonts w:ascii="Times New Roman" w:hAnsi="Times New Roman" w:cs="Times New Roman"/>
          <w:i/>
          <w:iCs/>
          <w:sz w:val="24"/>
          <w:szCs w:val="24"/>
        </w:rPr>
        <w:t>who wishes to contest the claim or support it on additional</w:t>
      </w:r>
      <w:r w:rsidR="009D0ADD">
        <w:rPr>
          <w:rFonts w:ascii="Times New Roman" w:hAnsi="Times New Roman" w:cs="Times New Roman"/>
          <w:i/>
          <w:iCs/>
          <w:sz w:val="24"/>
          <w:szCs w:val="24"/>
        </w:rPr>
        <w:t xml:space="preserve"> </w:t>
      </w:r>
      <w:r w:rsidRPr="009C7ED6">
        <w:rPr>
          <w:rFonts w:ascii="Times New Roman" w:hAnsi="Times New Roman" w:cs="Times New Roman"/>
          <w:i/>
          <w:iCs/>
          <w:sz w:val="24"/>
          <w:szCs w:val="24"/>
        </w:rPr>
        <w:t>grounds must file and serve –</w:t>
      </w:r>
    </w:p>
    <w:p w14:paraId="1DF7D89E" w14:textId="38F240E9" w:rsidR="006A763A" w:rsidRPr="009C7ED6" w:rsidRDefault="006A763A" w:rsidP="009C7ED6">
      <w:pPr>
        <w:autoSpaceDE w:val="0"/>
        <w:autoSpaceDN w:val="0"/>
        <w:adjustRightInd w:val="0"/>
        <w:spacing w:after="0" w:line="360" w:lineRule="auto"/>
        <w:ind w:left="1440"/>
        <w:rPr>
          <w:rFonts w:ascii="Times New Roman" w:hAnsi="Times New Roman" w:cs="Times New Roman"/>
          <w:i/>
          <w:iCs/>
          <w:sz w:val="24"/>
          <w:szCs w:val="24"/>
        </w:rPr>
      </w:pPr>
      <w:r w:rsidRPr="009C7ED6">
        <w:rPr>
          <w:rFonts w:ascii="Times New Roman" w:hAnsi="Times New Roman" w:cs="Times New Roman"/>
          <w:i/>
          <w:iCs/>
          <w:sz w:val="24"/>
          <w:szCs w:val="24"/>
        </w:rPr>
        <w:t>(a) detailed grounds for contesting the claim or supporting it</w:t>
      </w:r>
      <w:r w:rsidR="009D0ADD">
        <w:rPr>
          <w:rFonts w:ascii="Times New Roman" w:hAnsi="Times New Roman" w:cs="Times New Roman"/>
          <w:i/>
          <w:iCs/>
          <w:sz w:val="24"/>
          <w:szCs w:val="24"/>
        </w:rPr>
        <w:t xml:space="preserve"> </w:t>
      </w:r>
      <w:r w:rsidRPr="009C7ED6">
        <w:rPr>
          <w:rFonts w:ascii="Times New Roman" w:hAnsi="Times New Roman" w:cs="Times New Roman"/>
          <w:i/>
          <w:iCs/>
          <w:sz w:val="24"/>
          <w:szCs w:val="24"/>
        </w:rPr>
        <w:t>on additional grounds; and</w:t>
      </w:r>
    </w:p>
    <w:p w14:paraId="1DF7D89F" w14:textId="77777777" w:rsidR="006A763A" w:rsidRPr="009C7ED6" w:rsidRDefault="006A763A" w:rsidP="009C7ED6">
      <w:pPr>
        <w:autoSpaceDE w:val="0"/>
        <w:autoSpaceDN w:val="0"/>
        <w:adjustRightInd w:val="0"/>
        <w:spacing w:after="0" w:line="360" w:lineRule="auto"/>
        <w:ind w:left="1440"/>
        <w:rPr>
          <w:rFonts w:ascii="Times New Roman" w:hAnsi="Times New Roman" w:cs="Times New Roman"/>
          <w:i/>
          <w:iCs/>
          <w:sz w:val="24"/>
          <w:szCs w:val="24"/>
        </w:rPr>
      </w:pPr>
      <w:r w:rsidRPr="009C7ED6">
        <w:rPr>
          <w:rFonts w:ascii="Times New Roman" w:hAnsi="Times New Roman" w:cs="Times New Roman"/>
          <w:i/>
          <w:iCs/>
          <w:sz w:val="24"/>
          <w:szCs w:val="24"/>
        </w:rPr>
        <w:t>(b) any written evidence,</w:t>
      </w:r>
    </w:p>
    <w:p w14:paraId="1DF7D8A0" w14:textId="77777777" w:rsidR="006A763A" w:rsidRPr="009C7ED6" w:rsidRDefault="006A763A" w:rsidP="009C7ED6">
      <w:pPr>
        <w:autoSpaceDE w:val="0"/>
        <w:autoSpaceDN w:val="0"/>
        <w:adjustRightInd w:val="0"/>
        <w:spacing w:after="0" w:line="360" w:lineRule="auto"/>
        <w:ind w:left="1440"/>
        <w:rPr>
          <w:rFonts w:ascii="Times New Roman" w:hAnsi="Times New Roman" w:cs="Times New Roman"/>
          <w:i/>
          <w:iCs/>
          <w:sz w:val="24"/>
          <w:szCs w:val="24"/>
        </w:rPr>
      </w:pPr>
      <w:r w:rsidRPr="009C7ED6">
        <w:rPr>
          <w:rFonts w:ascii="Times New Roman" w:hAnsi="Times New Roman" w:cs="Times New Roman"/>
          <w:i/>
          <w:iCs/>
          <w:sz w:val="24"/>
          <w:szCs w:val="24"/>
        </w:rPr>
        <w:t>within 35 days after service of the order giving permission.</w:t>
      </w:r>
    </w:p>
    <w:p w14:paraId="1DF7D8A1" w14:textId="77777777" w:rsidR="009C7ED6" w:rsidRDefault="009C7ED6" w:rsidP="009C7ED6">
      <w:pPr>
        <w:autoSpaceDE w:val="0"/>
        <w:autoSpaceDN w:val="0"/>
        <w:adjustRightInd w:val="0"/>
        <w:spacing w:after="0" w:line="360" w:lineRule="auto"/>
        <w:rPr>
          <w:rFonts w:ascii="Times New Roman" w:hAnsi="Times New Roman" w:cs="Times New Roman"/>
          <w:sz w:val="24"/>
          <w:szCs w:val="24"/>
        </w:rPr>
      </w:pPr>
    </w:p>
    <w:p w14:paraId="1DF7D8A2" w14:textId="77777777" w:rsidR="006A763A" w:rsidRDefault="006A763A" w:rsidP="009D0ADD">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t>This standard 35-day timetable will not apply if the Judge when granting</w:t>
      </w:r>
      <w:r w:rsidR="009C7ED6">
        <w:rPr>
          <w:rFonts w:ascii="Times New Roman" w:hAnsi="Times New Roman" w:cs="Times New Roman"/>
          <w:sz w:val="24"/>
          <w:szCs w:val="24"/>
        </w:rPr>
        <w:t xml:space="preserve"> </w:t>
      </w:r>
      <w:r w:rsidRPr="009C7ED6">
        <w:rPr>
          <w:rFonts w:ascii="Times New Roman" w:hAnsi="Times New Roman" w:cs="Times New Roman"/>
          <w:sz w:val="24"/>
          <w:szCs w:val="24"/>
        </w:rPr>
        <w:t>permission has made bespoke directions setting a different timetable.</w:t>
      </w:r>
    </w:p>
    <w:p w14:paraId="1DF7D8A3" w14:textId="77777777" w:rsidR="009C7ED6" w:rsidRDefault="009C7ED6" w:rsidP="009D0ADD">
      <w:pPr>
        <w:pStyle w:val="ListParagraph"/>
        <w:autoSpaceDE w:val="0"/>
        <w:autoSpaceDN w:val="0"/>
        <w:adjustRightInd w:val="0"/>
        <w:spacing w:after="0" w:line="360" w:lineRule="auto"/>
        <w:jc w:val="both"/>
        <w:rPr>
          <w:rFonts w:ascii="Times New Roman" w:hAnsi="Times New Roman" w:cs="Times New Roman"/>
          <w:sz w:val="24"/>
          <w:szCs w:val="24"/>
        </w:rPr>
      </w:pPr>
    </w:p>
    <w:p w14:paraId="1DF7D8A4" w14:textId="2061B241" w:rsidR="009C7ED6" w:rsidRPr="009C7ED6" w:rsidRDefault="006A763A" w:rsidP="009D0ADD">
      <w:pPr>
        <w:pStyle w:val="ListParagraph"/>
        <w:numPr>
          <w:ilvl w:val="0"/>
          <w:numId w:val="31"/>
        </w:numPr>
        <w:autoSpaceDE w:val="0"/>
        <w:autoSpaceDN w:val="0"/>
        <w:adjustRightInd w:val="0"/>
        <w:spacing w:after="0" w:line="360" w:lineRule="auto"/>
        <w:jc w:val="both"/>
        <w:rPr>
          <w:rFonts w:ascii="Arial" w:hAnsi="Arial" w:cs="Arial"/>
          <w:sz w:val="24"/>
          <w:szCs w:val="24"/>
        </w:rPr>
      </w:pPr>
      <w:r w:rsidRPr="009C7ED6">
        <w:rPr>
          <w:rFonts w:ascii="Times New Roman" w:hAnsi="Times New Roman" w:cs="Times New Roman"/>
          <w:sz w:val="24"/>
          <w:szCs w:val="24"/>
        </w:rPr>
        <w:t>CPR Part 54 does not explicitly envisage Claimants responding to the Detailed</w:t>
      </w:r>
      <w:r w:rsidR="009C7ED6">
        <w:rPr>
          <w:rFonts w:ascii="Times New Roman" w:hAnsi="Times New Roman" w:cs="Times New Roman"/>
          <w:sz w:val="24"/>
          <w:szCs w:val="24"/>
        </w:rPr>
        <w:t xml:space="preserve"> </w:t>
      </w:r>
      <w:r w:rsidRPr="009C7ED6">
        <w:rPr>
          <w:rFonts w:ascii="Times New Roman" w:hAnsi="Times New Roman" w:cs="Times New Roman"/>
          <w:sz w:val="24"/>
          <w:szCs w:val="24"/>
        </w:rPr>
        <w:t>Grounds and evidence. However, it is now</w:t>
      </w:r>
      <w:r w:rsidR="009C7ED6">
        <w:rPr>
          <w:rFonts w:ascii="Times New Roman" w:hAnsi="Times New Roman" w:cs="Times New Roman"/>
          <w:sz w:val="24"/>
          <w:szCs w:val="24"/>
        </w:rPr>
        <w:t xml:space="preserve"> </w:t>
      </w:r>
      <w:r w:rsidRPr="009C7ED6">
        <w:rPr>
          <w:rFonts w:ascii="Times New Roman" w:hAnsi="Times New Roman" w:cs="Times New Roman"/>
          <w:sz w:val="24"/>
          <w:szCs w:val="24"/>
        </w:rPr>
        <w:t>increasingly common for the Permission Judge to build into the timetable an</w:t>
      </w:r>
      <w:r w:rsidR="009C7ED6">
        <w:rPr>
          <w:rFonts w:ascii="Times New Roman" w:hAnsi="Times New Roman" w:cs="Times New Roman"/>
          <w:sz w:val="24"/>
          <w:szCs w:val="24"/>
        </w:rPr>
        <w:t xml:space="preserve"> </w:t>
      </w:r>
      <w:r w:rsidRPr="009C7ED6">
        <w:rPr>
          <w:rFonts w:ascii="Times New Roman" w:hAnsi="Times New Roman" w:cs="Times New Roman"/>
          <w:sz w:val="24"/>
          <w:szCs w:val="24"/>
        </w:rPr>
        <w:t>opportunity for the Claimant to respond to the Detailed Grounds and file any</w:t>
      </w:r>
      <w:r w:rsidR="009C7ED6">
        <w:rPr>
          <w:rFonts w:ascii="Times New Roman" w:hAnsi="Times New Roman" w:cs="Times New Roman"/>
          <w:sz w:val="24"/>
          <w:szCs w:val="24"/>
        </w:rPr>
        <w:t xml:space="preserve"> </w:t>
      </w:r>
      <w:r w:rsidRPr="009C7ED6">
        <w:rPr>
          <w:rFonts w:ascii="Times New Roman" w:hAnsi="Times New Roman" w:cs="Times New Roman"/>
          <w:sz w:val="24"/>
          <w:szCs w:val="24"/>
        </w:rPr>
        <w:t>further evidence</w:t>
      </w:r>
      <w:r w:rsidR="009D0ADD">
        <w:rPr>
          <w:rFonts w:ascii="Times New Roman" w:hAnsi="Times New Roman" w:cs="Times New Roman"/>
          <w:sz w:val="24"/>
          <w:szCs w:val="24"/>
        </w:rPr>
        <w:t>. I</w:t>
      </w:r>
      <w:r w:rsidRPr="009C7ED6">
        <w:rPr>
          <w:rFonts w:ascii="Times New Roman" w:hAnsi="Times New Roman" w:cs="Times New Roman"/>
          <w:sz w:val="24"/>
          <w:szCs w:val="24"/>
        </w:rPr>
        <w:t>f acting for a Claimant, it is sensible to request that this</w:t>
      </w:r>
      <w:r w:rsidR="009C7ED6">
        <w:rPr>
          <w:rFonts w:ascii="Times New Roman" w:hAnsi="Times New Roman" w:cs="Times New Roman"/>
          <w:sz w:val="24"/>
          <w:szCs w:val="24"/>
        </w:rPr>
        <w:t xml:space="preserve"> </w:t>
      </w:r>
      <w:r w:rsidRPr="009C7ED6">
        <w:rPr>
          <w:rFonts w:ascii="Times New Roman" w:hAnsi="Times New Roman" w:cs="Times New Roman"/>
          <w:sz w:val="24"/>
          <w:szCs w:val="24"/>
        </w:rPr>
        <w:t>be provided for in the order granting permission</w:t>
      </w:r>
      <w:r w:rsidR="009D0ADD">
        <w:rPr>
          <w:rFonts w:ascii="Times New Roman" w:hAnsi="Times New Roman" w:cs="Times New Roman"/>
          <w:sz w:val="24"/>
          <w:szCs w:val="24"/>
        </w:rPr>
        <w:t xml:space="preserve"> – bear this in mind as in most cases it should be built into your initial drafting when preparing the Claim Form and Statement of Facts and Grounds, at the outset of the claim</w:t>
      </w:r>
      <w:r w:rsidRPr="009C7ED6">
        <w:rPr>
          <w:rFonts w:ascii="Times New Roman" w:hAnsi="Times New Roman" w:cs="Times New Roman"/>
          <w:sz w:val="24"/>
          <w:szCs w:val="24"/>
        </w:rPr>
        <w:t xml:space="preserve">. </w:t>
      </w:r>
    </w:p>
    <w:p w14:paraId="1DF7D8A5" w14:textId="77777777" w:rsidR="009C7ED6" w:rsidRPr="009C7ED6" w:rsidRDefault="009C7ED6" w:rsidP="009D0ADD">
      <w:pPr>
        <w:pStyle w:val="ListParagraph"/>
        <w:spacing w:after="0" w:line="360" w:lineRule="auto"/>
        <w:jc w:val="both"/>
        <w:rPr>
          <w:rFonts w:ascii="Arial" w:hAnsi="Arial" w:cs="Arial"/>
          <w:sz w:val="24"/>
          <w:szCs w:val="24"/>
        </w:rPr>
      </w:pPr>
    </w:p>
    <w:p w14:paraId="1DF7D8A6" w14:textId="77777777" w:rsidR="006A763A" w:rsidRDefault="006A763A" w:rsidP="009D0ADD">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C7ED6">
        <w:rPr>
          <w:rFonts w:ascii="Times New Roman" w:hAnsi="Times New Roman" w:cs="Times New Roman"/>
          <w:sz w:val="24"/>
          <w:szCs w:val="24"/>
        </w:rPr>
        <w:t>Listing is dealt with in more detail below. However, if the claim is urgent, and</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the permission order recognises this, then steps should be taken very</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promptly after the grant of permission to ensure that a speedy listing is</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secured. In such cases, it is sensible for the Claimant’s solicitor to contact the</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Administrative Court list office (if in London – 020 7947 6655 – select option 3)</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 xml:space="preserve">or the nominated court lawyer. The solicitor can </w:t>
      </w:r>
      <w:r w:rsidRPr="009C7ED6">
        <w:rPr>
          <w:rFonts w:ascii="Times New Roman" w:hAnsi="Times New Roman" w:cs="Times New Roman"/>
          <w:sz w:val="24"/>
          <w:szCs w:val="24"/>
        </w:rPr>
        <w:lastRenderedPageBreak/>
        <w:t>emphasise the need for an</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urgent hearing, as per the Permission Judge’s order, and press to secure a</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speedy listing. It will usually be the Claimant’s solicitor who is anxious to</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ensure that the case gets listed promptly, although in some cases the</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Defendant may wish to take these steps (for example where there is costly</w:t>
      </w:r>
      <w:r w:rsidR="009C7ED6" w:rsidRPr="009C7ED6">
        <w:rPr>
          <w:rFonts w:ascii="Times New Roman" w:hAnsi="Times New Roman" w:cs="Times New Roman"/>
          <w:sz w:val="24"/>
          <w:szCs w:val="24"/>
        </w:rPr>
        <w:t xml:space="preserve"> </w:t>
      </w:r>
      <w:r w:rsidRPr="009C7ED6">
        <w:rPr>
          <w:rFonts w:ascii="Times New Roman" w:hAnsi="Times New Roman" w:cs="Times New Roman"/>
          <w:sz w:val="24"/>
          <w:szCs w:val="24"/>
        </w:rPr>
        <w:t>interim relief in place).</w:t>
      </w:r>
    </w:p>
    <w:p w14:paraId="1DF7D8A7" w14:textId="77777777" w:rsidR="006F53FC" w:rsidRPr="006F53FC" w:rsidRDefault="006F53FC" w:rsidP="006F53FC">
      <w:pPr>
        <w:pStyle w:val="ListParagraph"/>
        <w:rPr>
          <w:rFonts w:ascii="Times New Roman" w:hAnsi="Times New Roman" w:cs="Times New Roman"/>
          <w:sz w:val="24"/>
          <w:szCs w:val="24"/>
        </w:rPr>
      </w:pPr>
    </w:p>
    <w:p w14:paraId="1DF7D8A8" w14:textId="77777777" w:rsidR="006A763A" w:rsidRDefault="006A763A" w:rsidP="006F53F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F53FC">
        <w:rPr>
          <w:rFonts w:ascii="Times New Roman" w:hAnsi="Times New Roman" w:cs="Times New Roman"/>
          <w:sz w:val="24"/>
          <w:szCs w:val="24"/>
        </w:rPr>
        <w:t>In other cases, the list office will usually contact counsels’ clerks to discuss</w:t>
      </w:r>
      <w:r w:rsidR="006F53FC" w:rsidRPr="006F53FC">
        <w:rPr>
          <w:rFonts w:ascii="Times New Roman" w:hAnsi="Times New Roman" w:cs="Times New Roman"/>
          <w:sz w:val="24"/>
          <w:szCs w:val="24"/>
        </w:rPr>
        <w:t xml:space="preserve"> </w:t>
      </w:r>
      <w:r w:rsidRPr="006F53FC">
        <w:rPr>
          <w:rFonts w:ascii="Times New Roman" w:hAnsi="Times New Roman" w:cs="Times New Roman"/>
          <w:sz w:val="24"/>
          <w:szCs w:val="24"/>
        </w:rPr>
        <w:t>listing dates a number of weeks or months after permission has been granted.</w:t>
      </w:r>
    </w:p>
    <w:p w14:paraId="1DF7D8A9" w14:textId="77777777" w:rsidR="006F53FC" w:rsidRDefault="006F53FC" w:rsidP="006F53FC">
      <w:pPr>
        <w:ind w:left="360"/>
        <w:rPr>
          <w:rFonts w:ascii="Times New Roman" w:hAnsi="Times New Roman" w:cs="Times New Roman"/>
          <w:sz w:val="24"/>
          <w:szCs w:val="24"/>
        </w:rPr>
      </w:pPr>
    </w:p>
    <w:p w14:paraId="1DF7D8AA" w14:textId="3964A94E" w:rsidR="006F53FC" w:rsidRPr="009D0ADD" w:rsidRDefault="006F53FC" w:rsidP="006F53FC">
      <w:pPr>
        <w:pStyle w:val="ListParagraph"/>
        <w:numPr>
          <w:ilvl w:val="0"/>
          <w:numId w:val="30"/>
        </w:numPr>
        <w:jc w:val="center"/>
        <w:rPr>
          <w:rFonts w:ascii="Times New Roman Bold" w:hAnsi="Times New Roman Bold" w:cs="Times New Roman"/>
          <w:b/>
          <w:smallCaps/>
          <w:sz w:val="24"/>
          <w:szCs w:val="24"/>
        </w:rPr>
      </w:pPr>
      <w:r w:rsidRPr="009D0ADD">
        <w:rPr>
          <w:rFonts w:ascii="Times New Roman Bold" w:hAnsi="Times New Roman Bold" w:cs="Times New Roman"/>
          <w:b/>
          <w:smallCaps/>
          <w:sz w:val="24"/>
          <w:szCs w:val="24"/>
        </w:rPr>
        <w:t>I</w:t>
      </w:r>
      <w:r w:rsidR="009D0ADD">
        <w:rPr>
          <w:rFonts w:ascii="Times New Roman Bold" w:hAnsi="Times New Roman Bold" w:cs="Times New Roman"/>
          <w:b/>
          <w:smallCaps/>
          <w:sz w:val="24"/>
          <w:szCs w:val="24"/>
        </w:rPr>
        <w:t xml:space="preserve">nterim </w:t>
      </w:r>
      <w:r w:rsidRPr="009D0ADD">
        <w:rPr>
          <w:rFonts w:ascii="Times New Roman Bold" w:hAnsi="Times New Roman Bold" w:cs="Times New Roman"/>
          <w:b/>
          <w:smallCaps/>
          <w:sz w:val="24"/>
          <w:szCs w:val="24"/>
        </w:rPr>
        <w:t>A</w:t>
      </w:r>
      <w:r w:rsidR="009D0ADD">
        <w:rPr>
          <w:rFonts w:ascii="Times New Roman Bold" w:hAnsi="Times New Roman Bold" w:cs="Times New Roman"/>
          <w:b/>
          <w:smallCaps/>
          <w:sz w:val="24"/>
          <w:szCs w:val="24"/>
        </w:rPr>
        <w:t xml:space="preserve">pplications </w:t>
      </w:r>
    </w:p>
    <w:p w14:paraId="1DF7D8AB" w14:textId="77777777" w:rsidR="006F53FC" w:rsidRDefault="006F53FC" w:rsidP="006F53FC">
      <w:pPr>
        <w:pStyle w:val="ListParagraph"/>
        <w:spacing w:after="0" w:line="360" w:lineRule="auto"/>
        <w:rPr>
          <w:rFonts w:ascii="Times New Roman" w:hAnsi="Times New Roman" w:cs="Times New Roman"/>
          <w:i/>
          <w:sz w:val="24"/>
          <w:szCs w:val="24"/>
        </w:rPr>
      </w:pPr>
    </w:p>
    <w:p w14:paraId="1DF7D8AC" w14:textId="77777777" w:rsidR="006F53FC" w:rsidRPr="006F53FC" w:rsidRDefault="006F53FC" w:rsidP="006F53FC">
      <w:pPr>
        <w:pStyle w:val="ListParagraph"/>
        <w:spacing w:after="0" w:line="360" w:lineRule="auto"/>
        <w:rPr>
          <w:rFonts w:ascii="Times New Roman" w:hAnsi="Times New Roman" w:cs="Times New Roman"/>
          <w:i/>
          <w:sz w:val="24"/>
          <w:szCs w:val="24"/>
        </w:rPr>
      </w:pPr>
      <w:r w:rsidRPr="006F53FC">
        <w:rPr>
          <w:rFonts w:ascii="Times New Roman" w:hAnsi="Times New Roman" w:cs="Times New Roman"/>
          <w:i/>
          <w:sz w:val="24"/>
          <w:szCs w:val="24"/>
        </w:rPr>
        <w:t>Further evidence and amendment of the Claimant’s case</w:t>
      </w:r>
    </w:p>
    <w:p w14:paraId="75607034" w14:textId="77777777" w:rsidR="00593FBC" w:rsidRDefault="00E94324" w:rsidP="006F53F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F53FC">
        <w:rPr>
          <w:rFonts w:ascii="Times New Roman" w:hAnsi="Times New Roman" w:cs="Times New Roman"/>
          <w:sz w:val="24"/>
          <w:szCs w:val="24"/>
        </w:rPr>
        <w:t>Part 54</w:t>
      </w:r>
      <w:r w:rsidR="006F53FC">
        <w:rPr>
          <w:rFonts w:ascii="Times New Roman" w:hAnsi="Times New Roman" w:cs="Times New Roman"/>
          <w:sz w:val="24"/>
          <w:szCs w:val="24"/>
        </w:rPr>
        <w:t xml:space="preserve"> CPR</w:t>
      </w:r>
      <w:r w:rsidRPr="006F53FC">
        <w:rPr>
          <w:rFonts w:ascii="Times New Roman" w:hAnsi="Times New Roman" w:cs="Times New Roman"/>
          <w:sz w:val="24"/>
          <w:szCs w:val="24"/>
        </w:rPr>
        <w:t xml:space="preserve"> contemplates that the evidence and issues will crystallise </w:t>
      </w:r>
      <w:r w:rsidR="00593FBC">
        <w:rPr>
          <w:rFonts w:ascii="Times New Roman" w:hAnsi="Times New Roman" w:cs="Times New Roman"/>
          <w:sz w:val="24"/>
          <w:szCs w:val="24"/>
        </w:rPr>
        <w:t>at the time of the Defendant’s Detailed G</w:t>
      </w:r>
      <w:r w:rsidRPr="006F53FC">
        <w:rPr>
          <w:rFonts w:ascii="Times New Roman" w:hAnsi="Times New Roman" w:cs="Times New Roman"/>
          <w:sz w:val="24"/>
          <w:szCs w:val="24"/>
        </w:rPr>
        <w:t xml:space="preserve">rounds and evidence. </w:t>
      </w:r>
    </w:p>
    <w:p w14:paraId="6FA18212" w14:textId="77777777" w:rsidR="00593FBC" w:rsidRDefault="00593FBC" w:rsidP="00593FBC">
      <w:pPr>
        <w:pStyle w:val="ListParagraph"/>
        <w:autoSpaceDE w:val="0"/>
        <w:autoSpaceDN w:val="0"/>
        <w:adjustRightInd w:val="0"/>
        <w:spacing w:after="0" w:line="360" w:lineRule="auto"/>
        <w:jc w:val="both"/>
        <w:rPr>
          <w:rFonts w:ascii="Times New Roman" w:hAnsi="Times New Roman" w:cs="Times New Roman"/>
          <w:sz w:val="24"/>
          <w:szCs w:val="24"/>
        </w:rPr>
      </w:pPr>
    </w:p>
    <w:p w14:paraId="1DF7D8AD" w14:textId="0FBD6392" w:rsidR="006F53FC" w:rsidRDefault="00E94324" w:rsidP="00593FB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F53FC">
        <w:rPr>
          <w:rFonts w:ascii="Times New Roman" w:hAnsi="Times New Roman" w:cs="Times New Roman"/>
          <w:sz w:val="24"/>
          <w:szCs w:val="24"/>
        </w:rPr>
        <w:t xml:space="preserve">The rules do not provide for the Claimant to </w:t>
      </w:r>
      <w:r w:rsidR="006F53FC">
        <w:rPr>
          <w:rFonts w:ascii="Times New Roman" w:hAnsi="Times New Roman" w:cs="Times New Roman"/>
          <w:sz w:val="24"/>
          <w:szCs w:val="24"/>
        </w:rPr>
        <w:t xml:space="preserve">serve evidence in response and in many cases </w:t>
      </w:r>
      <w:r w:rsidRPr="006F53FC">
        <w:rPr>
          <w:rFonts w:ascii="Times New Roman" w:hAnsi="Times New Roman" w:cs="Times New Roman"/>
          <w:sz w:val="24"/>
          <w:szCs w:val="24"/>
        </w:rPr>
        <w:t>this will be unnecessary</w:t>
      </w:r>
      <w:r w:rsidR="006F53FC">
        <w:rPr>
          <w:rFonts w:ascii="Times New Roman" w:hAnsi="Times New Roman" w:cs="Times New Roman"/>
          <w:sz w:val="24"/>
          <w:szCs w:val="24"/>
        </w:rPr>
        <w:t>, although increasingly provision is made at permission stage for further evidence and a reply, and it is prudent for Claimants to seek this from the outset in order to preserve their positions and to enable them to address unexpected issues without the need for a further application</w:t>
      </w:r>
      <w:r w:rsidRPr="006F53FC">
        <w:rPr>
          <w:rFonts w:ascii="Times New Roman" w:hAnsi="Times New Roman" w:cs="Times New Roman"/>
          <w:sz w:val="24"/>
          <w:szCs w:val="24"/>
        </w:rPr>
        <w:t xml:space="preserve">. </w:t>
      </w:r>
    </w:p>
    <w:p w14:paraId="1DF7D8AE" w14:textId="77777777" w:rsidR="006F53FC" w:rsidRDefault="006F53FC" w:rsidP="00593FBC">
      <w:pPr>
        <w:pStyle w:val="ListParagraph"/>
        <w:autoSpaceDE w:val="0"/>
        <w:autoSpaceDN w:val="0"/>
        <w:adjustRightInd w:val="0"/>
        <w:spacing w:after="0" w:line="360" w:lineRule="auto"/>
        <w:jc w:val="both"/>
        <w:rPr>
          <w:rFonts w:ascii="Times New Roman" w:hAnsi="Times New Roman" w:cs="Times New Roman"/>
          <w:sz w:val="24"/>
          <w:szCs w:val="24"/>
        </w:rPr>
      </w:pPr>
    </w:p>
    <w:p w14:paraId="1DF7D8AF" w14:textId="77777777" w:rsidR="00E94324" w:rsidRDefault="00E94324" w:rsidP="00593FB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F53FC">
        <w:rPr>
          <w:rFonts w:ascii="Times New Roman" w:hAnsi="Times New Roman" w:cs="Times New Roman"/>
          <w:sz w:val="24"/>
          <w:szCs w:val="24"/>
        </w:rPr>
        <w:t>Permission may be given for further evidence under Part 54.16.</w:t>
      </w:r>
    </w:p>
    <w:p w14:paraId="1DF7D8B0" w14:textId="77777777" w:rsidR="006F53FC" w:rsidRPr="006F53FC" w:rsidRDefault="006F53FC" w:rsidP="00593FBC">
      <w:pPr>
        <w:pStyle w:val="ListParagraph"/>
        <w:spacing w:after="0" w:line="360" w:lineRule="auto"/>
        <w:rPr>
          <w:rFonts w:ascii="Times New Roman" w:hAnsi="Times New Roman" w:cs="Times New Roman"/>
          <w:sz w:val="24"/>
          <w:szCs w:val="24"/>
        </w:rPr>
      </w:pPr>
    </w:p>
    <w:p w14:paraId="4574F491" w14:textId="77777777" w:rsidR="00593FBC" w:rsidRPr="00593FBC" w:rsidRDefault="00E94324" w:rsidP="00593FBC">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6F53FC">
        <w:rPr>
          <w:rFonts w:ascii="Times New Roman" w:hAnsi="Times New Roman" w:cs="Times New Roman"/>
          <w:sz w:val="24"/>
          <w:szCs w:val="24"/>
        </w:rPr>
        <w:t>Permission is specifically required for any party to rely on expert evidence (even expert evidence relied on in the original grounds). This will not normally be heard live but CPR Part 35.4</w:t>
      </w:r>
      <w:r w:rsidR="00593FBC">
        <w:rPr>
          <w:rFonts w:ascii="Times New Roman" w:hAnsi="Times New Roman" w:cs="Times New Roman"/>
          <w:sz w:val="24"/>
          <w:szCs w:val="24"/>
        </w:rPr>
        <w:t>(1)</w:t>
      </w:r>
      <w:r w:rsidRPr="006F53FC">
        <w:rPr>
          <w:rFonts w:ascii="Times New Roman" w:hAnsi="Times New Roman" w:cs="Times New Roman"/>
          <w:sz w:val="24"/>
          <w:szCs w:val="24"/>
        </w:rPr>
        <w:t xml:space="preserve"> still applies: </w:t>
      </w:r>
      <w:r w:rsidRPr="006F53FC">
        <w:rPr>
          <w:rFonts w:ascii="Times New Roman" w:hAnsi="Times New Roman" w:cs="Times New Roman"/>
          <w:i/>
          <w:sz w:val="24"/>
          <w:szCs w:val="24"/>
        </w:rPr>
        <w:t>“no party may call an expert or put in evidence an expert’s report without the court’s permission”</w:t>
      </w:r>
      <w:r w:rsidR="00593FBC">
        <w:rPr>
          <w:rFonts w:ascii="Times New Roman" w:hAnsi="Times New Roman" w:cs="Times New Roman"/>
          <w:i/>
          <w:sz w:val="24"/>
          <w:szCs w:val="24"/>
        </w:rPr>
        <w:t xml:space="preserve"> (</w:t>
      </w:r>
      <w:r w:rsidRPr="006F53FC">
        <w:rPr>
          <w:rFonts w:ascii="Times New Roman" w:hAnsi="Times New Roman" w:cs="Times New Roman"/>
          <w:i/>
          <w:sz w:val="24"/>
          <w:szCs w:val="24"/>
        </w:rPr>
        <w:t>R</w:t>
      </w:r>
      <w:r w:rsidR="006F53FC">
        <w:rPr>
          <w:rFonts w:ascii="Times New Roman" w:hAnsi="Times New Roman" w:cs="Times New Roman"/>
          <w:i/>
          <w:sz w:val="24"/>
          <w:szCs w:val="24"/>
        </w:rPr>
        <w:t xml:space="preserve"> (</w:t>
      </w:r>
      <w:r w:rsidRPr="006F53FC">
        <w:rPr>
          <w:rFonts w:ascii="Times New Roman" w:hAnsi="Times New Roman" w:cs="Times New Roman"/>
          <w:i/>
          <w:sz w:val="24"/>
          <w:szCs w:val="24"/>
        </w:rPr>
        <w:t>Kemp</w:t>
      </w:r>
      <w:r w:rsidR="006F53FC">
        <w:rPr>
          <w:rFonts w:ascii="Times New Roman" w:hAnsi="Times New Roman" w:cs="Times New Roman"/>
          <w:i/>
          <w:sz w:val="24"/>
          <w:szCs w:val="24"/>
        </w:rPr>
        <w:t>)</w:t>
      </w:r>
      <w:r w:rsidRPr="006F53FC">
        <w:rPr>
          <w:rFonts w:ascii="Times New Roman" w:hAnsi="Times New Roman" w:cs="Times New Roman"/>
          <w:i/>
          <w:sz w:val="24"/>
          <w:szCs w:val="24"/>
        </w:rPr>
        <w:t xml:space="preserve"> v Denbighshire Local Health Board</w:t>
      </w:r>
      <w:r w:rsidR="00593FBC">
        <w:rPr>
          <w:rFonts w:ascii="Times New Roman" w:hAnsi="Times New Roman" w:cs="Times New Roman"/>
          <w:sz w:val="24"/>
          <w:szCs w:val="24"/>
        </w:rPr>
        <w:t xml:space="preserve"> [2006] EWHC 181 (Admin);</w:t>
      </w:r>
      <w:r w:rsidRPr="006F53FC">
        <w:rPr>
          <w:rFonts w:ascii="Times New Roman" w:hAnsi="Times New Roman" w:cs="Times New Roman"/>
          <w:sz w:val="24"/>
          <w:szCs w:val="24"/>
        </w:rPr>
        <w:t xml:space="preserve"> </w:t>
      </w:r>
      <w:r w:rsidRPr="006F53FC">
        <w:rPr>
          <w:rFonts w:ascii="Times New Roman" w:hAnsi="Times New Roman" w:cs="Times New Roman"/>
          <w:i/>
          <w:sz w:val="24"/>
          <w:szCs w:val="24"/>
        </w:rPr>
        <w:t xml:space="preserve">R (HK Bulgaria) v SSHD </w:t>
      </w:r>
      <w:r w:rsidRPr="006F53FC">
        <w:rPr>
          <w:rFonts w:ascii="Times New Roman" w:hAnsi="Times New Roman" w:cs="Times New Roman"/>
          <w:sz w:val="24"/>
          <w:szCs w:val="24"/>
        </w:rPr>
        <w:t xml:space="preserve"> [2016] EWHC 857 (Admin), Garnham J </w:t>
      </w:r>
      <w:r w:rsidR="006F53FC">
        <w:rPr>
          <w:rFonts w:ascii="Times New Roman" w:hAnsi="Times New Roman" w:cs="Times New Roman"/>
          <w:sz w:val="24"/>
          <w:szCs w:val="24"/>
        </w:rPr>
        <w:t>[</w:t>
      </w:r>
      <w:r w:rsidRPr="006F53FC">
        <w:rPr>
          <w:rFonts w:ascii="Times New Roman" w:hAnsi="Times New Roman" w:cs="Times New Roman"/>
          <w:sz w:val="24"/>
          <w:szCs w:val="24"/>
        </w:rPr>
        <w:t>10</w:t>
      </w:r>
      <w:r w:rsidR="006F53FC">
        <w:rPr>
          <w:rFonts w:ascii="Times New Roman" w:hAnsi="Times New Roman" w:cs="Times New Roman"/>
          <w:sz w:val="24"/>
          <w:szCs w:val="24"/>
        </w:rPr>
        <w:t>]</w:t>
      </w:r>
      <w:r w:rsidRPr="006F53FC">
        <w:rPr>
          <w:rFonts w:ascii="Times New Roman" w:hAnsi="Times New Roman" w:cs="Times New Roman"/>
          <w:sz w:val="24"/>
          <w:szCs w:val="24"/>
        </w:rPr>
        <w:t>-</w:t>
      </w:r>
      <w:r w:rsidR="006F53FC">
        <w:rPr>
          <w:rFonts w:ascii="Times New Roman" w:hAnsi="Times New Roman" w:cs="Times New Roman"/>
          <w:sz w:val="24"/>
          <w:szCs w:val="24"/>
        </w:rPr>
        <w:t>[</w:t>
      </w:r>
      <w:r w:rsidRPr="006F53FC">
        <w:rPr>
          <w:rFonts w:ascii="Times New Roman" w:hAnsi="Times New Roman" w:cs="Times New Roman"/>
          <w:sz w:val="24"/>
          <w:szCs w:val="24"/>
        </w:rPr>
        <w:t>18</w:t>
      </w:r>
      <w:r w:rsidR="006F53FC">
        <w:rPr>
          <w:rFonts w:ascii="Times New Roman" w:hAnsi="Times New Roman" w:cs="Times New Roman"/>
          <w:sz w:val="24"/>
          <w:szCs w:val="24"/>
        </w:rPr>
        <w:t>]</w:t>
      </w:r>
      <w:r w:rsidR="00593FBC">
        <w:rPr>
          <w:rFonts w:ascii="Times New Roman" w:hAnsi="Times New Roman" w:cs="Times New Roman"/>
          <w:sz w:val="24"/>
          <w:szCs w:val="24"/>
        </w:rPr>
        <w:t>)</w:t>
      </w:r>
      <w:r w:rsidRPr="006F53FC">
        <w:rPr>
          <w:rFonts w:ascii="Times New Roman" w:hAnsi="Times New Roman" w:cs="Times New Roman"/>
          <w:sz w:val="24"/>
          <w:szCs w:val="24"/>
        </w:rPr>
        <w:t>.</w:t>
      </w:r>
      <w:r w:rsidR="006F53FC">
        <w:rPr>
          <w:rFonts w:ascii="Times New Roman" w:hAnsi="Times New Roman" w:cs="Times New Roman"/>
          <w:sz w:val="24"/>
          <w:szCs w:val="24"/>
        </w:rPr>
        <w:t xml:space="preserve"> </w:t>
      </w:r>
      <w:r w:rsidRPr="006F53FC">
        <w:rPr>
          <w:rFonts w:ascii="Times New Roman" w:hAnsi="Times New Roman" w:cs="Times New Roman"/>
          <w:sz w:val="24"/>
          <w:szCs w:val="24"/>
        </w:rPr>
        <w:t xml:space="preserve"> </w:t>
      </w:r>
    </w:p>
    <w:p w14:paraId="32D74687" w14:textId="77777777" w:rsidR="00593FBC" w:rsidRPr="00593FBC" w:rsidRDefault="00593FBC" w:rsidP="00593FBC">
      <w:pPr>
        <w:pStyle w:val="ListParagraph"/>
        <w:rPr>
          <w:rFonts w:ascii="Times New Roman" w:hAnsi="Times New Roman" w:cs="Times New Roman"/>
          <w:sz w:val="24"/>
          <w:szCs w:val="24"/>
        </w:rPr>
      </w:pPr>
    </w:p>
    <w:p w14:paraId="1DF7D8B1" w14:textId="4FD4D9B6" w:rsidR="00E94324" w:rsidRPr="00593FBC" w:rsidRDefault="00593FBC" w:rsidP="0010461F">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593FBC">
        <w:rPr>
          <w:rFonts w:ascii="Times New Roman" w:hAnsi="Times New Roman" w:cs="Times New Roman"/>
          <w:sz w:val="24"/>
          <w:szCs w:val="24"/>
        </w:rPr>
        <w:t xml:space="preserve">In </w:t>
      </w:r>
      <w:r w:rsidR="00E94324" w:rsidRPr="00593FBC">
        <w:rPr>
          <w:rFonts w:ascii="Times New Roman" w:hAnsi="Times New Roman" w:cs="Times New Roman"/>
          <w:bCs/>
          <w:i/>
          <w:kern w:val="36"/>
          <w:sz w:val="24"/>
          <w:szCs w:val="24"/>
          <w:lang w:val="en-US"/>
        </w:rPr>
        <w:t>B</w:t>
      </w:r>
      <w:r w:rsidRPr="00593FBC">
        <w:rPr>
          <w:rFonts w:ascii="Times New Roman" w:hAnsi="Times New Roman" w:cs="Times New Roman"/>
          <w:bCs/>
          <w:i/>
          <w:kern w:val="36"/>
          <w:sz w:val="24"/>
          <w:szCs w:val="24"/>
          <w:lang w:val="en-US"/>
        </w:rPr>
        <w:t>y</w:t>
      </w:r>
      <w:r w:rsidR="00E94324" w:rsidRPr="00593FBC">
        <w:rPr>
          <w:rFonts w:ascii="Times New Roman" w:hAnsi="Times New Roman" w:cs="Times New Roman"/>
          <w:bCs/>
          <w:i/>
          <w:kern w:val="36"/>
          <w:sz w:val="24"/>
          <w:szCs w:val="24"/>
          <w:lang w:val="en-US"/>
        </w:rPr>
        <w:t xml:space="preserve"> Development Ltd v Covent Garden Market Authority</w:t>
      </w:r>
      <w:r w:rsidR="00E94324" w:rsidRPr="00593FBC">
        <w:rPr>
          <w:rFonts w:ascii="Times New Roman" w:hAnsi="Times New Roman" w:cs="Times New Roman"/>
          <w:sz w:val="24"/>
          <w:szCs w:val="24"/>
        </w:rPr>
        <w:t xml:space="preserve"> </w:t>
      </w:r>
      <w:r w:rsidRPr="00593FBC">
        <w:rPr>
          <w:rFonts w:ascii="Times New Roman" w:hAnsi="Times New Roman" w:cs="Times New Roman"/>
          <w:sz w:val="24"/>
          <w:szCs w:val="24"/>
        </w:rPr>
        <w:t xml:space="preserve">[2012] 145 Con. L. R. 102, </w:t>
      </w:r>
      <w:r w:rsidR="00E94324" w:rsidRPr="00593FBC">
        <w:rPr>
          <w:rFonts w:ascii="Times New Roman" w:hAnsi="Times New Roman" w:cs="Times New Roman"/>
          <w:sz w:val="24"/>
          <w:szCs w:val="24"/>
          <w:lang w:val="en-US"/>
        </w:rPr>
        <w:t>[2012] EWHC 2546 (TCC)</w:t>
      </w:r>
      <w:r w:rsidR="00E94324" w:rsidRPr="00593FBC">
        <w:rPr>
          <w:rFonts w:ascii="Times New Roman" w:hAnsi="Times New Roman" w:cs="Times New Roman"/>
          <w:sz w:val="24"/>
          <w:szCs w:val="24"/>
        </w:rPr>
        <w:t xml:space="preserve"> </w:t>
      </w:r>
      <w:r w:rsidRPr="00593FBC">
        <w:rPr>
          <w:rFonts w:ascii="Times New Roman" w:hAnsi="Times New Roman" w:cs="Times New Roman"/>
          <w:sz w:val="24"/>
          <w:szCs w:val="24"/>
        </w:rPr>
        <w:t xml:space="preserve">Coulson J </w:t>
      </w:r>
      <w:r w:rsidR="00E94324" w:rsidRPr="00593FBC">
        <w:rPr>
          <w:rFonts w:ascii="Times New Roman" w:hAnsi="Times New Roman" w:cs="Times New Roman"/>
          <w:sz w:val="24"/>
          <w:szCs w:val="24"/>
        </w:rPr>
        <w:t>explain</w:t>
      </w:r>
      <w:r w:rsidRPr="00593FBC">
        <w:rPr>
          <w:rFonts w:ascii="Times New Roman" w:hAnsi="Times New Roman" w:cs="Times New Roman"/>
          <w:sz w:val="24"/>
          <w:szCs w:val="24"/>
        </w:rPr>
        <w:t>ed</w:t>
      </w:r>
      <w:r w:rsidR="00E94324" w:rsidRPr="00593FBC">
        <w:rPr>
          <w:rFonts w:ascii="Times New Roman" w:hAnsi="Times New Roman" w:cs="Times New Roman"/>
          <w:sz w:val="24"/>
          <w:szCs w:val="24"/>
        </w:rPr>
        <w:t xml:space="preserve"> that expert evidence is rarely needed or relevant in judicial review claim</w:t>
      </w:r>
      <w:r w:rsidR="00E94324" w:rsidRPr="00593FBC">
        <w:rPr>
          <w:rFonts w:ascii="Times New Roman" w:hAnsi="Times New Roman"/>
          <w:sz w:val="24"/>
          <w:szCs w:val="24"/>
        </w:rPr>
        <w:t xml:space="preserve"> where the court is not the primary decision-maker</w:t>
      </w:r>
      <w:r w:rsidRPr="00593FBC">
        <w:rPr>
          <w:rFonts w:ascii="Times New Roman" w:hAnsi="Times New Roman"/>
          <w:sz w:val="24"/>
          <w:szCs w:val="24"/>
        </w:rPr>
        <w:t xml:space="preserve"> (see [12]: </w:t>
      </w:r>
      <w:r w:rsidRPr="00593FBC">
        <w:rPr>
          <w:rFonts w:ascii="Times New Roman" w:hAnsi="Times New Roman"/>
          <w:i/>
          <w:sz w:val="24"/>
          <w:szCs w:val="24"/>
        </w:rPr>
        <w:t>“</w:t>
      </w:r>
      <w:r w:rsidRPr="00593FBC">
        <w:rPr>
          <w:rFonts w:ascii="Times New Roman" w:eastAsia="Times New Roman" w:hAnsi="Times New Roman" w:cs="Times New Roman"/>
          <w:i/>
          <w:sz w:val="24"/>
          <w:szCs w:val="24"/>
          <w:lang w:eastAsia="en-GB"/>
        </w:rPr>
        <w:t xml:space="preserve">In domestic judicial review proceedings, it is very rare for expert evidence to be </w:t>
      </w:r>
      <w:r w:rsidRPr="00593FBC">
        <w:rPr>
          <w:rFonts w:ascii="Times New Roman" w:eastAsia="Times New Roman" w:hAnsi="Times New Roman" w:cs="Times New Roman"/>
          <w:i/>
          <w:sz w:val="24"/>
          <w:szCs w:val="24"/>
          <w:lang w:eastAsia="en-GB"/>
        </w:rPr>
        <w:lastRenderedPageBreak/>
        <w:t>either relevant or admissible</w:t>
      </w:r>
      <w:r w:rsidRPr="00593FBC">
        <w:rPr>
          <w:rFonts w:ascii="Times New Roman" w:eastAsia="Times New Roman" w:hAnsi="Times New Roman" w:cs="Times New Roman"/>
          <w:sz w:val="24"/>
          <w:szCs w:val="24"/>
          <w:lang w:eastAsia="en-GB"/>
        </w:rPr>
        <w:t xml:space="preserve">,” citing Collins J in  </w:t>
      </w:r>
      <w:r w:rsidRPr="00593FBC">
        <w:rPr>
          <w:rFonts w:ascii="Times New Roman" w:eastAsia="Times New Roman" w:hAnsi="Times New Roman" w:cs="Times New Roman"/>
          <w:i/>
          <w:sz w:val="24"/>
          <w:szCs w:val="24"/>
          <w:lang w:eastAsia="en-GB"/>
        </w:rPr>
        <w:t>R (Lynch) v General Dental Council</w:t>
      </w:r>
      <w:r w:rsidRPr="00593FBC">
        <w:rPr>
          <w:rFonts w:ascii="Times New Roman" w:eastAsia="Times New Roman" w:hAnsi="Times New Roman" w:cs="Times New Roman"/>
          <w:sz w:val="24"/>
          <w:szCs w:val="24"/>
          <w:lang w:eastAsia="en-GB"/>
        </w:rPr>
        <w:t xml:space="preserve"> [2003] EWHC 2987 (Admin)). </w:t>
      </w:r>
      <w:r w:rsidR="00E94324" w:rsidRPr="00593FBC">
        <w:rPr>
          <w:rFonts w:ascii="Times New Roman" w:hAnsi="Times New Roman"/>
          <w:sz w:val="24"/>
          <w:szCs w:val="24"/>
        </w:rPr>
        <w:t xml:space="preserve">Note the criticism of late and inappropriate expert evidence in </w:t>
      </w:r>
      <w:r w:rsidR="00E94324" w:rsidRPr="00593FBC">
        <w:rPr>
          <w:rFonts w:ascii="Times New Roman" w:hAnsi="Times New Roman"/>
          <w:i/>
          <w:sz w:val="24"/>
          <w:szCs w:val="24"/>
        </w:rPr>
        <w:t xml:space="preserve">JG v Lancashire CC </w:t>
      </w:r>
      <w:r w:rsidR="006F53FC" w:rsidRPr="00593FBC">
        <w:rPr>
          <w:rFonts w:ascii="Times New Roman" w:hAnsi="Times New Roman"/>
          <w:sz w:val="24"/>
          <w:szCs w:val="24"/>
        </w:rPr>
        <w:t>[2011] EWHC 2295 (Admin) at</w:t>
      </w:r>
      <w:r w:rsidR="00E94324" w:rsidRPr="00593FBC">
        <w:rPr>
          <w:rFonts w:ascii="Times New Roman" w:hAnsi="Times New Roman"/>
          <w:sz w:val="24"/>
          <w:szCs w:val="24"/>
        </w:rPr>
        <w:t xml:space="preserve"> </w:t>
      </w:r>
      <w:r w:rsidR="006F53FC" w:rsidRPr="00593FBC">
        <w:rPr>
          <w:rFonts w:ascii="Times New Roman" w:hAnsi="Times New Roman"/>
          <w:sz w:val="24"/>
          <w:szCs w:val="24"/>
        </w:rPr>
        <w:t>[</w:t>
      </w:r>
      <w:r w:rsidR="00E94324" w:rsidRPr="00593FBC">
        <w:rPr>
          <w:rFonts w:ascii="Times New Roman" w:hAnsi="Times New Roman"/>
          <w:sz w:val="24"/>
          <w:szCs w:val="24"/>
        </w:rPr>
        <w:t>59</w:t>
      </w:r>
      <w:r w:rsidR="006F53FC" w:rsidRPr="00593FBC">
        <w:rPr>
          <w:rFonts w:ascii="Times New Roman" w:hAnsi="Times New Roman"/>
          <w:sz w:val="24"/>
          <w:szCs w:val="24"/>
        </w:rPr>
        <w:t>]</w:t>
      </w:r>
      <w:r>
        <w:rPr>
          <w:rFonts w:ascii="Times New Roman" w:hAnsi="Times New Roman"/>
          <w:sz w:val="24"/>
          <w:szCs w:val="24"/>
        </w:rPr>
        <w:t xml:space="preserve">; and note the discussion of expert evidence at the High Court stage of </w:t>
      </w:r>
      <w:r w:rsidRPr="00593FBC">
        <w:rPr>
          <w:rFonts w:ascii="Times New Roman" w:hAnsi="Times New Roman"/>
          <w:i/>
          <w:sz w:val="24"/>
          <w:szCs w:val="24"/>
        </w:rPr>
        <w:t>R (AB) v SSJ</w:t>
      </w:r>
      <w:r>
        <w:rPr>
          <w:rFonts w:ascii="Times New Roman" w:hAnsi="Times New Roman"/>
          <w:sz w:val="24"/>
          <w:szCs w:val="24"/>
        </w:rPr>
        <w:t xml:space="preserve"> [2017] 4 WLR 153, [2017] EWHC 1694 (Admin), per </w:t>
      </w:r>
      <w:proofErr w:type="spellStart"/>
      <w:r>
        <w:rPr>
          <w:rFonts w:ascii="Times New Roman" w:hAnsi="Times New Roman"/>
          <w:sz w:val="24"/>
          <w:szCs w:val="24"/>
        </w:rPr>
        <w:t>Ouseley</w:t>
      </w:r>
      <w:proofErr w:type="spellEnd"/>
      <w:r>
        <w:rPr>
          <w:rFonts w:ascii="Times New Roman" w:hAnsi="Times New Roman"/>
          <w:sz w:val="24"/>
          <w:szCs w:val="24"/>
        </w:rPr>
        <w:t xml:space="preserve"> J (the case is currently under appeal, and expert evidence has again been relied upon before the Court of Appeal).</w:t>
      </w:r>
      <w:r w:rsidR="00E94324" w:rsidRPr="00593FBC">
        <w:rPr>
          <w:rFonts w:ascii="Times New Roman" w:hAnsi="Times New Roman"/>
          <w:sz w:val="24"/>
          <w:szCs w:val="24"/>
        </w:rPr>
        <w:t xml:space="preserve"> </w:t>
      </w:r>
    </w:p>
    <w:p w14:paraId="1DF7D8B2" w14:textId="77777777" w:rsidR="006F53FC" w:rsidRPr="006F53FC" w:rsidRDefault="006F53FC" w:rsidP="006F53FC">
      <w:pPr>
        <w:pStyle w:val="ListParagraph"/>
        <w:rPr>
          <w:rFonts w:ascii="Times New Roman" w:hAnsi="Times New Roman" w:cs="Times New Roman"/>
          <w:sz w:val="24"/>
          <w:szCs w:val="24"/>
        </w:rPr>
      </w:pPr>
    </w:p>
    <w:p w14:paraId="1DF7D8B3" w14:textId="77777777" w:rsidR="006F53FC" w:rsidRPr="006F53FC" w:rsidRDefault="00E94324" w:rsidP="006F53F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F53FC">
        <w:rPr>
          <w:rFonts w:ascii="Times New Roman" w:hAnsi="Times New Roman"/>
          <w:sz w:val="24"/>
          <w:szCs w:val="24"/>
          <w:lang w:val="en-US"/>
        </w:rPr>
        <w:t>In practice most applications to admit further evidence are dealt with by consent. The parties will often provide the court with evidence bringing the facts up to da</w:t>
      </w:r>
      <w:r w:rsidR="006F53FC">
        <w:rPr>
          <w:rFonts w:ascii="Times New Roman" w:hAnsi="Times New Roman"/>
          <w:sz w:val="24"/>
          <w:szCs w:val="24"/>
          <w:lang w:val="en-US"/>
        </w:rPr>
        <w:t>te at the time of the hearing. Indeed, t</w:t>
      </w:r>
      <w:r w:rsidRPr="006F53FC">
        <w:rPr>
          <w:rFonts w:ascii="Times New Roman" w:hAnsi="Times New Roman"/>
          <w:sz w:val="24"/>
          <w:szCs w:val="24"/>
          <w:lang w:val="en-US"/>
        </w:rPr>
        <w:t xml:space="preserve">hey may be under a duty to do so to comply with the duty of </w:t>
      </w:r>
      <w:proofErr w:type="spellStart"/>
      <w:r w:rsidRPr="006F53FC">
        <w:rPr>
          <w:rFonts w:ascii="Times New Roman" w:hAnsi="Times New Roman"/>
          <w:sz w:val="24"/>
          <w:szCs w:val="24"/>
          <w:lang w:val="en-US"/>
        </w:rPr>
        <w:t>candour</w:t>
      </w:r>
      <w:proofErr w:type="spellEnd"/>
      <w:r w:rsidRPr="006F53FC">
        <w:rPr>
          <w:rFonts w:ascii="Times New Roman" w:hAnsi="Times New Roman"/>
          <w:sz w:val="24"/>
          <w:szCs w:val="24"/>
          <w:lang w:val="en-US"/>
        </w:rPr>
        <w:t xml:space="preserve">. </w:t>
      </w:r>
    </w:p>
    <w:p w14:paraId="1DF7D8B4" w14:textId="77777777" w:rsidR="006F53FC" w:rsidRPr="006F53FC" w:rsidRDefault="006F53FC" w:rsidP="006F53FC">
      <w:pPr>
        <w:pStyle w:val="ListParagraph"/>
        <w:rPr>
          <w:rFonts w:ascii="Times New Roman" w:hAnsi="Times New Roman"/>
          <w:i/>
          <w:sz w:val="24"/>
          <w:szCs w:val="24"/>
        </w:rPr>
      </w:pPr>
    </w:p>
    <w:p w14:paraId="1DF7D8B6" w14:textId="4AF5AF63" w:rsidR="006F53FC" w:rsidRPr="00593FBC" w:rsidRDefault="00E94324" w:rsidP="00FE6473">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593FBC">
        <w:rPr>
          <w:rFonts w:ascii="Times New Roman" w:hAnsi="Times New Roman"/>
          <w:i/>
          <w:sz w:val="24"/>
          <w:szCs w:val="24"/>
        </w:rPr>
        <w:t xml:space="preserve"> </w:t>
      </w:r>
      <w:r w:rsidRPr="00593FBC">
        <w:rPr>
          <w:rFonts w:ascii="Times New Roman" w:hAnsi="Times New Roman"/>
          <w:sz w:val="24"/>
          <w:szCs w:val="24"/>
        </w:rPr>
        <w:t>It may be necessary to change the focus of the Claimant’s case following receipt of the Defendant’s</w:t>
      </w:r>
      <w:r w:rsidR="006F53FC" w:rsidRPr="00593FBC">
        <w:rPr>
          <w:rFonts w:ascii="Times New Roman" w:hAnsi="Times New Roman"/>
          <w:sz w:val="24"/>
          <w:szCs w:val="24"/>
        </w:rPr>
        <w:t xml:space="preserve"> Detailed Grounds or</w:t>
      </w:r>
      <w:r w:rsidRPr="00593FBC">
        <w:rPr>
          <w:rFonts w:ascii="Times New Roman" w:hAnsi="Times New Roman"/>
          <w:sz w:val="24"/>
          <w:szCs w:val="24"/>
        </w:rPr>
        <w:t xml:space="preserve"> evidence</w:t>
      </w:r>
      <w:r w:rsidR="006F53FC" w:rsidRPr="00593FBC">
        <w:rPr>
          <w:rFonts w:ascii="Times New Roman" w:hAnsi="Times New Roman"/>
          <w:sz w:val="24"/>
          <w:szCs w:val="24"/>
        </w:rPr>
        <w:t>,</w:t>
      </w:r>
      <w:r w:rsidRPr="00593FBC">
        <w:rPr>
          <w:rFonts w:ascii="Times New Roman" w:hAnsi="Times New Roman"/>
          <w:sz w:val="24"/>
          <w:szCs w:val="24"/>
        </w:rPr>
        <w:t xml:space="preserve"> or subsequently as the case develops (for example</w:t>
      </w:r>
      <w:r w:rsidR="00593FBC" w:rsidRPr="00593FBC">
        <w:rPr>
          <w:rFonts w:ascii="Times New Roman" w:hAnsi="Times New Roman"/>
          <w:sz w:val="24"/>
          <w:szCs w:val="24"/>
        </w:rPr>
        <w:t>,</w:t>
      </w:r>
      <w:r w:rsidRPr="00593FBC">
        <w:rPr>
          <w:rFonts w:ascii="Times New Roman" w:hAnsi="Times New Roman"/>
          <w:sz w:val="24"/>
          <w:szCs w:val="24"/>
        </w:rPr>
        <w:t xml:space="preserve"> where a decision or further decision is made in a community care case).</w:t>
      </w:r>
      <w:r w:rsidR="00593FBC" w:rsidRPr="00593FBC">
        <w:rPr>
          <w:rFonts w:ascii="Times New Roman" w:hAnsi="Times New Roman"/>
          <w:sz w:val="24"/>
          <w:szCs w:val="24"/>
        </w:rPr>
        <w:t xml:space="preserve"> </w:t>
      </w:r>
    </w:p>
    <w:p w14:paraId="5CBE1C7C" w14:textId="77777777" w:rsidR="00593FBC" w:rsidRPr="00593FBC" w:rsidRDefault="00593FBC" w:rsidP="00593FBC">
      <w:pPr>
        <w:pStyle w:val="ListParagraph"/>
        <w:rPr>
          <w:rFonts w:ascii="Times New Roman" w:hAnsi="Times New Roman" w:cs="Times New Roman"/>
          <w:sz w:val="24"/>
          <w:szCs w:val="24"/>
        </w:rPr>
      </w:pPr>
    </w:p>
    <w:p w14:paraId="1DF7D8B7" w14:textId="05199D0C" w:rsidR="006F53FC" w:rsidRPr="006F53FC" w:rsidRDefault="00E94324" w:rsidP="006F53F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F53FC">
        <w:rPr>
          <w:rFonts w:ascii="Times New Roman" w:hAnsi="Times New Roman"/>
          <w:sz w:val="24"/>
          <w:szCs w:val="24"/>
        </w:rPr>
        <w:t xml:space="preserve">If the Claimant wishes to rely on grounds other than those for which permission was granted then </w:t>
      </w:r>
      <w:r w:rsidR="00593FBC">
        <w:rPr>
          <w:rFonts w:ascii="Times New Roman" w:hAnsi="Times New Roman"/>
          <w:sz w:val="24"/>
          <w:szCs w:val="24"/>
        </w:rPr>
        <w:t>s/he</w:t>
      </w:r>
      <w:r w:rsidRPr="006F53FC">
        <w:rPr>
          <w:rFonts w:ascii="Times New Roman" w:hAnsi="Times New Roman"/>
          <w:sz w:val="24"/>
          <w:szCs w:val="24"/>
        </w:rPr>
        <w:t xml:space="preserve"> require</w:t>
      </w:r>
      <w:r w:rsidR="00593FBC">
        <w:rPr>
          <w:rFonts w:ascii="Times New Roman" w:hAnsi="Times New Roman"/>
          <w:sz w:val="24"/>
          <w:szCs w:val="24"/>
        </w:rPr>
        <w:t>s</w:t>
      </w:r>
      <w:r w:rsidRPr="006F53FC">
        <w:rPr>
          <w:rFonts w:ascii="Times New Roman" w:hAnsi="Times New Roman"/>
          <w:sz w:val="24"/>
          <w:szCs w:val="24"/>
        </w:rPr>
        <w:t xml:space="preserve"> permission and must (Part 54.15 and PD</w:t>
      </w:r>
      <w:r w:rsidR="00593FBC">
        <w:rPr>
          <w:rFonts w:ascii="Times New Roman" w:hAnsi="Times New Roman"/>
          <w:sz w:val="24"/>
          <w:szCs w:val="24"/>
        </w:rPr>
        <w:t xml:space="preserve"> 54A</w:t>
      </w:r>
      <w:r w:rsidRPr="006F53FC">
        <w:rPr>
          <w:rFonts w:ascii="Times New Roman" w:hAnsi="Times New Roman"/>
          <w:sz w:val="24"/>
          <w:szCs w:val="24"/>
        </w:rPr>
        <w:t xml:space="preserve"> </w:t>
      </w:r>
      <w:r w:rsidR="00593FBC">
        <w:rPr>
          <w:rFonts w:ascii="Times New Roman" w:hAnsi="Times New Roman"/>
          <w:sz w:val="24"/>
          <w:szCs w:val="24"/>
        </w:rPr>
        <w:t>at [</w:t>
      </w:r>
      <w:r w:rsidRPr="006F53FC">
        <w:rPr>
          <w:rFonts w:ascii="Times New Roman" w:hAnsi="Times New Roman"/>
          <w:sz w:val="24"/>
          <w:szCs w:val="24"/>
        </w:rPr>
        <w:t>11</w:t>
      </w:r>
      <w:r w:rsidR="00593FBC">
        <w:rPr>
          <w:rFonts w:ascii="Times New Roman" w:hAnsi="Times New Roman"/>
          <w:sz w:val="24"/>
          <w:szCs w:val="24"/>
        </w:rPr>
        <w:t>.1]</w:t>
      </w:r>
      <w:r w:rsidRPr="006F53FC">
        <w:rPr>
          <w:rFonts w:ascii="Times New Roman" w:hAnsi="Times New Roman"/>
          <w:sz w:val="24"/>
          <w:szCs w:val="24"/>
        </w:rPr>
        <w:t>) give not less than 7 clear days</w:t>
      </w:r>
      <w:r w:rsidR="00593FBC">
        <w:rPr>
          <w:rFonts w:ascii="Times New Roman" w:hAnsi="Times New Roman"/>
          <w:sz w:val="24"/>
          <w:szCs w:val="24"/>
        </w:rPr>
        <w:t>’</w:t>
      </w:r>
      <w:r w:rsidRPr="006F53FC">
        <w:rPr>
          <w:rFonts w:ascii="Times New Roman" w:hAnsi="Times New Roman"/>
          <w:sz w:val="24"/>
          <w:szCs w:val="24"/>
        </w:rPr>
        <w:t xml:space="preserve"> notice</w:t>
      </w:r>
      <w:r w:rsidR="00593FBC">
        <w:rPr>
          <w:rFonts w:ascii="Times New Roman" w:hAnsi="Times New Roman"/>
          <w:sz w:val="24"/>
          <w:szCs w:val="24"/>
        </w:rPr>
        <w:t xml:space="preserve"> </w:t>
      </w:r>
      <w:r w:rsidR="00593FBC" w:rsidRPr="00593FBC">
        <w:rPr>
          <w:rFonts w:ascii="Times New Roman" w:hAnsi="Times New Roman"/>
          <w:i/>
          <w:sz w:val="24"/>
          <w:szCs w:val="24"/>
        </w:rPr>
        <w:t>“to the court and to any other person served with the claim form”</w:t>
      </w:r>
      <w:r w:rsidRPr="006F53FC">
        <w:rPr>
          <w:rFonts w:ascii="Times New Roman" w:hAnsi="Times New Roman"/>
          <w:sz w:val="24"/>
          <w:szCs w:val="24"/>
        </w:rPr>
        <w:t xml:space="preserve"> before the hearing date (or warned date). </w:t>
      </w:r>
    </w:p>
    <w:p w14:paraId="1DF7D8B8" w14:textId="77777777" w:rsidR="006F53FC" w:rsidRPr="006F53FC" w:rsidRDefault="006F53FC" w:rsidP="006F53FC">
      <w:pPr>
        <w:pStyle w:val="ListParagraph"/>
        <w:rPr>
          <w:rFonts w:ascii="Times New Roman" w:hAnsi="Times New Roman"/>
          <w:sz w:val="24"/>
          <w:szCs w:val="24"/>
        </w:rPr>
      </w:pPr>
    </w:p>
    <w:p w14:paraId="1DF7D8B9" w14:textId="04EC1D0E" w:rsidR="006F53FC" w:rsidRPr="006F53FC" w:rsidRDefault="00E94324" w:rsidP="006F53F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F53FC">
        <w:rPr>
          <w:rFonts w:ascii="Times New Roman" w:hAnsi="Times New Roman"/>
          <w:sz w:val="24"/>
          <w:szCs w:val="24"/>
        </w:rPr>
        <w:t xml:space="preserve"> If the change goes further than adding to the grounds for the challenge to the original decision (for example</w:t>
      </w:r>
      <w:r w:rsidR="00593FBC">
        <w:rPr>
          <w:rFonts w:ascii="Times New Roman" w:hAnsi="Times New Roman"/>
          <w:sz w:val="24"/>
          <w:szCs w:val="24"/>
        </w:rPr>
        <w:t>,</w:t>
      </w:r>
      <w:r w:rsidRPr="006F53FC">
        <w:rPr>
          <w:rFonts w:ascii="Times New Roman" w:hAnsi="Times New Roman"/>
          <w:sz w:val="24"/>
          <w:szCs w:val="24"/>
        </w:rPr>
        <w:t xml:space="preserve"> if there has been a fresh decision or failure to deal with new material) then an amendment to the grounds may be necessary: (Munby J in </w:t>
      </w:r>
      <w:bookmarkStart w:id="1" w:name="para26"/>
      <w:r w:rsidRPr="006F53FC">
        <w:rPr>
          <w:rFonts w:ascii="Times New Roman" w:hAnsi="Times New Roman"/>
          <w:i/>
          <w:iCs/>
          <w:sz w:val="24"/>
          <w:szCs w:val="24"/>
        </w:rPr>
        <w:t xml:space="preserve">R (P, W, F and G) v Essex County Council </w:t>
      </w:r>
      <w:r w:rsidRPr="006F53FC">
        <w:rPr>
          <w:rFonts w:ascii="Times New Roman" w:hAnsi="Times New Roman"/>
          <w:sz w:val="24"/>
          <w:szCs w:val="24"/>
        </w:rPr>
        <w:t>[2004] EWHC 2027 (Admin)</w:t>
      </w:r>
      <w:bookmarkEnd w:id="1"/>
      <w:r w:rsidRPr="006F53FC">
        <w:rPr>
          <w:rFonts w:ascii="Times New Roman" w:hAnsi="Times New Roman"/>
          <w:sz w:val="24"/>
          <w:szCs w:val="24"/>
        </w:rPr>
        <w:t xml:space="preserve">, </w:t>
      </w:r>
      <w:r w:rsidRPr="006F53FC">
        <w:rPr>
          <w:rFonts w:ascii="Times New Roman" w:hAnsi="Times New Roman"/>
          <w:i/>
          <w:sz w:val="24"/>
          <w:szCs w:val="24"/>
        </w:rPr>
        <w:t>R (MB) v Lambeth BC</w:t>
      </w:r>
      <w:r w:rsidRPr="006F53FC">
        <w:rPr>
          <w:rFonts w:ascii="Times New Roman" w:hAnsi="Times New Roman"/>
          <w:sz w:val="24"/>
          <w:szCs w:val="24"/>
        </w:rPr>
        <w:t xml:space="preserve">  [2006] EWHC 639, </w:t>
      </w:r>
      <w:r w:rsidRPr="006F53FC">
        <w:rPr>
          <w:rFonts w:ascii="Times New Roman" w:hAnsi="Times New Roman"/>
          <w:i/>
          <w:sz w:val="24"/>
          <w:szCs w:val="24"/>
        </w:rPr>
        <w:t>R (F) v Wirral BC)</w:t>
      </w:r>
      <w:r w:rsidRPr="006F53FC">
        <w:rPr>
          <w:rFonts w:ascii="Times New Roman" w:hAnsi="Times New Roman"/>
          <w:sz w:val="24"/>
          <w:szCs w:val="24"/>
        </w:rPr>
        <w:t xml:space="preserve"> [2009] EWHC 1626, </w:t>
      </w:r>
      <w:r w:rsidRPr="006F53FC">
        <w:rPr>
          <w:rFonts w:ascii="Times New Roman" w:hAnsi="Times New Roman"/>
          <w:i/>
          <w:sz w:val="24"/>
          <w:szCs w:val="24"/>
        </w:rPr>
        <w:t xml:space="preserve">R (O) v Hammersmith &amp; Fulham BC </w:t>
      </w:r>
      <w:r w:rsidRPr="006F53FC">
        <w:rPr>
          <w:rFonts w:ascii="Times New Roman" w:hAnsi="Times New Roman"/>
          <w:sz w:val="24"/>
          <w:szCs w:val="24"/>
        </w:rPr>
        <w:t xml:space="preserve">[2012] 1 WLR 1057 </w:t>
      </w:r>
      <w:r w:rsidR="006F53FC">
        <w:rPr>
          <w:rFonts w:ascii="Times New Roman" w:hAnsi="Times New Roman"/>
          <w:sz w:val="24"/>
          <w:szCs w:val="24"/>
        </w:rPr>
        <w:t>[</w:t>
      </w:r>
      <w:r w:rsidRPr="006F53FC">
        <w:rPr>
          <w:rFonts w:ascii="Times New Roman" w:hAnsi="Times New Roman"/>
          <w:sz w:val="24"/>
          <w:szCs w:val="24"/>
        </w:rPr>
        <w:t>18</w:t>
      </w:r>
      <w:r w:rsidR="006F53FC">
        <w:rPr>
          <w:rFonts w:ascii="Times New Roman" w:hAnsi="Times New Roman"/>
          <w:sz w:val="24"/>
          <w:szCs w:val="24"/>
        </w:rPr>
        <w:t>]</w:t>
      </w:r>
      <w:r w:rsidR="00593FBC">
        <w:rPr>
          <w:rFonts w:ascii="Times New Roman" w:hAnsi="Times New Roman"/>
          <w:sz w:val="24"/>
          <w:szCs w:val="24"/>
        </w:rPr>
        <w:t>)</w:t>
      </w:r>
      <w:r w:rsidRPr="006F53FC">
        <w:rPr>
          <w:rFonts w:ascii="Times New Roman" w:hAnsi="Times New Roman"/>
          <w:sz w:val="24"/>
          <w:szCs w:val="24"/>
        </w:rPr>
        <w:t xml:space="preserve">. At </w:t>
      </w:r>
      <w:r w:rsidR="006F53FC">
        <w:rPr>
          <w:rFonts w:ascii="Times New Roman" w:hAnsi="Times New Roman"/>
          <w:sz w:val="24"/>
          <w:szCs w:val="24"/>
        </w:rPr>
        <w:t>[</w:t>
      </w:r>
      <w:r w:rsidRPr="006F53FC">
        <w:rPr>
          <w:rFonts w:ascii="Times New Roman" w:hAnsi="Times New Roman"/>
          <w:sz w:val="24"/>
          <w:szCs w:val="24"/>
        </w:rPr>
        <w:t>35</w:t>
      </w:r>
      <w:r w:rsidR="006F53FC">
        <w:rPr>
          <w:rFonts w:ascii="Times New Roman" w:hAnsi="Times New Roman"/>
          <w:sz w:val="24"/>
          <w:szCs w:val="24"/>
        </w:rPr>
        <w:t>]</w:t>
      </w:r>
      <w:r w:rsidRPr="006F53FC">
        <w:rPr>
          <w:rFonts w:ascii="Times New Roman" w:hAnsi="Times New Roman"/>
          <w:sz w:val="24"/>
          <w:szCs w:val="24"/>
        </w:rPr>
        <w:t xml:space="preserve"> of the </w:t>
      </w:r>
      <w:r w:rsidRPr="006F53FC">
        <w:rPr>
          <w:rFonts w:ascii="Times New Roman" w:hAnsi="Times New Roman"/>
          <w:i/>
          <w:sz w:val="24"/>
          <w:szCs w:val="24"/>
        </w:rPr>
        <w:t>Essex</w:t>
      </w:r>
      <w:r w:rsidRPr="006F53FC">
        <w:rPr>
          <w:rFonts w:ascii="Times New Roman" w:hAnsi="Times New Roman"/>
          <w:sz w:val="24"/>
          <w:szCs w:val="24"/>
        </w:rPr>
        <w:t xml:space="preserve"> case Munby J </w:t>
      </w:r>
      <w:r w:rsidR="006F53FC">
        <w:rPr>
          <w:rFonts w:ascii="Times New Roman" w:hAnsi="Times New Roman"/>
          <w:sz w:val="24"/>
          <w:szCs w:val="24"/>
        </w:rPr>
        <w:t xml:space="preserve">(as he then was) </w:t>
      </w:r>
      <w:r w:rsidRPr="006F53FC">
        <w:rPr>
          <w:rFonts w:ascii="Times New Roman" w:hAnsi="Times New Roman"/>
          <w:sz w:val="24"/>
          <w:szCs w:val="24"/>
        </w:rPr>
        <w:t xml:space="preserve">said: </w:t>
      </w:r>
    </w:p>
    <w:p w14:paraId="1DF7D8BA" w14:textId="77777777" w:rsidR="006F53FC" w:rsidRPr="006F53FC" w:rsidRDefault="006F53FC" w:rsidP="009D0ADD">
      <w:pPr>
        <w:pStyle w:val="ListParagraph"/>
        <w:spacing w:after="0" w:line="240" w:lineRule="auto"/>
        <w:rPr>
          <w:rFonts w:ascii="Times New Roman" w:hAnsi="Times New Roman"/>
          <w:sz w:val="24"/>
          <w:szCs w:val="24"/>
        </w:rPr>
      </w:pPr>
    </w:p>
    <w:p w14:paraId="1DF7D8BB" w14:textId="77777777" w:rsidR="006F53FC" w:rsidRPr="006F53FC" w:rsidRDefault="006F53FC" w:rsidP="009D0ADD">
      <w:pPr>
        <w:spacing w:after="0" w:line="240" w:lineRule="auto"/>
        <w:ind w:left="1440"/>
        <w:jc w:val="both"/>
        <w:rPr>
          <w:rFonts w:ascii="Times New Roman" w:hAnsi="Times New Roman"/>
          <w:i/>
          <w:sz w:val="24"/>
          <w:szCs w:val="24"/>
          <w:lang w:val="en-US"/>
        </w:rPr>
      </w:pPr>
      <w:r w:rsidRPr="006F53FC">
        <w:rPr>
          <w:rFonts w:ascii="Times New Roman" w:hAnsi="Times New Roman"/>
          <w:i/>
          <w:sz w:val="24"/>
          <w:szCs w:val="24"/>
          <w:lang w:val="en-US"/>
        </w:rPr>
        <w:t xml:space="preserve">“Where a claimant seeks to make a case sufficiently different from that set out in his Form N461 as to require an amendment to the Form N461 then it seems to me that it is incumbent on him (a) to seek permission to amend his N461, (b) to give notice of his wish to amend at the earliest possible moment and in any event no later than 7 clear days before the hearing and (c) to formulate the new or additional case he wishes to make in a properly drafted document setting out, in </w:t>
      </w:r>
      <w:r w:rsidRPr="006F53FC">
        <w:rPr>
          <w:rFonts w:ascii="Times New Roman" w:hAnsi="Times New Roman"/>
          <w:i/>
          <w:sz w:val="24"/>
          <w:szCs w:val="24"/>
          <w:lang w:val="en-US"/>
        </w:rPr>
        <w:lastRenderedPageBreak/>
        <w:t xml:space="preserve">the manner and with the detail required by CPR Part 54.6 and by Form N461, the precise amendments for </w:t>
      </w:r>
      <w:r>
        <w:rPr>
          <w:rFonts w:ascii="Times New Roman" w:hAnsi="Times New Roman"/>
          <w:i/>
          <w:sz w:val="24"/>
          <w:szCs w:val="24"/>
          <w:lang w:val="en-US"/>
        </w:rPr>
        <w:t>which he is seeking permission.”</w:t>
      </w:r>
    </w:p>
    <w:p w14:paraId="1DF7D8BC" w14:textId="77777777" w:rsidR="006F53FC" w:rsidRPr="006F53FC" w:rsidRDefault="006F53FC" w:rsidP="006F53FC">
      <w:pPr>
        <w:pStyle w:val="ListParagraph"/>
        <w:autoSpaceDE w:val="0"/>
        <w:autoSpaceDN w:val="0"/>
        <w:adjustRightInd w:val="0"/>
        <w:spacing w:after="0" w:line="360" w:lineRule="auto"/>
        <w:jc w:val="both"/>
        <w:rPr>
          <w:rFonts w:ascii="Times New Roman" w:hAnsi="Times New Roman" w:cs="Times New Roman"/>
          <w:sz w:val="24"/>
          <w:szCs w:val="24"/>
        </w:rPr>
      </w:pPr>
    </w:p>
    <w:p w14:paraId="1DF7D8BD" w14:textId="2D0F7426" w:rsidR="006F53FC" w:rsidRPr="006F53FC" w:rsidRDefault="00E94324" w:rsidP="006F53F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F53FC">
        <w:rPr>
          <w:rFonts w:ascii="Times New Roman" w:hAnsi="Times New Roman"/>
          <w:sz w:val="24"/>
          <w:szCs w:val="24"/>
        </w:rPr>
        <w:t xml:space="preserve">But see </w:t>
      </w:r>
      <w:r w:rsidRPr="006F53FC">
        <w:rPr>
          <w:rFonts w:ascii="Times New Roman" w:hAnsi="Times New Roman"/>
          <w:i/>
          <w:sz w:val="24"/>
          <w:szCs w:val="24"/>
        </w:rPr>
        <w:t xml:space="preserve">R (Bhatti) v Bury MBC </w:t>
      </w:r>
      <w:r w:rsidRPr="006F53FC">
        <w:rPr>
          <w:rFonts w:ascii="Times New Roman" w:hAnsi="Times New Roman"/>
          <w:sz w:val="24"/>
          <w:szCs w:val="24"/>
        </w:rPr>
        <w:t xml:space="preserve">[2013] EWHC 3093 (Admin) and ACG (Administrative Court Guide Judicial Review) </w:t>
      </w:r>
      <w:r w:rsidR="00593FBC">
        <w:rPr>
          <w:rFonts w:ascii="Times New Roman" w:hAnsi="Times New Roman"/>
          <w:sz w:val="24"/>
          <w:szCs w:val="24"/>
        </w:rPr>
        <w:t>[</w:t>
      </w:r>
      <w:r w:rsidRPr="006F53FC">
        <w:rPr>
          <w:rFonts w:ascii="Times New Roman" w:hAnsi="Times New Roman"/>
          <w:sz w:val="24"/>
          <w:szCs w:val="24"/>
        </w:rPr>
        <w:t>9.2.4</w:t>
      </w:r>
      <w:r w:rsidR="00593FBC">
        <w:rPr>
          <w:rFonts w:ascii="Times New Roman" w:hAnsi="Times New Roman"/>
          <w:sz w:val="24"/>
          <w:szCs w:val="24"/>
        </w:rPr>
        <w:t>]</w:t>
      </w:r>
      <w:r w:rsidRPr="006F53FC">
        <w:rPr>
          <w:rFonts w:ascii="Times New Roman" w:hAnsi="Times New Roman"/>
          <w:sz w:val="24"/>
          <w:szCs w:val="24"/>
        </w:rPr>
        <w:t xml:space="preserve"> for a discussion of the circumstances in which a challenge to a </w:t>
      </w:r>
      <w:r w:rsidRPr="006F53FC">
        <w:rPr>
          <w:rFonts w:ascii="Times New Roman" w:hAnsi="Times New Roman"/>
          <w:sz w:val="24"/>
          <w:szCs w:val="24"/>
          <w:u w:val="single"/>
        </w:rPr>
        <w:t>fresh</w:t>
      </w:r>
      <w:r w:rsidRPr="006F53FC">
        <w:rPr>
          <w:rFonts w:ascii="Times New Roman" w:hAnsi="Times New Roman"/>
          <w:sz w:val="24"/>
          <w:szCs w:val="24"/>
        </w:rPr>
        <w:t xml:space="preserve"> decision can be included in the original claim form at all. This is permitted if the new decision is in response to evidence filed by the claimant and to the same effect (applying </w:t>
      </w:r>
      <w:r w:rsidRPr="006F53FC">
        <w:rPr>
          <w:rFonts w:ascii="Times New Roman" w:hAnsi="Times New Roman"/>
          <w:i/>
          <w:sz w:val="24"/>
          <w:szCs w:val="24"/>
        </w:rPr>
        <w:t xml:space="preserve">R v SSHD ex p Turgut </w:t>
      </w:r>
      <w:r w:rsidRPr="006F53FC">
        <w:rPr>
          <w:rFonts w:ascii="Times New Roman" w:hAnsi="Times New Roman"/>
          <w:sz w:val="24"/>
          <w:szCs w:val="24"/>
        </w:rPr>
        <w:t>[2001] 1 All ER 719) but not where the Defendant has withdrawn the original decision and embarked on a different decision</w:t>
      </w:r>
      <w:r w:rsidR="00593FBC">
        <w:rPr>
          <w:rFonts w:ascii="Times New Roman" w:hAnsi="Times New Roman"/>
          <w:sz w:val="24"/>
          <w:szCs w:val="24"/>
        </w:rPr>
        <w:t>-</w:t>
      </w:r>
      <w:r w:rsidRPr="006F53FC">
        <w:rPr>
          <w:rFonts w:ascii="Times New Roman" w:hAnsi="Times New Roman"/>
          <w:sz w:val="24"/>
          <w:szCs w:val="24"/>
        </w:rPr>
        <w:t>making process (</w:t>
      </w:r>
      <w:r w:rsidRPr="006F53FC">
        <w:rPr>
          <w:rFonts w:ascii="Times New Roman" w:hAnsi="Times New Roman"/>
          <w:i/>
          <w:sz w:val="24"/>
          <w:szCs w:val="24"/>
        </w:rPr>
        <w:t>Bhatti</w:t>
      </w:r>
      <w:r w:rsidRPr="006F53FC">
        <w:rPr>
          <w:rFonts w:ascii="Times New Roman" w:hAnsi="Times New Roman"/>
          <w:sz w:val="24"/>
          <w:szCs w:val="24"/>
        </w:rPr>
        <w:t xml:space="preserve"> at </w:t>
      </w:r>
      <w:r w:rsidR="00593FBC">
        <w:rPr>
          <w:rFonts w:ascii="Times New Roman" w:hAnsi="Times New Roman"/>
          <w:sz w:val="24"/>
          <w:szCs w:val="24"/>
        </w:rPr>
        <w:t>[</w:t>
      </w:r>
      <w:r w:rsidRPr="006F53FC">
        <w:rPr>
          <w:rFonts w:ascii="Times New Roman" w:hAnsi="Times New Roman"/>
          <w:sz w:val="24"/>
          <w:szCs w:val="24"/>
        </w:rPr>
        <w:t>17</w:t>
      </w:r>
      <w:r w:rsidR="00593FBC">
        <w:rPr>
          <w:rFonts w:ascii="Times New Roman" w:hAnsi="Times New Roman"/>
          <w:sz w:val="24"/>
          <w:szCs w:val="24"/>
        </w:rPr>
        <w:t>]</w:t>
      </w:r>
      <w:r w:rsidRPr="006F53FC">
        <w:rPr>
          <w:rFonts w:ascii="Times New Roman" w:hAnsi="Times New Roman"/>
          <w:sz w:val="24"/>
          <w:szCs w:val="24"/>
        </w:rPr>
        <w:t xml:space="preserve"> and </w:t>
      </w:r>
      <w:r w:rsidRPr="006F53FC">
        <w:rPr>
          <w:rFonts w:ascii="Times New Roman" w:hAnsi="Times New Roman"/>
          <w:i/>
          <w:sz w:val="24"/>
          <w:szCs w:val="24"/>
        </w:rPr>
        <w:t xml:space="preserve">R (Asif) v SSHD </w:t>
      </w:r>
      <w:r w:rsidR="00593FBC">
        <w:rPr>
          <w:rFonts w:ascii="Times New Roman" w:hAnsi="Times New Roman"/>
          <w:sz w:val="24"/>
          <w:szCs w:val="24"/>
        </w:rPr>
        <w:t>[2015] EWHC 1007 (Admin)). In</w:t>
      </w:r>
      <w:r w:rsidRPr="006F53FC">
        <w:rPr>
          <w:rFonts w:ascii="Times New Roman" w:hAnsi="Times New Roman"/>
          <w:sz w:val="24"/>
          <w:szCs w:val="24"/>
        </w:rPr>
        <w:t xml:space="preserve"> </w:t>
      </w:r>
      <w:r w:rsidRPr="006F53FC">
        <w:rPr>
          <w:rFonts w:ascii="Times New Roman" w:hAnsi="Times New Roman"/>
          <w:i/>
          <w:sz w:val="24"/>
          <w:szCs w:val="24"/>
        </w:rPr>
        <w:t xml:space="preserve">Yousuf v SSHD </w:t>
      </w:r>
      <w:r w:rsidRPr="006F53FC">
        <w:rPr>
          <w:rFonts w:ascii="Times New Roman" w:hAnsi="Times New Roman"/>
          <w:sz w:val="24"/>
          <w:szCs w:val="24"/>
        </w:rPr>
        <w:t>[2016] EWHC 663 (Admin)</w:t>
      </w:r>
      <w:r w:rsidR="00593FBC">
        <w:rPr>
          <w:rFonts w:ascii="Times New Roman" w:hAnsi="Times New Roman"/>
          <w:sz w:val="24"/>
          <w:szCs w:val="24"/>
        </w:rPr>
        <w:t xml:space="preserve"> (</w:t>
      </w:r>
      <w:r w:rsidRPr="006F53FC">
        <w:rPr>
          <w:rFonts w:ascii="Times New Roman" w:hAnsi="Times New Roman"/>
          <w:sz w:val="24"/>
          <w:szCs w:val="24"/>
        </w:rPr>
        <w:t>Holman J</w:t>
      </w:r>
      <w:r w:rsidR="00593FBC">
        <w:rPr>
          <w:rFonts w:ascii="Times New Roman" w:hAnsi="Times New Roman"/>
          <w:sz w:val="24"/>
          <w:szCs w:val="24"/>
        </w:rPr>
        <w:t>)</w:t>
      </w:r>
      <w:r w:rsidRPr="006F53FC">
        <w:rPr>
          <w:rFonts w:ascii="Times New Roman" w:hAnsi="Times New Roman"/>
          <w:sz w:val="24"/>
          <w:szCs w:val="24"/>
        </w:rPr>
        <w:t xml:space="preserve"> approval was not given to a consent order for a stay pending a fresh decision. </w:t>
      </w:r>
      <w:r w:rsidR="00593FBC">
        <w:rPr>
          <w:rFonts w:ascii="Times New Roman" w:hAnsi="Times New Roman"/>
          <w:sz w:val="24"/>
          <w:szCs w:val="24"/>
        </w:rPr>
        <w:t>He held that t</w:t>
      </w:r>
      <w:r w:rsidRPr="006F53FC">
        <w:rPr>
          <w:rFonts w:ascii="Times New Roman" w:hAnsi="Times New Roman"/>
          <w:sz w:val="24"/>
          <w:szCs w:val="24"/>
        </w:rPr>
        <w:t>he proceedings ought to be withdrawn and a new claim brought if the second decision was to be challenged.</w:t>
      </w:r>
      <w:r w:rsidR="006F53FC">
        <w:rPr>
          <w:rFonts w:ascii="Times New Roman" w:hAnsi="Times New Roman"/>
          <w:sz w:val="24"/>
          <w:szCs w:val="24"/>
        </w:rPr>
        <w:t xml:space="preserve"> </w:t>
      </w:r>
    </w:p>
    <w:p w14:paraId="1DF7D8BE" w14:textId="77777777" w:rsidR="006F53FC" w:rsidRPr="006F53FC" w:rsidRDefault="006F53FC" w:rsidP="006F53FC">
      <w:pPr>
        <w:pStyle w:val="ListParagraph"/>
        <w:autoSpaceDE w:val="0"/>
        <w:autoSpaceDN w:val="0"/>
        <w:adjustRightInd w:val="0"/>
        <w:spacing w:after="0" w:line="360" w:lineRule="auto"/>
        <w:jc w:val="both"/>
        <w:rPr>
          <w:rFonts w:ascii="Times New Roman" w:hAnsi="Times New Roman" w:cs="Times New Roman"/>
          <w:sz w:val="24"/>
          <w:szCs w:val="24"/>
        </w:rPr>
      </w:pPr>
    </w:p>
    <w:p w14:paraId="1DF7D8BF" w14:textId="4A1D0CFB" w:rsidR="006F53FC" w:rsidRPr="00593FBC" w:rsidRDefault="006F53FC" w:rsidP="006F53F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This is an issue which should be to the forefront of a Claimant’s mind from the outset: e.g. in a community care case, where no assessment of needs has been conducted at the outset, a Defendant should not be able to frustrate the process simply by producing a poor assessment of needs post-issue or post-permission. If the Claimant has framed the challenge as being to the absence of any lawful assessment under the Children Act 1989 the production of a fresh assessment may be more readily encompassed within the existing grounds.</w:t>
      </w:r>
    </w:p>
    <w:p w14:paraId="0FE8682B" w14:textId="77777777" w:rsidR="00593FBC" w:rsidRPr="00593FBC" w:rsidRDefault="00593FBC" w:rsidP="00593FBC">
      <w:pPr>
        <w:pStyle w:val="ListParagraph"/>
        <w:rPr>
          <w:rFonts w:ascii="Times New Roman" w:hAnsi="Times New Roman" w:cs="Times New Roman"/>
          <w:sz w:val="24"/>
          <w:szCs w:val="24"/>
        </w:rPr>
      </w:pPr>
    </w:p>
    <w:p w14:paraId="5787CDA0" w14:textId="287F1C9A" w:rsidR="00593FBC" w:rsidRPr="006F53FC" w:rsidRDefault="00593FBC" w:rsidP="006F53F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Note an important point highlighted in the White Book at p. 1972, [54.15.1]: where permission to argue a particular ground has been expressly refused at an oral permission hearing, a Claimant wishing to challenge that should ordinarily do so by refusing that appeal to the Court of Appeal, but in some exceptional circumstances the Court hearing the substantive application may exercise its discretion under CPR r. 54.15 to permit the Claimant to argue that particular ground, e.g. if there has been a significant change of circumstances, or a proposition of law is now maintainable which was not previously so (such as where the Court of Appeal has overturned a decision of the High Court in a case raising similar issues). See, for example, </w:t>
      </w:r>
      <w:r w:rsidRPr="00593FBC">
        <w:rPr>
          <w:rFonts w:ascii="Times New Roman" w:hAnsi="Times New Roman" w:cs="Times New Roman"/>
          <w:i/>
          <w:sz w:val="24"/>
          <w:szCs w:val="24"/>
        </w:rPr>
        <w:t>R (Opoku) v Southwark College Principal</w:t>
      </w:r>
      <w:r>
        <w:rPr>
          <w:rFonts w:ascii="Times New Roman" w:hAnsi="Times New Roman" w:cs="Times New Roman"/>
          <w:sz w:val="24"/>
          <w:szCs w:val="24"/>
        </w:rPr>
        <w:t xml:space="preserve"> [2003] 1 WLR 234, [2002] EWHC 2092 and </w:t>
      </w:r>
      <w:r w:rsidRPr="00593FBC">
        <w:rPr>
          <w:rFonts w:ascii="Times New Roman" w:hAnsi="Times New Roman" w:cs="Times New Roman"/>
          <w:i/>
          <w:sz w:val="24"/>
          <w:szCs w:val="24"/>
        </w:rPr>
        <w:t>R (Smith) v Parole Board</w:t>
      </w:r>
      <w:r>
        <w:rPr>
          <w:rFonts w:ascii="Times New Roman" w:hAnsi="Times New Roman" w:cs="Times New Roman"/>
          <w:sz w:val="24"/>
          <w:szCs w:val="24"/>
        </w:rPr>
        <w:t xml:space="preserve"> [2003] 1 WLR 2548.</w:t>
      </w:r>
    </w:p>
    <w:p w14:paraId="1DF7D8C0" w14:textId="77777777" w:rsidR="006F53FC" w:rsidRDefault="006F53FC" w:rsidP="006F53FC">
      <w:pPr>
        <w:pStyle w:val="ListParagraph"/>
        <w:rPr>
          <w:rFonts w:ascii="Times New Roman" w:hAnsi="Times New Roman"/>
          <w:sz w:val="24"/>
          <w:szCs w:val="24"/>
        </w:rPr>
      </w:pPr>
    </w:p>
    <w:p w14:paraId="1DF7D8C1" w14:textId="77777777" w:rsidR="006F53FC" w:rsidRPr="008D6B3D" w:rsidRDefault="006F53FC" w:rsidP="00593FBC">
      <w:pPr>
        <w:keepNext/>
        <w:spacing w:line="360" w:lineRule="auto"/>
        <w:ind w:firstLine="505"/>
        <w:rPr>
          <w:rFonts w:ascii="Times New Roman" w:hAnsi="Times New Roman"/>
          <w:sz w:val="24"/>
          <w:szCs w:val="24"/>
        </w:rPr>
      </w:pPr>
      <w:r w:rsidRPr="008D6B3D">
        <w:rPr>
          <w:rFonts w:ascii="Times New Roman" w:hAnsi="Times New Roman"/>
          <w:i/>
          <w:sz w:val="24"/>
          <w:szCs w:val="24"/>
        </w:rPr>
        <w:lastRenderedPageBreak/>
        <w:t>Disclosure and applications to cross examine</w:t>
      </w:r>
      <w:r w:rsidRPr="008D6B3D">
        <w:rPr>
          <w:rFonts w:ascii="Times New Roman" w:hAnsi="Times New Roman"/>
          <w:sz w:val="24"/>
          <w:szCs w:val="24"/>
        </w:rPr>
        <w:t xml:space="preserve"> </w:t>
      </w:r>
    </w:p>
    <w:p w14:paraId="1DF7D8C2" w14:textId="730D0E8A" w:rsidR="00E94324" w:rsidRPr="006F53FC" w:rsidRDefault="00E94324" w:rsidP="006F53F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F53FC">
        <w:rPr>
          <w:rFonts w:ascii="Times New Roman" w:hAnsi="Times New Roman"/>
          <w:sz w:val="24"/>
          <w:szCs w:val="24"/>
        </w:rPr>
        <w:t xml:space="preserve">CPR Part 31 (disclosure) applies to all proceedings except for those on the small claims track but CPR PD 54.12 states that disclosure is </w:t>
      </w:r>
      <w:r w:rsidRPr="006F53FC">
        <w:rPr>
          <w:rFonts w:ascii="Times New Roman" w:hAnsi="Times New Roman"/>
          <w:i/>
          <w:sz w:val="24"/>
          <w:szCs w:val="24"/>
        </w:rPr>
        <w:t>“not required unless the court orders otherwise</w:t>
      </w:r>
      <w:r w:rsidR="00593FBC">
        <w:rPr>
          <w:rFonts w:ascii="Times New Roman" w:hAnsi="Times New Roman"/>
          <w:i/>
          <w:sz w:val="24"/>
          <w:szCs w:val="24"/>
        </w:rPr>
        <w:t>.</w:t>
      </w:r>
      <w:r w:rsidRPr="006F53FC">
        <w:rPr>
          <w:rFonts w:ascii="Times New Roman" w:hAnsi="Times New Roman"/>
          <w:i/>
          <w:sz w:val="24"/>
          <w:szCs w:val="24"/>
        </w:rPr>
        <w:t>”</w:t>
      </w:r>
      <w:r w:rsidRPr="006F53FC">
        <w:rPr>
          <w:rFonts w:ascii="Times New Roman" w:hAnsi="Times New Roman"/>
          <w:sz w:val="24"/>
          <w:szCs w:val="24"/>
        </w:rPr>
        <w:t xml:space="preserve"> </w:t>
      </w:r>
    </w:p>
    <w:p w14:paraId="1DF7D8C3" w14:textId="77777777" w:rsidR="006F53FC" w:rsidRPr="006F53FC" w:rsidRDefault="006F53FC" w:rsidP="006F53FC">
      <w:pPr>
        <w:pStyle w:val="ListParagraph"/>
        <w:autoSpaceDE w:val="0"/>
        <w:autoSpaceDN w:val="0"/>
        <w:adjustRightInd w:val="0"/>
        <w:spacing w:after="0" w:line="360" w:lineRule="auto"/>
        <w:jc w:val="both"/>
        <w:rPr>
          <w:rFonts w:ascii="Times New Roman" w:hAnsi="Times New Roman" w:cs="Times New Roman"/>
          <w:sz w:val="24"/>
          <w:szCs w:val="24"/>
        </w:rPr>
      </w:pPr>
    </w:p>
    <w:p w14:paraId="1DF7D8C4" w14:textId="719387DC" w:rsidR="00E94324" w:rsidRPr="006F53FC" w:rsidRDefault="00E94324" w:rsidP="006F53F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F53FC">
        <w:rPr>
          <w:rFonts w:ascii="Times New Roman" w:hAnsi="Times New Roman"/>
          <w:sz w:val="24"/>
          <w:szCs w:val="24"/>
        </w:rPr>
        <w:t>Formerly</w:t>
      </w:r>
      <w:r w:rsidR="00593FBC">
        <w:rPr>
          <w:rFonts w:ascii="Times New Roman" w:hAnsi="Times New Roman"/>
          <w:sz w:val="24"/>
          <w:szCs w:val="24"/>
        </w:rPr>
        <w:t>,</w:t>
      </w:r>
      <w:r w:rsidRPr="006F53FC">
        <w:rPr>
          <w:rFonts w:ascii="Times New Roman" w:hAnsi="Times New Roman"/>
          <w:sz w:val="24"/>
          <w:szCs w:val="24"/>
        </w:rPr>
        <w:t xml:space="preserve"> very restrictive criteria applied</w:t>
      </w:r>
      <w:r w:rsidR="00593FBC">
        <w:rPr>
          <w:rFonts w:ascii="Times New Roman" w:hAnsi="Times New Roman"/>
          <w:sz w:val="24"/>
          <w:szCs w:val="24"/>
        </w:rPr>
        <w:t xml:space="preserve"> in the judicial review context,</w:t>
      </w:r>
      <w:r w:rsidRPr="006F53FC">
        <w:rPr>
          <w:rFonts w:ascii="Times New Roman" w:hAnsi="Times New Roman"/>
          <w:sz w:val="24"/>
          <w:szCs w:val="24"/>
        </w:rPr>
        <w:t xml:space="preserve"> derived from </w:t>
      </w:r>
      <w:r w:rsidRPr="006F53FC">
        <w:rPr>
          <w:rFonts w:ascii="Times New Roman" w:hAnsi="Times New Roman"/>
          <w:i/>
          <w:sz w:val="24"/>
          <w:szCs w:val="24"/>
        </w:rPr>
        <w:t>R v Secretary of State for Foreign and Commonwealth Affairs</w:t>
      </w:r>
      <w:r w:rsidR="00593FBC">
        <w:rPr>
          <w:rFonts w:ascii="Times New Roman" w:hAnsi="Times New Roman"/>
          <w:i/>
          <w:sz w:val="24"/>
          <w:szCs w:val="24"/>
        </w:rPr>
        <w:t>,</w:t>
      </w:r>
      <w:r w:rsidRPr="006F53FC">
        <w:rPr>
          <w:rFonts w:ascii="Times New Roman" w:hAnsi="Times New Roman"/>
          <w:i/>
          <w:sz w:val="24"/>
          <w:szCs w:val="24"/>
        </w:rPr>
        <w:t xml:space="preserve"> ex p World Development Movement</w:t>
      </w:r>
      <w:r w:rsidRPr="006F53FC">
        <w:rPr>
          <w:rFonts w:ascii="Times New Roman" w:hAnsi="Times New Roman"/>
          <w:sz w:val="24"/>
          <w:szCs w:val="24"/>
        </w:rPr>
        <w:t xml:space="preserve"> [1995] 1 WLR 386. Disclosure would generally be ordered only where </w:t>
      </w:r>
      <w:r w:rsidR="00593FBC">
        <w:rPr>
          <w:rFonts w:ascii="Times New Roman" w:hAnsi="Times New Roman"/>
          <w:sz w:val="24"/>
          <w:szCs w:val="24"/>
        </w:rPr>
        <w:t>a party’s evidence</w:t>
      </w:r>
      <w:r w:rsidRPr="006F53FC">
        <w:rPr>
          <w:rFonts w:ascii="Times New Roman" w:hAnsi="Times New Roman"/>
          <w:sz w:val="24"/>
          <w:szCs w:val="24"/>
        </w:rPr>
        <w:t xml:space="preserve"> could be shown to be materially inaccurate or misleading.</w:t>
      </w:r>
      <w:r w:rsidR="00593FBC">
        <w:rPr>
          <w:rFonts w:ascii="Times New Roman" w:hAnsi="Times New Roman"/>
          <w:sz w:val="24"/>
          <w:szCs w:val="24"/>
        </w:rPr>
        <w:t xml:space="preserve"> </w:t>
      </w:r>
      <w:r w:rsidRPr="006F53FC">
        <w:rPr>
          <w:rFonts w:ascii="Times New Roman" w:hAnsi="Times New Roman"/>
          <w:sz w:val="24"/>
          <w:szCs w:val="24"/>
        </w:rPr>
        <w:t xml:space="preserve"> </w:t>
      </w:r>
    </w:p>
    <w:p w14:paraId="1DF7D8C5" w14:textId="77777777" w:rsidR="006F53FC" w:rsidRPr="006F53FC" w:rsidRDefault="006F53FC" w:rsidP="006F53FC">
      <w:pPr>
        <w:pStyle w:val="ListParagraph"/>
        <w:rPr>
          <w:rFonts w:ascii="Times New Roman" w:hAnsi="Times New Roman" w:cs="Times New Roman"/>
          <w:sz w:val="24"/>
          <w:szCs w:val="24"/>
        </w:rPr>
      </w:pPr>
    </w:p>
    <w:p w14:paraId="1DF7D8C6" w14:textId="77777777" w:rsidR="00E94324" w:rsidRPr="006F53FC" w:rsidRDefault="00E94324" w:rsidP="006F53F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F53FC">
        <w:rPr>
          <w:rFonts w:ascii="Times New Roman" w:hAnsi="Times New Roman"/>
          <w:sz w:val="24"/>
          <w:szCs w:val="24"/>
        </w:rPr>
        <w:t xml:space="preserve">This is no longer the case. The rules were substantially relaxed by the House of Lords in </w:t>
      </w:r>
      <w:r w:rsidRPr="006F53FC">
        <w:rPr>
          <w:rFonts w:ascii="Times New Roman" w:hAnsi="Times New Roman"/>
          <w:i/>
          <w:sz w:val="24"/>
          <w:szCs w:val="24"/>
        </w:rPr>
        <w:t>Tweed v Parades Commission of Northern Ireland</w:t>
      </w:r>
      <w:r w:rsidRPr="006F53FC">
        <w:rPr>
          <w:rFonts w:ascii="Times New Roman" w:hAnsi="Times New Roman"/>
          <w:sz w:val="24"/>
          <w:szCs w:val="24"/>
        </w:rPr>
        <w:t xml:space="preserve"> [2007] 1 AC 650. </w:t>
      </w:r>
    </w:p>
    <w:p w14:paraId="1DF7D8C7" w14:textId="77777777" w:rsidR="00E94324" w:rsidRPr="008D6B3D" w:rsidRDefault="00E94324" w:rsidP="00593FBC">
      <w:pPr>
        <w:spacing w:after="0" w:line="240" w:lineRule="auto"/>
        <w:rPr>
          <w:rFonts w:ascii="Times New Roman" w:hAnsi="Times New Roman"/>
          <w:sz w:val="24"/>
          <w:szCs w:val="24"/>
        </w:rPr>
      </w:pPr>
    </w:p>
    <w:p w14:paraId="1DF7D8C8" w14:textId="63A05747" w:rsidR="00E94324" w:rsidRDefault="00E94324" w:rsidP="00593FBC">
      <w:pPr>
        <w:spacing w:after="0" w:line="240" w:lineRule="auto"/>
        <w:ind w:left="1440"/>
        <w:jc w:val="both"/>
        <w:rPr>
          <w:rFonts w:ascii="Times New Roman" w:hAnsi="Times New Roman"/>
          <w:color w:val="000000"/>
          <w:sz w:val="24"/>
          <w:szCs w:val="24"/>
        </w:rPr>
      </w:pPr>
      <w:r w:rsidRPr="006F53FC">
        <w:rPr>
          <w:rFonts w:ascii="Times New Roman" w:hAnsi="Times New Roman"/>
          <w:i/>
          <w:color w:val="000000"/>
          <w:sz w:val="24"/>
          <w:szCs w:val="24"/>
        </w:rPr>
        <w:t>“</w:t>
      </w:r>
      <w:proofErr w:type="gramStart"/>
      <w:r w:rsidRPr="006F53FC">
        <w:rPr>
          <w:rFonts w:ascii="Times New Roman" w:hAnsi="Times New Roman"/>
          <w:i/>
          <w:color w:val="000000"/>
          <w:sz w:val="24"/>
          <w:szCs w:val="24"/>
        </w:rPr>
        <w:t>it</w:t>
      </w:r>
      <w:proofErr w:type="gramEnd"/>
      <w:r w:rsidRPr="006F53FC">
        <w:rPr>
          <w:rFonts w:ascii="Times New Roman" w:hAnsi="Times New Roman"/>
          <w:i/>
          <w:color w:val="000000"/>
          <w:sz w:val="24"/>
          <w:szCs w:val="24"/>
        </w:rPr>
        <w:t xml:space="preserve"> would now be desirable to substitute for the rules hitherto applied a more flexible and less prescriptive principle, which judges the need for disclosure in accordance with the requirements of the particular case, taking into account the facts and circumstances. It will not arise in most applications for judicial review, for they generally raise legal issues which do not call for disclosure of documents. For this reason the courts are correct in not ordering disclosure in the same routine manner as it is given in actions commenced by writ. Even in cases involving issues of proportionality disclosure should be carefully limited to the issues which require it in the interests of justice. This object will be assisted if parties seeking disclosure continue to follow the practice where possible of</w:t>
      </w:r>
      <w:r w:rsidRPr="008D6B3D">
        <w:rPr>
          <w:rFonts w:ascii="Times New Roman" w:hAnsi="Times New Roman"/>
          <w:color w:val="000000"/>
          <w:sz w:val="24"/>
          <w:szCs w:val="24"/>
        </w:rPr>
        <w:t xml:space="preserve"> </w:t>
      </w:r>
      <w:r w:rsidRPr="006F53FC">
        <w:rPr>
          <w:rFonts w:ascii="Times New Roman" w:hAnsi="Times New Roman"/>
          <w:i/>
          <w:color w:val="000000"/>
          <w:sz w:val="24"/>
          <w:szCs w:val="24"/>
        </w:rPr>
        <w:t>specifying the particular documents or classes of documents they require, as was done in the case before the House, rather than asking for an</w:t>
      </w:r>
      <w:r w:rsidR="006F53FC">
        <w:rPr>
          <w:rFonts w:ascii="Times New Roman" w:hAnsi="Times New Roman"/>
          <w:i/>
          <w:color w:val="000000"/>
          <w:sz w:val="24"/>
          <w:szCs w:val="24"/>
        </w:rPr>
        <w:t xml:space="preserve"> order for general disclosure.” </w:t>
      </w:r>
      <w:r w:rsidR="006F53FC">
        <w:rPr>
          <w:rFonts w:ascii="Times New Roman" w:hAnsi="Times New Roman"/>
          <w:color w:val="000000"/>
          <w:sz w:val="24"/>
          <w:szCs w:val="24"/>
        </w:rPr>
        <w:t xml:space="preserve">(At [32] </w:t>
      </w:r>
      <w:r w:rsidRPr="008D6B3D">
        <w:rPr>
          <w:rFonts w:ascii="Times New Roman" w:hAnsi="Times New Roman"/>
          <w:color w:val="000000"/>
          <w:sz w:val="24"/>
          <w:szCs w:val="24"/>
        </w:rPr>
        <w:t xml:space="preserve">per Lord Carswell and see Lord Brown at </w:t>
      </w:r>
      <w:r w:rsidR="006F53FC">
        <w:rPr>
          <w:rFonts w:ascii="Times New Roman" w:hAnsi="Times New Roman"/>
          <w:color w:val="000000"/>
          <w:sz w:val="24"/>
          <w:szCs w:val="24"/>
        </w:rPr>
        <w:t>[</w:t>
      </w:r>
      <w:r w:rsidRPr="008D6B3D">
        <w:rPr>
          <w:rFonts w:ascii="Times New Roman" w:hAnsi="Times New Roman"/>
          <w:color w:val="000000"/>
          <w:sz w:val="24"/>
          <w:szCs w:val="24"/>
        </w:rPr>
        <w:t>56</w:t>
      </w:r>
      <w:r w:rsidR="006F53FC">
        <w:rPr>
          <w:rFonts w:ascii="Times New Roman" w:hAnsi="Times New Roman"/>
          <w:color w:val="000000"/>
          <w:sz w:val="24"/>
          <w:szCs w:val="24"/>
        </w:rPr>
        <w:t>])</w:t>
      </w:r>
      <w:r w:rsidRPr="008D6B3D">
        <w:rPr>
          <w:rFonts w:ascii="Times New Roman" w:hAnsi="Times New Roman"/>
          <w:color w:val="000000"/>
          <w:sz w:val="24"/>
          <w:szCs w:val="24"/>
        </w:rPr>
        <w:t xml:space="preserve">. </w:t>
      </w:r>
    </w:p>
    <w:p w14:paraId="1941303D" w14:textId="77777777" w:rsidR="00593FBC" w:rsidRPr="008D6B3D" w:rsidRDefault="00593FBC" w:rsidP="00593FBC">
      <w:pPr>
        <w:spacing w:after="0" w:line="360" w:lineRule="auto"/>
        <w:ind w:left="1440"/>
        <w:jc w:val="both"/>
        <w:rPr>
          <w:rFonts w:ascii="Times New Roman" w:hAnsi="Times New Roman"/>
          <w:color w:val="000000"/>
          <w:sz w:val="24"/>
          <w:szCs w:val="24"/>
        </w:rPr>
      </w:pPr>
    </w:p>
    <w:p w14:paraId="1DF7D8C9" w14:textId="77777777" w:rsidR="00E94324" w:rsidRDefault="00E94324" w:rsidP="006F53FC">
      <w:pPr>
        <w:pStyle w:val="ListParagraph"/>
        <w:numPr>
          <w:ilvl w:val="0"/>
          <w:numId w:val="31"/>
        </w:numPr>
        <w:spacing w:after="0" w:line="360" w:lineRule="auto"/>
        <w:jc w:val="both"/>
        <w:rPr>
          <w:rFonts w:ascii="Times New Roman" w:hAnsi="Times New Roman"/>
          <w:color w:val="000000"/>
          <w:sz w:val="24"/>
          <w:szCs w:val="24"/>
        </w:rPr>
      </w:pPr>
      <w:r w:rsidRPr="006F53FC">
        <w:rPr>
          <w:rFonts w:ascii="Times New Roman" w:hAnsi="Times New Roman"/>
          <w:sz w:val="24"/>
          <w:szCs w:val="24"/>
        </w:rPr>
        <w:t xml:space="preserve">However, this does not mean that disclosure will be ordered as a matter of routine. </w:t>
      </w:r>
      <w:r w:rsidRPr="006F53FC">
        <w:rPr>
          <w:rFonts w:ascii="Times New Roman" w:hAnsi="Times New Roman"/>
          <w:i/>
          <w:sz w:val="24"/>
          <w:szCs w:val="24"/>
        </w:rPr>
        <w:t>“The test will always be whether, in the given case, disclosure appears to be necessary in order to resolve the matter fairly and justly”</w:t>
      </w:r>
      <w:r w:rsidRPr="006F53FC">
        <w:rPr>
          <w:rStyle w:val="FootnoteReference"/>
          <w:rFonts w:ascii="Times New Roman" w:hAnsi="Times New Roman"/>
          <w:sz w:val="24"/>
          <w:szCs w:val="24"/>
        </w:rPr>
        <w:footnoteReference w:id="4"/>
      </w:r>
      <w:r w:rsidRPr="006F53FC">
        <w:rPr>
          <w:rFonts w:ascii="Times New Roman" w:hAnsi="Times New Roman"/>
          <w:sz w:val="24"/>
          <w:szCs w:val="24"/>
        </w:rPr>
        <w:t xml:space="preserve">. Normally applications raise an issue of law and disclosure is unnecessary – See Lord Bingham </w:t>
      </w:r>
      <w:r w:rsidR="006F53FC">
        <w:rPr>
          <w:rFonts w:ascii="Times New Roman" w:hAnsi="Times New Roman"/>
          <w:sz w:val="24"/>
          <w:szCs w:val="24"/>
        </w:rPr>
        <w:t xml:space="preserve">at [2]-[3], </w:t>
      </w:r>
      <w:r w:rsidR="006F53FC" w:rsidRPr="006F53FC">
        <w:rPr>
          <w:rFonts w:ascii="Times New Roman" w:hAnsi="Times New Roman"/>
          <w:i/>
          <w:sz w:val="24"/>
          <w:szCs w:val="24"/>
        </w:rPr>
        <w:t>Tweed</w:t>
      </w:r>
      <w:r w:rsidRPr="006F53FC">
        <w:rPr>
          <w:rFonts w:ascii="Times New Roman" w:hAnsi="Times New Roman"/>
          <w:sz w:val="24"/>
          <w:szCs w:val="24"/>
        </w:rPr>
        <w:t xml:space="preserve">. Disclosure should be limited to the minority of cases where the </w:t>
      </w:r>
      <w:r w:rsidRPr="006F53FC">
        <w:rPr>
          <w:rFonts w:ascii="Times New Roman" w:hAnsi="Times New Roman"/>
          <w:i/>
          <w:sz w:val="24"/>
          <w:szCs w:val="24"/>
        </w:rPr>
        <w:t>“precise facts are significant”.</w:t>
      </w:r>
      <w:r w:rsidRPr="006F53FC">
        <w:rPr>
          <w:rFonts w:ascii="Times New Roman" w:hAnsi="Times New Roman"/>
          <w:sz w:val="24"/>
          <w:szCs w:val="24"/>
        </w:rPr>
        <w:t xml:space="preserve"> Lord Brown thought the impact would be simply that </w:t>
      </w:r>
      <w:r w:rsidRPr="006F53FC">
        <w:rPr>
          <w:rFonts w:ascii="Times New Roman" w:hAnsi="Times New Roman"/>
          <w:i/>
          <w:sz w:val="24"/>
          <w:szCs w:val="24"/>
        </w:rPr>
        <w:t>“</w:t>
      </w:r>
      <w:r w:rsidRPr="006F53FC">
        <w:rPr>
          <w:rFonts w:ascii="Times New Roman" w:hAnsi="Times New Roman"/>
          <w:i/>
          <w:color w:val="000000"/>
          <w:sz w:val="24"/>
          <w:szCs w:val="24"/>
        </w:rPr>
        <w:t>the courts may be expected to show a somewhat greater readiness than hitherto to order disclosure of the main documents underlying proportionality decisions”</w:t>
      </w:r>
      <w:r w:rsidRPr="006F53FC">
        <w:rPr>
          <w:rFonts w:ascii="Times New Roman" w:hAnsi="Times New Roman"/>
          <w:color w:val="000000"/>
          <w:sz w:val="24"/>
          <w:szCs w:val="24"/>
        </w:rPr>
        <w:t xml:space="preserve"> and that orders for disclosure would remain </w:t>
      </w:r>
      <w:r w:rsidRPr="006F53FC">
        <w:rPr>
          <w:rFonts w:ascii="Times New Roman" w:hAnsi="Times New Roman"/>
          <w:color w:val="000000"/>
          <w:sz w:val="24"/>
          <w:szCs w:val="24"/>
        </w:rPr>
        <w:lastRenderedPageBreak/>
        <w:t xml:space="preserve">exceptional [56].  In </w:t>
      </w:r>
      <w:r w:rsidRPr="006F53FC">
        <w:rPr>
          <w:rFonts w:ascii="Times New Roman" w:hAnsi="Times New Roman"/>
          <w:i/>
          <w:color w:val="000000"/>
          <w:sz w:val="24"/>
          <w:szCs w:val="24"/>
        </w:rPr>
        <w:t>Ford v FSA</w:t>
      </w:r>
      <w:r w:rsidRPr="006F53FC">
        <w:rPr>
          <w:rFonts w:ascii="Times New Roman" w:hAnsi="Times New Roman"/>
          <w:color w:val="000000"/>
          <w:sz w:val="24"/>
          <w:szCs w:val="24"/>
        </w:rPr>
        <w:t xml:space="preserve"> [2012] EWHC 997 Burnett J refused disclosure of correspondence between the FSA and third parties about the use of confidential information because there was “</w:t>
      </w:r>
      <w:r w:rsidRPr="006F53FC">
        <w:rPr>
          <w:rFonts w:ascii="Times New Roman" w:hAnsi="Times New Roman"/>
          <w:i/>
          <w:sz w:val="24"/>
          <w:szCs w:val="24"/>
        </w:rPr>
        <w:t>no reason to suppose that anything is amiss</w:t>
      </w:r>
      <w:r w:rsidRPr="006F53FC">
        <w:rPr>
          <w:rFonts w:ascii="Times New Roman" w:hAnsi="Times New Roman"/>
          <w:sz w:val="24"/>
          <w:szCs w:val="24"/>
        </w:rPr>
        <w:t>”.</w:t>
      </w:r>
      <w:r w:rsidRPr="006F53FC">
        <w:rPr>
          <w:rFonts w:ascii="Times New Roman" w:hAnsi="Times New Roman"/>
          <w:color w:val="000000"/>
          <w:sz w:val="24"/>
          <w:szCs w:val="24"/>
        </w:rPr>
        <w:t xml:space="preserve"> </w:t>
      </w:r>
    </w:p>
    <w:p w14:paraId="1DF7D8CA" w14:textId="77777777" w:rsidR="006F53FC" w:rsidRDefault="006F53FC" w:rsidP="006F53FC">
      <w:pPr>
        <w:pStyle w:val="ListParagraph"/>
        <w:spacing w:after="0" w:line="360" w:lineRule="auto"/>
        <w:jc w:val="both"/>
        <w:rPr>
          <w:rFonts w:ascii="Times New Roman" w:hAnsi="Times New Roman"/>
          <w:color w:val="000000"/>
          <w:sz w:val="24"/>
          <w:szCs w:val="24"/>
        </w:rPr>
      </w:pPr>
    </w:p>
    <w:p w14:paraId="1DF7D8CB" w14:textId="257747AE" w:rsidR="00E94324" w:rsidRPr="006F53FC" w:rsidRDefault="00E94324" w:rsidP="006F53FC">
      <w:pPr>
        <w:pStyle w:val="ListParagraph"/>
        <w:numPr>
          <w:ilvl w:val="0"/>
          <w:numId w:val="31"/>
        </w:numPr>
        <w:spacing w:after="0" w:line="360" w:lineRule="auto"/>
        <w:jc w:val="both"/>
        <w:rPr>
          <w:rFonts w:ascii="Times New Roman" w:hAnsi="Times New Roman"/>
          <w:color w:val="000000"/>
          <w:sz w:val="24"/>
          <w:szCs w:val="24"/>
        </w:rPr>
      </w:pPr>
      <w:r w:rsidRPr="006F53FC">
        <w:rPr>
          <w:rFonts w:ascii="Times New Roman" w:hAnsi="Times New Roman"/>
          <w:color w:val="000000"/>
          <w:sz w:val="24"/>
          <w:szCs w:val="24"/>
        </w:rPr>
        <w:t xml:space="preserve">If an application for disclosure is made then it must be </w:t>
      </w:r>
      <w:r w:rsidRPr="006F53FC">
        <w:rPr>
          <w:rFonts w:ascii="Times New Roman" w:hAnsi="Times New Roman"/>
          <w:i/>
          <w:color w:val="000000"/>
          <w:sz w:val="24"/>
          <w:szCs w:val="24"/>
        </w:rPr>
        <w:t>“</w:t>
      </w:r>
      <w:r w:rsidRPr="006F53FC">
        <w:rPr>
          <w:rFonts w:ascii="Times New Roman" w:hAnsi="Times New Roman"/>
          <w:i/>
          <w:sz w:val="24"/>
          <w:szCs w:val="24"/>
        </w:rPr>
        <w:t>properly focussed on auditing the legality of public decision making”</w:t>
      </w:r>
      <w:r w:rsidR="006F53FC">
        <w:rPr>
          <w:rFonts w:ascii="Times New Roman" w:hAnsi="Times New Roman"/>
          <w:i/>
          <w:sz w:val="24"/>
          <w:szCs w:val="24"/>
        </w:rPr>
        <w:t>:</w:t>
      </w:r>
      <w:r w:rsidRPr="006F53FC">
        <w:rPr>
          <w:rFonts w:ascii="Times New Roman" w:hAnsi="Times New Roman"/>
          <w:sz w:val="24"/>
          <w:szCs w:val="24"/>
        </w:rPr>
        <w:t xml:space="preserve"> </w:t>
      </w:r>
      <w:proofErr w:type="spellStart"/>
      <w:r w:rsidRPr="006F53FC">
        <w:rPr>
          <w:rFonts w:ascii="Times New Roman" w:hAnsi="Times New Roman"/>
          <w:i/>
          <w:sz w:val="24"/>
          <w:szCs w:val="24"/>
        </w:rPr>
        <w:t>Bredenkamp</w:t>
      </w:r>
      <w:proofErr w:type="spellEnd"/>
      <w:r w:rsidR="00593FBC">
        <w:rPr>
          <w:rFonts w:ascii="Times New Roman" w:hAnsi="Times New Roman"/>
          <w:i/>
          <w:sz w:val="24"/>
          <w:szCs w:val="24"/>
        </w:rPr>
        <w:t>,</w:t>
      </w:r>
      <w:r w:rsidR="006F53FC">
        <w:rPr>
          <w:rFonts w:ascii="Times New Roman" w:hAnsi="Times New Roman"/>
          <w:i/>
          <w:sz w:val="24"/>
          <w:szCs w:val="24"/>
        </w:rPr>
        <w:t xml:space="preserve"> </w:t>
      </w:r>
      <w:r w:rsidR="006F53FC" w:rsidRPr="006F53FC">
        <w:rPr>
          <w:rFonts w:ascii="Times New Roman" w:hAnsi="Times New Roman"/>
          <w:sz w:val="24"/>
          <w:szCs w:val="24"/>
        </w:rPr>
        <w:t>[</w:t>
      </w:r>
      <w:r w:rsidRPr="006F53FC">
        <w:rPr>
          <w:rFonts w:ascii="Times New Roman" w:hAnsi="Times New Roman"/>
          <w:sz w:val="24"/>
          <w:szCs w:val="24"/>
        </w:rPr>
        <w:t>11</w:t>
      </w:r>
      <w:r w:rsidR="006F53FC" w:rsidRPr="006F53FC">
        <w:rPr>
          <w:rFonts w:ascii="Times New Roman" w:hAnsi="Times New Roman"/>
          <w:sz w:val="24"/>
          <w:szCs w:val="24"/>
        </w:rPr>
        <w:t>]</w:t>
      </w:r>
      <w:r w:rsidRPr="006F53FC">
        <w:rPr>
          <w:rFonts w:ascii="Times New Roman" w:hAnsi="Times New Roman"/>
          <w:sz w:val="24"/>
          <w:szCs w:val="24"/>
        </w:rPr>
        <w:t xml:space="preserve">. </w:t>
      </w:r>
    </w:p>
    <w:p w14:paraId="1DF7D8CC" w14:textId="77777777" w:rsidR="006F53FC" w:rsidRPr="006F53FC" w:rsidRDefault="006F53FC" w:rsidP="006F53FC">
      <w:pPr>
        <w:pStyle w:val="ListParagraph"/>
        <w:rPr>
          <w:rFonts w:ascii="Times New Roman" w:hAnsi="Times New Roman"/>
          <w:color w:val="000000"/>
          <w:sz w:val="24"/>
          <w:szCs w:val="24"/>
        </w:rPr>
      </w:pPr>
    </w:p>
    <w:p w14:paraId="1DF7D8CD" w14:textId="77777777" w:rsidR="006F53FC" w:rsidRDefault="00E94324" w:rsidP="006F53FC">
      <w:pPr>
        <w:pStyle w:val="ListParagraph"/>
        <w:numPr>
          <w:ilvl w:val="0"/>
          <w:numId w:val="31"/>
        </w:numPr>
        <w:spacing w:after="0" w:line="360" w:lineRule="auto"/>
        <w:jc w:val="both"/>
        <w:rPr>
          <w:rFonts w:ascii="Times New Roman" w:hAnsi="Times New Roman"/>
          <w:color w:val="000000"/>
          <w:sz w:val="24"/>
          <w:szCs w:val="24"/>
        </w:rPr>
      </w:pPr>
      <w:r w:rsidRPr="006F53FC">
        <w:rPr>
          <w:rFonts w:ascii="Times New Roman" w:hAnsi="Times New Roman"/>
          <w:color w:val="000000"/>
          <w:sz w:val="24"/>
          <w:szCs w:val="24"/>
        </w:rPr>
        <w:t xml:space="preserve">Disclosure may be ordered despite the fact that documents are confidential and in appropriate cases the court may require documents to be produced to it so that it can assess whether disclosure is necessary </w:t>
      </w:r>
      <w:r w:rsidRPr="006F53FC">
        <w:rPr>
          <w:rFonts w:ascii="Times New Roman" w:hAnsi="Times New Roman"/>
          <w:i/>
          <w:color w:val="000000"/>
          <w:sz w:val="24"/>
          <w:szCs w:val="24"/>
        </w:rPr>
        <w:t>(Re Finucane’s application</w:t>
      </w:r>
      <w:r w:rsidRPr="006F53FC">
        <w:rPr>
          <w:rFonts w:ascii="Times New Roman" w:hAnsi="Times New Roman"/>
          <w:color w:val="000000"/>
          <w:sz w:val="24"/>
          <w:szCs w:val="24"/>
        </w:rPr>
        <w:t xml:space="preserve"> [2013] NIQB 45, </w:t>
      </w:r>
      <w:r w:rsidRPr="006F53FC">
        <w:rPr>
          <w:rFonts w:ascii="Times New Roman" w:hAnsi="Times New Roman"/>
          <w:i/>
          <w:color w:val="000000"/>
          <w:sz w:val="24"/>
          <w:szCs w:val="24"/>
        </w:rPr>
        <w:t xml:space="preserve">R (NAPO) v SSJ </w:t>
      </w:r>
      <w:r w:rsidRPr="006F53FC">
        <w:rPr>
          <w:rFonts w:ascii="Times New Roman" w:hAnsi="Times New Roman"/>
          <w:color w:val="000000"/>
          <w:sz w:val="24"/>
          <w:szCs w:val="24"/>
        </w:rPr>
        <w:t>[2014] EWHC 4349 (Admin)) or it can order disclosure of the gist of information (</w:t>
      </w:r>
      <w:r w:rsidRPr="006F53FC">
        <w:rPr>
          <w:rFonts w:ascii="Times New Roman" w:hAnsi="Times New Roman"/>
          <w:i/>
          <w:sz w:val="24"/>
          <w:szCs w:val="24"/>
        </w:rPr>
        <w:t>A (a Child) v CC Dorset</w:t>
      </w:r>
      <w:r w:rsidRPr="006F53FC">
        <w:rPr>
          <w:rFonts w:ascii="Times New Roman" w:hAnsi="Times New Roman"/>
          <w:sz w:val="24"/>
          <w:szCs w:val="24"/>
        </w:rPr>
        <w:t xml:space="preserve"> [2010] EWHC 1748 (Admin))</w:t>
      </w:r>
      <w:r w:rsidRPr="006F53FC">
        <w:rPr>
          <w:rFonts w:ascii="Times New Roman" w:hAnsi="Times New Roman"/>
          <w:color w:val="000000"/>
          <w:sz w:val="24"/>
          <w:szCs w:val="24"/>
        </w:rPr>
        <w:t xml:space="preserve">. </w:t>
      </w:r>
    </w:p>
    <w:p w14:paraId="1DF7D8CE" w14:textId="77777777" w:rsidR="006F53FC" w:rsidRPr="006F53FC" w:rsidRDefault="006F53FC" w:rsidP="006F53FC">
      <w:pPr>
        <w:pStyle w:val="ListParagraph"/>
        <w:rPr>
          <w:rFonts w:ascii="Times New Roman" w:hAnsi="Times New Roman"/>
          <w:i/>
          <w:color w:val="000000"/>
          <w:sz w:val="24"/>
          <w:szCs w:val="24"/>
        </w:rPr>
      </w:pPr>
    </w:p>
    <w:p w14:paraId="1DF7D8CF" w14:textId="77777777" w:rsidR="00E94324" w:rsidRPr="006F53FC" w:rsidRDefault="00E94324" w:rsidP="006F53FC">
      <w:pPr>
        <w:pStyle w:val="ListParagraph"/>
        <w:numPr>
          <w:ilvl w:val="0"/>
          <w:numId w:val="31"/>
        </w:numPr>
        <w:spacing w:after="0" w:line="360" w:lineRule="auto"/>
        <w:jc w:val="both"/>
        <w:rPr>
          <w:rFonts w:ascii="Times New Roman" w:hAnsi="Times New Roman"/>
          <w:color w:val="000000"/>
          <w:sz w:val="24"/>
          <w:szCs w:val="24"/>
        </w:rPr>
      </w:pPr>
      <w:r w:rsidRPr="006F53FC">
        <w:rPr>
          <w:rFonts w:ascii="Times New Roman" w:hAnsi="Times New Roman"/>
          <w:i/>
          <w:color w:val="000000"/>
          <w:sz w:val="24"/>
          <w:szCs w:val="24"/>
        </w:rPr>
        <w:t xml:space="preserve"> </w:t>
      </w:r>
      <w:r w:rsidRPr="006F53FC">
        <w:rPr>
          <w:rFonts w:ascii="Times New Roman" w:hAnsi="Times New Roman"/>
          <w:sz w:val="24"/>
          <w:szCs w:val="24"/>
        </w:rPr>
        <w:t xml:space="preserve">Disclosure may be ordered to make the decision under challenge intelligible. For example, in </w:t>
      </w:r>
      <w:r w:rsidRPr="006F53FC">
        <w:rPr>
          <w:rFonts w:ascii="Times New Roman" w:hAnsi="Times New Roman"/>
          <w:i/>
          <w:sz w:val="24"/>
          <w:szCs w:val="24"/>
        </w:rPr>
        <w:t>R (</w:t>
      </w:r>
      <w:proofErr w:type="spellStart"/>
      <w:r w:rsidRPr="006F53FC">
        <w:rPr>
          <w:rFonts w:ascii="Times New Roman" w:hAnsi="Times New Roman"/>
          <w:i/>
          <w:sz w:val="24"/>
          <w:szCs w:val="24"/>
        </w:rPr>
        <w:t>Firstgroup</w:t>
      </w:r>
      <w:proofErr w:type="spellEnd"/>
      <w:r w:rsidRPr="006F53FC">
        <w:rPr>
          <w:rFonts w:ascii="Times New Roman" w:hAnsi="Times New Roman"/>
          <w:i/>
          <w:sz w:val="24"/>
          <w:szCs w:val="24"/>
        </w:rPr>
        <w:t xml:space="preserve"> Plc) v Strategic Rail Authority</w:t>
      </w:r>
      <w:r w:rsidRPr="006F53FC">
        <w:rPr>
          <w:rFonts w:ascii="Times New Roman" w:hAnsi="Times New Roman"/>
          <w:sz w:val="24"/>
          <w:szCs w:val="24"/>
        </w:rPr>
        <w:t xml:space="preserve"> [2003] EWHC 1611 (Admin) anonymised disclosure was ordered of scores in a rail franchise exercise, in part so that the court could evaluate an irrationality challenge.    </w:t>
      </w:r>
    </w:p>
    <w:p w14:paraId="1DF7D8D0" w14:textId="77777777" w:rsidR="006F53FC" w:rsidRPr="006F53FC" w:rsidRDefault="006F53FC" w:rsidP="006F53FC">
      <w:pPr>
        <w:pStyle w:val="ListParagraph"/>
        <w:rPr>
          <w:rFonts w:ascii="Times New Roman" w:hAnsi="Times New Roman"/>
          <w:color w:val="000000"/>
          <w:sz w:val="24"/>
          <w:szCs w:val="24"/>
        </w:rPr>
      </w:pPr>
    </w:p>
    <w:p w14:paraId="1DF7D8D1" w14:textId="77777777" w:rsidR="00E94324" w:rsidRPr="006F53FC" w:rsidRDefault="00E94324" w:rsidP="006F53FC">
      <w:pPr>
        <w:pStyle w:val="ListParagraph"/>
        <w:numPr>
          <w:ilvl w:val="0"/>
          <w:numId w:val="31"/>
        </w:numPr>
        <w:spacing w:after="0" w:line="360" w:lineRule="auto"/>
        <w:jc w:val="both"/>
        <w:rPr>
          <w:rFonts w:ascii="Times New Roman" w:hAnsi="Times New Roman"/>
          <w:color w:val="000000"/>
          <w:sz w:val="24"/>
          <w:szCs w:val="24"/>
        </w:rPr>
      </w:pPr>
      <w:r w:rsidRPr="006F53FC">
        <w:rPr>
          <w:rFonts w:ascii="Times New Roman" w:hAnsi="Times New Roman"/>
          <w:sz w:val="24"/>
          <w:szCs w:val="24"/>
        </w:rPr>
        <w:t xml:space="preserve">It may also be necessary to make disclosure so that cross examination can be effective – </w:t>
      </w:r>
      <w:r w:rsidRPr="006F53FC">
        <w:rPr>
          <w:rFonts w:ascii="Times New Roman" w:hAnsi="Times New Roman"/>
          <w:i/>
          <w:sz w:val="24"/>
          <w:szCs w:val="24"/>
        </w:rPr>
        <w:t xml:space="preserve">Al </w:t>
      </w:r>
      <w:proofErr w:type="spellStart"/>
      <w:r w:rsidRPr="006F53FC">
        <w:rPr>
          <w:rFonts w:ascii="Times New Roman" w:hAnsi="Times New Roman"/>
          <w:i/>
          <w:sz w:val="24"/>
          <w:szCs w:val="24"/>
        </w:rPr>
        <w:t>Sweady</w:t>
      </w:r>
      <w:proofErr w:type="spellEnd"/>
      <w:r w:rsidRPr="006F53FC">
        <w:rPr>
          <w:rFonts w:ascii="Times New Roman" w:hAnsi="Times New Roman"/>
          <w:i/>
          <w:sz w:val="24"/>
          <w:szCs w:val="24"/>
        </w:rPr>
        <w:t xml:space="preserve"> </w:t>
      </w:r>
      <w:r w:rsidRPr="006F53FC">
        <w:rPr>
          <w:rFonts w:ascii="Times New Roman" w:hAnsi="Times New Roman"/>
          <w:sz w:val="24"/>
          <w:szCs w:val="24"/>
        </w:rPr>
        <w:t>(below):</w:t>
      </w:r>
    </w:p>
    <w:p w14:paraId="1DF7D8D2" w14:textId="77777777" w:rsidR="00E94324" w:rsidRPr="008D6B3D" w:rsidRDefault="00E94324" w:rsidP="009D0ADD">
      <w:pPr>
        <w:pStyle w:val="ListParagraph"/>
        <w:spacing w:after="0" w:line="240" w:lineRule="auto"/>
        <w:rPr>
          <w:rFonts w:ascii="Times New Roman" w:hAnsi="Times New Roman"/>
          <w:sz w:val="24"/>
          <w:szCs w:val="24"/>
        </w:rPr>
      </w:pPr>
    </w:p>
    <w:p w14:paraId="1DF7D8D3" w14:textId="77777777" w:rsidR="00E94324" w:rsidRPr="008D6B3D" w:rsidRDefault="00E94324" w:rsidP="009D0ADD">
      <w:pPr>
        <w:pStyle w:val="indent11"/>
        <w:ind w:left="1440"/>
        <w:jc w:val="both"/>
      </w:pPr>
      <w:r w:rsidRPr="006F53FC">
        <w:rPr>
          <w:i/>
        </w:rPr>
        <w:t>“For there to have been effective cross-examination, it was vital for full disclosure to occur as otherwise the evidence of those witnesses could not be effectively challenged and appraised with the consequence that the truth would not have been discovered. Put in another way, where the court is involved in fact-finding on issues as crucial to the outcome of this case as they were in the present case, the approach to disclosure should be similar to that in an ordinary Queen’s Bench action”</w:t>
      </w:r>
      <w:r w:rsidRPr="008D6B3D">
        <w:t xml:space="preserve"> </w:t>
      </w:r>
      <w:r w:rsidR="006F53FC">
        <w:t>: at [</w:t>
      </w:r>
      <w:r w:rsidRPr="008D6B3D">
        <w:t>27</w:t>
      </w:r>
      <w:r w:rsidR="006F53FC">
        <w:t>]</w:t>
      </w:r>
      <w:r w:rsidRPr="008D6B3D">
        <w:t xml:space="preserve">. </w:t>
      </w:r>
    </w:p>
    <w:p w14:paraId="1DF7D8D4" w14:textId="77777777" w:rsidR="00E94324" w:rsidRPr="008D6B3D" w:rsidRDefault="00E94324" w:rsidP="00E94324">
      <w:pPr>
        <w:spacing w:line="360" w:lineRule="auto"/>
        <w:rPr>
          <w:rFonts w:ascii="Times New Roman" w:hAnsi="Times New Roman"/>
          <w:sz w:val="24"/>
          <w:szCs w:val="24"/>
        </w:rPr>
      </w:pPr>
    </w:p>
    <w:p w14:paraId="1DF7D8D5" w14:textId="669C6CE1" w:rsidR="00E94324"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Claimants should also consider applications for information under the Freedom of Information Act 2000 and Data Protection Act 1998. </w:t>
      </w:r>
    </w:p>
    <w:p w14:paraId="1A09D2C0" w14:textId="77777777" w:rsidR="00593FBC" w:rsidRPr="0068488D" w:rsidRDefault="00593FBC" w:rsidP="0068488D">
      <w:pPr>
        <w:spacing w:after="0" w:line="360" w:lineRule="auto"/>
        <w:ind w:left="360"/>
        <w:rPr>
          <w:rFonts w:ascii="Times New Roman" w:hAnsi="Times New Roman"/>
          <w:i/>
          <w:sz w:val="24"/>
        </w:rPr>
      </w:pPr>
    </w:p>
    <w:p w14:paraId="00A44F74" w14:textId="77777777" w:rsidR="00BC7385" w:rsidRPr="00BC7385" w:rsidRDefault="00BC7385" w:rsidP="001671B6">
      <w:pPr>
        <w:spacing w:line="360" w:lineRule="auto"/>
        <w:ind w:firstLine="357"/>
        <w:rPr>
          <w:rFonts w:ascii="Times New Roman" w:hAnsi="Times New Roman"/>
          <w:i/>
          <w:sz w:val="24"/>
          <w:szCs w:val="24"/>
        </w:rPr>
      </w:pPr>
      <w:r w:rsidRPr="00BC7385">
        <w:rPr>
          <w:rFonts w:ascii="Times New Roman" w:hAnsi="Times New Roman"/>
          <w:i/>
          <w:sz w:val="24"/>
          <w:szCs w:val="24"/>
        </w:rPr>
        <w:t>Closed Proceedings</w:t>
      </w:r>
    </w:p>
    <w:p w14:paraId="0444F8D2" w14:textId="01A1D7DE" w:rsidR="00BC7385" w:rsidRDefault="00593FBC" w:rsidP="00593FBC">
      <w:pPr>
        <w:numPr>
          <w:ilvl w:val="0"/>
          <w:numId w:val="31"/>
        </w:numPr>
        <w:spacing w:after="0" w:line="360" w:lineRule="auto"/>
        <w:jc w:val="both"/>
        <w:rPr>
          <w:rFonts w:ascii="Times New Roman" w:hAnsi="Times New Roman" w:cs="Times New Roman"/>
          <w:sz w:val="24"/>
          <w:szCs w:val="24"/>
        </w:rPr>
      </w:pPr>
      <w:r>
        <w:rPr>
          <w:rFonts w:ascii="Times New Roman" w:hAnsi="Times New Roman"/>
          <w:sz w:val="24"/>
          <w:szCs w:val="24"/>
        </w:rPr>
        <w:t xml:space="preserve">On a related issue, note the recent decision of the Supreme Court in </w:t>
      </w:r>
      <w:r w:rsidRPr="00593FBC">
        <w:rPr>
          <w:rFonts w:ascii="Times New Roman" w:hAnsi="Times New Roman"/>
          <w:i/>
          <w:sz w:val="24"/>
          <w:szCs w:val="24"/>
        </w:rPr>
        <w:t>R (</w:t>
      </w:r>
      <w:proofErr w:type="spellStart"/>
      <w:r w:rsidRPr="00593FBC">
        <w:rPr>
          <w:rFonts w:ascii="Times New Roman" w:hAnsi="Times New Roman"/>
          <w:i/>
          <w:sz w:val="24"/>
          <w:szCs w:val="24"/>
        </w:rPr>
        <w:t>Belhaj</w:t>
      </w:r>
      <w:proofErr w:type="spellEnd"/>
      <w:r w:rsidRPr="00593FBC">
        <w:rPr>
          <w:rFonts w:ascii="Times New Roman" w:hAnsi="Times New Roman"/>
          <w:i/>
          <w:sz w:val="24"/>
          <w:szCs w:val="24"/>
        </w:rPr>
        <w:t>) v DPP</w:t>
      </w:r>
      <w:r>
        <w:rPr>
          <w:rFonts w:ascii="Times New Roman" w:hAnsi="Times New Roman"/>
          <w:sz w:val="24"/>
          <w:szCs w:val="24"/>
        </w:rPr>
        <w:t xml:space="preserve"> [2018] 3 WLR 435, [2018] UKSC 33. The C</w:t>
      </w:r>
      <w:r w:rsidRPr="00593FBC">
        <w:rPr>
          <w:rFonts w:ascii="Times New Roman" w:hAnsi="Times New Roman" w:cs="Times New Roman"/>
          <w:sz w:val="24"/>
          <w:szCs w:val="24"/>
        </w:rPr>
        <w:t xml:space="preserve">laimants alleged that they had been </w:t>
      </w:r>
      <w:r w:rsidRPr="00593FBC">
        <w:rPr>
          <w:rFonts w:ascii="Times New Roman" w:hAnsi="Times New Roman" w:cs="Times New Roman"/>
          <w:sz w:val="24"/>
          <w:szCs w:val="24"/>
        </w:rPr>
        <w:lastRenderedPageBreak/>
        <w:t xml:space="preserve">unlawfully </w:t>
      </w:r>
      <w:r>
        <w:rPr>
          <w:rFonts w:ascii="Times New Roman" w:hAnsi="Times New Roman" w:cs="Times New Roman"/>
          <w:sz w:val="24"/>
          <w:szCs w:val="24"/>
        </w:rPr>
        <w:t>‘</w:t>
      </w:r>
      <w:r w:rsidRPr="00593FBC">
        <w:rPr>
          <w:rFonts w:ascii="Times New Roman" w:hAnsi="Times New Roman" w:cs="Times New Roman"/>
          <w:sz w:val="24"/>
          <w:szCs w:val="24"/>
        </w:rPr>
        <w:t>rendered</w:t>
      </w:r>
      <w:r>
        <w:rPr>
          <w:rFonts w:ascii="Times New Roman" w:hAnsi="Times New Roman" w:cs="Times New Roman"/>
          <w:sz w:val="24"/>
          <w:szCs w:val="24"/>
        </w:rPr>
        <w:t>’</w:t>
      </w:r>
      <w:r w:rsidRPr="00593FBC">
        <w:rPr>
          <w:rFonts w:ascii="Times New Roman" w:hAnsi="Times New Roman" w:cs="Times New Roman"/>
          <w:sz w:val="24"/>
          <w:szCs w:val="24"/>
        </w:rPr>
        <w:t xml:space="preserve"> from one foreign state to another, where they had been imprisoned, tortured and subjected to other serious maltreatment by the a</w:t>
      </w:r>
      <w:r>
        <w:rPr>
          <w:rFonts w:ascii="Times New Roman" w:hAnsi="Times New Roman" w:cs="Times New Roman"/>
          <w:sz w:val="24"/>
          <w:szCs w:val="24"/>
        </w:rPr>
        <w:t xml:space="preserve">uthorities there; and that the </w:t>
      </w:r>
      <w:r w:rsidRPr="00593FBC">
        <w:rPr>
          <w:rFonts w:ascii="Times New Roman" w:hAnsi="Times New Roman" w:cs="Times New Roman"/>
          <w:sz w:val="24"/>
          <w:szCs w:val="24"/>
        </w:rPr>
        <w:t xml:space="preserve">rendition had been carried out with the assistance of the British Secret Intelligence Service and one of its senior officers. Following a police investigation the </w:t>
      </w:r>
      <w:r>
        <w:rPr>
          <w:rFonts w:ascii="Times New Roman" w:hAnsi="Times New Roman" w:cs="Times New Roman"/>
          <w:sz w:val="24"/>
          <w:szCs w:val="24"/>
        </w:rPr>
        <w:t>DPP</w:t>
      </w:r>
      <w:r w:rsidRPr="00593FBC">
        <w:rPr>
          <w:rFonts w:ascii="Times New Roman" w:hAnsi="Times New Roman" w:cs="Times New Roman"/>
          <w:sz w:val="24"/>
          <w:szCs w:val="24"/>
        </w:rPr>
        <w:t xml:space="preserve"> informed </w:t>
      </w:r>
      <w:r>
        <w:rPr>
          <w:rFonts w:ascii="Times New Roman" w:hAnsi="Times New Roman" w:cs="Times New Roman"/>
          <w:sz w:val="24"/>
          <w:szCs w:val="24"/>
        </w:rPr>
        <w:t xml:space="preserve">them that </w:t>
      </w:r>
      <w:r w:rsidRPr="00593FBC">
        <w:rPr>
          <w:rFonts w:ascii="Times New Roman" w:hAnsi="Times New Roman" w:cs="Times New Roman"/>
          <w:sz w:val="24"/>
          <w:szCs w:val="24"/>
        </w:rPr>
        <w:t>the</w:t>
      </w:r>
      <w:r>
        <w:rPr>
          <w:rFonts w:ascii="Times New Roman" w:hAnsi="Times New Roman" w:cs="Times New Roman"/>
          <w:sz w:val="24"/>
          <w:szCs w:val="24"/>
        </w:rPr>
        <w:t xml:space="preserve"> CPS </w:t>
      </w:r>
      <w:r w:rsidRPr="00593FBC">
        <w:rPr>
          <w:rFonts w:ascii="Times New Roman" w:hAnsi="Times New Roman" w:cs="Times New Roman"/>
          <w:sz w:val="24"/>
          <w:szCs w:val="24"/>
        </w:rPr>
        <w:t>had decided that there would be no prosecutions arising from the allegations because there was insufficient evidence for there to be any realisti</w:t>
      </w:r>
      <w:r>
        <w:rPr>
          <w:rFonts w:ascii="Times New Roman" w:hAnsi="Times New Roman" w:cs="Times New Roman"/>
          <w:sz w:val="24"/>
          <w:szCs w:val="24"/>
        </w:rPr>
        <w:t>c prospect of convictions. The C</w:t>
      </w:r>
      <w:r w:rsidRPr="00593FBC">
        <w:rPr>
          <w:rFonts w:ascii="Times New Roman" w:hAnsi="Times New Roman" w:cs="Times New Roman"/>
          <w:sz w:val="24"/>
          <w:szCs w:val="24"/>
        </w:rPr>
        <w:t xml:space="preserve">laimants sought judicial review of the decision not to prosecute. In defending the claim for judicial review the </w:t>
      </w:r>
      <w:r w:rsidR="000C2148">
        <w:rPr>
          <w:rFonts w:ascii="Times New Roman" w:hAnsi="Times New Roman" w:cs="Times New Roman"/>
          <w:sz w:val="24"/>
          <w:szCs w:val="24"/>
        </w:rPr>
        <w:t>DPP</w:t>
      </w:r>
      <w:r w:rsidRPr="00593FBC">
        <w:rPr>
          <w:rFonts w:ascii="Times New Roman" w:hAnsi="Times New Roman" w:cs="Times New Roman"/>
          <w:sz w:val="24"/>
          <w:szCs w:val="24"/>
        </w:rPr>
        <w:t xml:space="preserve"> wished to rely on certain classified documents</w:t>
      </w:r>
      <w:r w:rsidR="00BC7385">
        <w:rPr>
          <w:rFonts w:ascii="Times New Roman" w:hAnsi="Times New Roman" w:cs="Times New Roman"/>
          <w:sz w:val="24"/>
          <w:szCs w:val="24"/>
        </w:rPr>
        <w:t>, and because</w:t>
      </w:r>
      <w:r w:rsidRPr="00593FBC">
        <w:rPr>
          <w:rFonts w:ascii="Times New Roman" w:hAnsi="Times New Roman" w:cs="Times New Roman"/>
          <w:sz w:val="24"/>
          <w:szCs w:val="24"/>
        </w:rPr>
        <w:t xml:space="preserve"> of the national security concerns relating to those documents, the Foreign Secretary applied pursuant to </w:t>
      </w:r>
      <w:r w:rsidR="00BC7385">
        <w:rPr>
          <w:rFonts w:ascii="Times New Roman" w:hAnsi="Times New Roman" w:cs="Times New Roman"/>
          <w:sz w:val="24"/>
          <w:szCs w:val="24"/>
        </w:rPr>
        <w:t>s.6, Justice and Security Act 2013</w:t>
      </w:r>
      <w:r w:rsidRPr="00593FBC">
        <w:rPr>
          <w:rFonts w:ascii="Times New Roman" w:hAnsi="Times New Roman" w:cs="Times New Roman"/>
          <w:sz w:val="24"/>
          <w:szCs w:val="24"/>
        </w:rPr>
        <w:t xml:space="preserve"> for a declaration that the proceedings were proceedings in which an application might be made to the court for there to be closed material proceedings in which the documents would be considered. </w:t>
      </w:r>
    </w:p>
    <w:p w14:paraId="650A44F6" w14:textId="77777777" w:rsidR="00BC7385" w:rsidRDefault="00BC7385" w:rsidP="00BC7385">
      <w:pPr>
        <w:spacing w:after="0" w:line="360" w:lineRule="auto"/>
        <w:ind w:left="720"/>
        <w:jc w:val="both"/>
        <w:rPr>
          <w:rFonts w:ascii="Times New Roman" w:hAnsi="Times New Roman" w:cs="Times New Roman"/>
          <w:sz w:val="24"/>
          <w:szCs w:val="24"/>
        </w:rPr>
      </w:pPr>
    </w:p>
    <w:p w14:paraId="1A89C16B" w14:textId="2B879238" w:rsidR="00593FBC" w:rsidRPr="0068488D" w:rsidRDefault="00593FBC" w:rsidP="0068488D">
      <w:pPr>
        <w:numPr>
          <w:ilvl w:val="0"/>
          <w:numId w:val="31"/>
        </w:numPr>
        <w:spacing w:after="0" w:line="360" w:lineRule="auto"/>
        <w:jc w:val="both"/>
        <w:rPr>
          <w:rFonts w:ascii="Times New Roman" w:hAnsi="Times New Roman"/>
          <w:sz w:val="28"/>
        </w:rPr>
      </w:pPr>
      <w:r w:rsidRPr="00593FBC">
        <w:rPr>
          <w:rFonts w:ascii="Times New Roman" w:hAnsi="Times New Roman" w:cs="Times New Roman"/>
          <w:sz w:val="24"/>
          <w:szCs w:val="24"/>
        </w:rPr>
        <w:t xml:space="preserve">The </w:t>
      </w:r>
      <w:r w:rsidR="00BC7385">
        <w:rPr>
          <w:rFonts w:ascii="Times New Roman" w:hAnsi="Times New Roman" w:cs="Times New Roman"/>
          <w:sz w:val="24"/>
          <w:szCs w:val="24"/>
        </w:rPr>
        <w:t>C</w:t>
      </w:r>
      <w:r w:rsidRPr="00593FBC">
        <w:rPr>
          <w:rFonts w:ascii="Times New Roman" w:hAnsi="Times New Roman" w:cs="Times New Roman"/>
          <w:sz w:val="24"/>
          <w:szCs w:val="24"/>
        </w:rPr>
        <w:t xml:space="preserve">laimants opposed that application on the grounds that there was no jurisdiction to hold closed material proceedings since a claim for judicial review of a decision not to prosecute amounted to </w:t>
      </w:r>
      <w:r w:rsidRPr="0068488D">
        <w:rPr>
          <w:rFonts w:ascii="Times New Roman" w:hAnsi="Times New Roman"/>
          <w:i/>
          <w:sz w:val="24"/>
        </w:rPr>
        <w:t>“proceedings in a criminal cause or matter”</w:t>
      </w:r>
      <w:r w:rsidRPr="00593FBC">
        <w:rPr>
          <w:rFonts w:ascii="Times New Roman" w:hAnsi="Times New Roman" w:cs="Times New Roman"/>
          <w:sz w:val="24"/>
          <w:szCs w:val="24"/>
        </w:rPr>
        <w:t xml:space="preserve"> for the purposes of </w:t>
      </w:r>
      <w:r w:rsidR="00BC7385">
        <w:rPr>
          <w:rFonts w:ascii="Times New Roman" w:hAnsi="Times New Roman" w:cs="Times New Roman"/>
          <w:sz w:val="24"/>
          <w:szCs w:val="24"/>
        </w:rPr>
        <w:t>s.6</w:t>
      </w:r>
      <w:r w:rsidRPr="00593FBC">
        <w:rPr>
          <w:rFonts w:ascii="Times New Roman" w:hAnsi="Times New Roman" w:cs="Times New Roman"/>
          <w:sz w:val="24"/>
          <w:szCs w:val="24"/>
        </w:rPr>
        <w:t xml:space="preserve"> of the Act. </w:t>
      </w:r>
      <w:r w:rsidR="00BC7385">
        <w:rPr>
          <w:rFonts w:ascii="Times New Roman" w:hAnsi="Times New Roman" w:cs="Times New Roman"/>
          <w:sz w:val="24"/>
          <w:szCs w:val="24"/>
        </w:rPr>
        <w:t>This was addressed as a preliminary issue, and was appealed to the Supreme Court</w:t>
      </w:r>
      <w:r w:rsidRPr="00593FBC">
        <w:rPr>
          <w:rFonts w:ascii="Times New Roman" w:hAnsi="Times New Roman" w:cs="Times New Roman"/>
          <w:sz w:val="24"/>
          <w:szCs w:val="24"/>
        </w:rPr>
        <w:t>.</w:t>
      </w:r>
      <w:r w:rsidR="00BC7385">
        <w:rPr>
          <w:rFonts w:ascii="Times New Roman" w:hAnsi="Times New Roman" w:cs="Times New Roman"/>
          <w:sz w:val="24"/>
          <w:szCs w:val="24"/>
        </w:rPr>
        <w:t xml:space="preserve"> The Supreme Court held</w:t>
      </w:r>
      <w:r w:rsidRPr="0068488D">
        <w:rPr>
          <w:rFonts w:ascii="Times New Roman" w:hAnsi="Times New Roman"/>
          <w:sz w:val="24"/>
        </w:rPr>
        <w:t xml:space="preserve"> that</w:t>
      </w:r>
      <w:r w:rsidRPr="0068488D">
        <w:rPr>
          <w:sz w:val="24"/>
        </w:rPr>
        <w:t>, in accordance with its ordinary and natural meaning, the phrase “</w:t>
      </w:r>
      <w:r w:rsidRPr="0068488D">
        <w:rPr>
          <w:i/>
          <w:sz w:val="24"/>
        </w:rPr>
        <w:t>proceedings in a criminal cause or matter</w:t>
      </w:r>
      <w:r w:rsidRPr="0068488D">
        <w:rPr>
          <w:sz w:val="24"/>
        </w:rPr>
        <w:t xml:space="preserve">” in </w:t>
      </w:r>
      <w:r w:rsidR="00BC7385">
        <w:rPr>
          <w:sz w:val="24"/>
        </w:rPr>
        <w:t>s.</w:t>
      </w:r>
      <w:r w:rsidR="00D75215">
        <w:rPr>
          <w:sz w:val="24"/>
        </w:rPr>
        <w:t xml:space="preserve"> </w:t>
      </w:r>
      <w:r w:rsidR="00BC7385">
        <w:rPr>
          <w:sz w:val="24"/>
        </w:rPr>
        <w:t>6</w:t>
      </w:r>
      <w:r w:rsidRPr="0068488D">
        <w:rPr>
          <w:sz w:val="24"/>
        </w:rPr>
        <w:t xml:space="preserve"> included proceedings by way of judicial review of a decision made in a criminal cause; that the words </w:t>
      </w:r>
      <w:r w:rsidRPr="0068488D">
        <w:rPr>
          <w:i/>
          <w:sz w:val="24"/>
        </w:rPr>
        <w:t>“criminal cause or matter”</w:t>
      </w:r>
      <w:r w:rsidRPr="0068488D">
        <w:rPr>
          <w:sz w:val="24"/>
        </w:rPr>
        <w:t xml:space="preserve"> in </w:t>
      </w:r>
      <w:r w:rsidR="00D75215">
        <w:rPr>
          <w:sz w:val="24"/>
        </w:rPr>
        <w:t>s. 6</w:t>
      </w:r>
      <w:r w:rsidRPr="0068488D">
        <w:rPr>
          <w:sz w:val="24"/>
        </w:rPr>
        <w:t xml:space="preserve"> meant a matter which required judicial determination at any stage of the proceedings where the subject matter was criminal, and if the cause or matter were carried to its conclusion might result in the conviction and sentence of the persons charged; that by their claim for judicial review the </w:t>
      </w:r>
      <w:r w:rsidR="00D75215">
        <w:rPr>
          <w:sz w:val="24"/>
        </w:rPr>
        <w:t>C</w:t>
      </w:r>
      <w:r w:rsidRPr="00BC7385">
        <w:rPr>
          <w:sz w:val="24"/>
        </w:rPr>
        <w:t>laimants</w:t>
      </w:r>
      <w:r w:rsidRPr="0068488D">
        <w:rPr>
          <w:sz w:val="24"/>
        </w:rPr>
        <w:t xml:space="preserve"> were seeking to require the </w:t>
      </w:r>
      <w:r w:rsidR="00D75215">
        <w:rPr>
          <w:sz w:val="24"/>
        </w:rPr>
        <w:t>DPP</w:t>
      </w:r>
      <w:r w:rsidRPr="0068488D">
        <w:rPr>
          <w:sz w:val="24"/>
        </w:rPr>
        <w:t xml:space="preserve"> to prosecute a named individual and that was as much a criminal matter as the director's original decision not to prosecute; and that, accordingly, the claim was a </w:t>
      </w:r>
      <w:r w:rsidRPr="0068488D">
        <w:rPr>
          <w:i/>
          <w:sz w:val="24"/>
        </w:rPr>
        <w:t>“criminal cause or matter”</w:t>
      </w:r>
      <w:r w:rsidRPr="0068488D">
        <w:rPr>
          <w:sz w:val="24"/>
        </w:rPr>
        <w:t xml:space="preserve"> for the purposes of </w:t>
      </w:r>
      <w:r w:rsidR="00D75215">
        <w:rPr>
          <w:sz w:val="24"/>
        </w:rPr>
        <w:t>s. 6</w:t>
      </w:r>
      <w:r w:rsidRPr="0068488D">
        <w:rPr>
          <w:sz w:val="24"/>
        </w:rPr>
        <w:t>, and so there was no jurisdiction to hold closed material proceedings</w:t>
      </w:r>
      <w:r w:rsidRPr="00BC7385">
        <w:rPr>
          <w:sz w:val="24"/>
        </w:rPr>
        <w:t>.</w:t>
      </w:r>
    </w:p>
    <w:p w14:paraId="62C4DCE4" w14:textId="77777777" w:rsidR="00593FBC" w:rsidRPr="00593FBC" w:rsidRDefault="00593FBC" w:rsidP="00593FBC">
      <w:pPr>
        <w:spacing w:line="360" w:lineRule="auto"/>
        <w:jc w:val="both"/>
        <w:rPr>
          <w:rFonts w:ascii="Times New Roman" w:hAnsi="Times New Roman" w:cs="Times New Roman"/>
          <w:sz w:val="24"/>
          <w:szCs w:val="24"/>
        </w:rPr>
      </w:pPr>
    </w:p>
    <w:p w14:paraId="1DF7D8D7" w14:textId="77777777" w:rsidR="00E94324" w:rsidRPr="008D6B3D" w:rsidRDefault="00E94324" w:rsidP="005F5903">
      <w:pPr>
        <w:keepNext/>
        <w:spacing w:line="360" w:lineRule="auto"/>
        <w:ind w:firstLine="505"/>
        <w:rPr>
          <w:rFonts w:ascii="Times New Roman" w:hAnsi="Times New Roman"/>
          <w:i/>
          <w:sz w:val="24"/>
          <w:szCs w:val="24"/>
        </w:rPr>
      </w:pPr>
      <w:r w:rsidRPr="008D6B3D">
        <w:rPr>
          <w:rFonts w:ascii="Times New Roman" w:hAnsi="Times New Roman"/>
          <w:i/>
          <w:sz w:val="24"/>
          <w:szCs w:val="24"/>
        </w:rPr>
        <w:lastRenderedPageBreak/>
        <w:t xml:space="preserve">Cross examination </w:t>
      </w:r>
    </w:p>
    <w:p w14:paraId="1DF7D8D8" w14:textId="0B012771" w:rsidR="00E94324" w:rsidRPr="008D6B3D" w:rsidRDefault="00E94324" w:rsidP="006F53FC">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The traditional approach has always been that Judicial review applications are ordinarily heard on paper and factual disputes will generally be resolved at trial in the Respondent’s favour</w:t>
      </w:r>
      <w:r w:rsidR="001671B6">
        <w:rPr>
          <w:rFonts w:ascii="Times New Roman" w:hAnsi="Times New Roman"/>
          <w:sz w:val="24"/>
          <w:szCs w:val="24"/>
        </w:rPr>
        <w:t>:</w:t>
      </w:r>
      <w:r w:rsidRPr="008D6B3D">
        <w:rPr>
          <w:rFonts w:ascii="Times New Roman" w:hAnsi="Times New Roman"/>
          <w:sz w:val="24"/>
          <w:szCs w:val="24"/>
        </w:rPr>
        <w:t xml:space="preserve"> </w:t>
      </w:r>
      <w:r w:rsidRPr="008D6B3D">
        <w:rPr>
          <w:rFonts w:ascii="Times New Roman" w:hAnsi="Times New Roman"/>
          <w:i/>
          <w:sz w:val="24"/>
          <w:szCs w:val="24"/>
        </w:rPr>
        <w:t>R. v Board of Visitors of Hull Prison Ex p. St Germain (No.2)</w:t>
      </w:r>
      <w:r w:rsidRPr="008D6B3D">
        <w:rPr>
          <w:rFonts w:ascii="Times New Roman" w:hAnsi="Times New Roman"/>
          <w:sz w:val="24"/>
          <w:szCs w:val="24"/>
        </w:rPr>
        <w:t xml:space="preserve"> [1979] 1 WLR 1401.  This does not apply where the evidence is manifestly wrong</w:t>
      </w:r>
      <w:r w:rsidR="001671B6">
        <w:rPr>
          <w:rFonts w:ascii="Times New Roman" w:hAnsi="Times New Roman"/>
          <w:sz w:val="24"/>
          <w:szCs w:val="24"/>
        </w:rPr>
        <w:t>,</w:t>
      </w:r>
      <w:r w:rsidRPr="008D6B3D">
        <w:rPr>
          <w:rFonts w:ascii="Times New Roman" w:hAnsi="Times New Roman"/>
          <w:sz w:val="24"/>
          <w:szCs w:val="24"/>
        </w:rPr>
        <w:t xml:space="preserve"> such as where it is inconsistent with undisputed objective evidence (</w:t>
      </w:r>
      <w:r w:rsidR="001671B6">
        <w:rPr>
          <w:rFonts w:ascii="Times New Roman" w:hAnsi="Times New Roman"/>
          <w:sz w:val="24"/>
          <w:szCs w:val="24"/>
        </w:rPr>
        <w:t xml:space="preserve">see e.g. </w:t>
      </w:r>
      <w:r w:rsidRPr="0068488D">
        <w:rPr>
          <w:rFonts w:ascii="Times New Roman" w:hAnsi="Times New Roman"/>
          <w:i/>
          <w:sz w:val="24"/>
        </w:rPr>
        <w:t>S v</w:t>
      </w:r>
      <w:r w:rsidRPr="008D6B3D">
        <w:rPr>
          <w:rFonts w:ascii="Times New Roman" w:hAnsi="Times New Roman"/>
          <w:sz w:val="24"/>
          <w:szCs w:val="24"/>
        </w:rPr>
        <w:t xml:space="preserve"> </w:t>
      </w:r>
      <w:r w:rsidRPr="008D6B3D">
        <w:rPr>
          <w:rFonts w:ascii="Times New Roman" w:hAnsi="Times New Roman"/>
          <w:i/>
          <w:sz w:val="24"/>
          <w:szCs w:val="24"/>
        </w:rPr>
        <w:t>Airedale NHS Trust</w:t>
      </w:r>
      <w:r w:rsidRPr="008D6B3D">
        <w:rPr>
          <w:rFonts w:ascii="Times New Roman" w:hAnsi="Times New Roman"/>
          <w:sz w:val="24"/>
          <w:szCs w:val="24"/>
        </w:rPr>
        <w:t xml:space="preserve"> [2002] All ER (D) 79</w:t>
      </w:r>
      <w:r w:rsidR="006F53FC">
        <w:rPr>
          <w:rFonts w:ascii="Times New Roman" w:hAnsi="Times New Roman"/>
          <w:sz w:val="24"/>
          <w:szCs w:val="24"/>
        </w:rPr>
        <w:t>, per</w:t>
      </w:r>
      <w:r w:rsidRPr="008D6B3D">
        <w:rPr>
          <w:rFonts w:ascii="Times New Roman" w:hAnsi="Times New Roman"/>
          <w:sz w:val="24"/>
          <w:szCs w:val="24"/>
        </w:rPr>
        <w:t xml:space="preserve"> Stanley </w:t>
      </w:r>
      <w:proofErr w:type="spellStart"/>
      <w:r w:rsidRPr="008D6B3D">
        <w:rPr>
          <w:rFonts w:ascii="Times New Roman" w:hAnsi="Times New Roman"/>
          <w:sz w:val="24"/>
          <w:szCs w:val="24"/>
        </w:rPr>
        <w:t>Burnton</w:t>
      </w:r>
      <w:proofErr w:type="spellEnd"/>
      <w:r w:rsidRPr="008D6B3D">
        <w:rPr>
          <w:rFonts w:ascii="Times New Roman" w:hAnsi="Times New Roman"/>
          <w:sz w:val="24"/>
          <w:szCs w:val="24"/>
        </w:rPr>
        <w:t xml:space="preserve"> J) or where the documents show that the Defendant’s evidence </w:t>
      </w:r>
      <w:r w:rsidRPr="006F53FC">
        <w:rPr>
          <w:rFonts w:ascii="Times New Roman" w:hAnsi="Times New Roman"/>
          <w:i/>
          <w:sz w:val="24"/>
          <w:szCs w:val="24"/>
        </w:rPr>
        <w:t>“cannot be correct”</w:t>
      </w:r>
      <w:r w:rsidRPr="008D6B3D">
        <w:rPr>
          <w:rFonts w:ascii="Times New Roman" w:hAnsi="Times New Roman"/>
          <w:sz w:val="24"/>
          <w:szCs w:val="24"/>
        </w:rPr>
        <w:t xml:space="preserve"> (</w:t>
      </w:r>
      <w:r w:rsidR="001671B6">
        <w:rPr>
          <w:rFonts w:ascii="Times New Roman" w:hAnsi="Times New Roman"/>
          <w:sz w:val="24"/>
          <w:szCs w:val="24"/>
        </w:rPr>
        <w:t xml:space="preserve">see </w:t>
      </w:r>
      <w:r w:rsidRPr="0068488D">
        <w:rPr>
          <w:rFonts w:ascii="Times New Roman" w:hAnsi="Times New Roman"/>
          <w:sz w:val="24"/>
        </w:rPr>
        <w:t xml:space="preserve">Silber J </w:t>
      </w:r>
      <w:r w:rsidRPr="008D6B3D">
        <w:rPr>
          <w:rFonts w:ascii="Times New Roman" w:hAnsi="Times New Roman"/>
          <w:sz w:val="24"/>
          <w:szCs w:val="24"/>
        </w:rPr>
        <w:t xml:space="preserve">in </w:t>
      </w:r>
      <w:r w:rsidRPr="008D6B3D">
        <w:rPr>
          <w:rFonts w:ascii="Times New Roman" w:hAnsi="Times New Roman"/>
          <w:i/>
          <w:sz w:val="24"/>
          <w:szCs w:val="24"/>
        </w:rPr>
        <w:t xml:space="preserve">R (Mc Vey) v Secretary of State for Health </w:t>
      </w:r>
      <w:r w:rsidRPr="008D6B3D">
        <w:rPr>
          <w:rFonts w:ascii="Times New Roman" w:hAnsi="Times New Roman"/>
          <w:sz w:val="24"/>
          <w:szCs w:val="24"/>
        </w:rPr>
        <w:t xml:space="preserve">[2010] CP Rep 38 at </w:t>
      </w:r>
      <w:r w:rsidR="006F53FC">
        <w:rPr>
          <w:rFonts w:ascii="Times New Roman" w:hAnsi="Times New Roman"/>
          <w:sz w:val="24"/>
          <w:szCs w:val="24"/>
        </w:rPr>
        <w:t>[</w:t>
      </w:r>
      <w:r w:rsidRPr="008D6B3D">
        <w:rPr>
          <w:rFonts w:ascii="Times New Roman" w:hAnsi="Times New Roman"/>
          <w:sz w:val="24"/>
          <w:szCs w:val="24"/>
        </w:rPr>
        <w:t>35</w:t>
      </w:r>
      <w:r w:rsidR="006F53FC">
        <w:rPr>
          <w:rFonts w:ascii="Times New Roman" w:hAnsi="Times New Roman"/>
          <w:sz w:val="24"/>
          <w:szCs w:val="24"/>
        </w:rPr>
        <w:t>]</w:t>
      </w:r>
      <w:r w:rsidRPr="008D6B3D">
        <w:rPr>
          <w:rFonts w:ascii="Times New Roman" w:hAnsi="Times New Roman"/>
          <w:sz w:val="24"/>
          <w:szCs w:val="24"/>
        </w:rPr>
        <w:t xml:space="preserve"> and </w:t>
      </w:r>
      <w:r w:rsidRPr="008D6B3D">
        <w:rPr>
          <w:rFonts w:ascii="Times New Roman" w:hAnsi="Times New Roman"/>
          <w:i/>
          <w:sz w:val="24"/>
          <w:szCs w:val="24"/>
        </w:rPr>
        <w:t>R (</w:t>
      </w:r>
      <w:proofErr w:type="spellStart"/>
      <w:r w:rsidRPr="008D6B3D">
        <w:rPr>
          <w:rFonts w:ascii="Times New Roman" w:hAnsi="Times New Roman"/>
          <w:i/>
          <w:sz w:val="24"/>
          <w:szCs w:val="24"/>
        </w:rPr>
        <w:t>Westech</w:t>
      </w:r>
      <w:proofErr w:type="spellEnd"/>
      <w:r w:rsidRPr="008D6B3D">
        <w:rPr>
          <w:rFonts w:ascii="Times New Roman" w:hAnsi="Times New Roman"/>
          <w:i/>
          <w:sz w:val="24"/>
          <w:szCs w:val="24"/>
        </w:rPr>
        <w:t xml:space="preserve"> College) v SSHD </w:t>
      </w:r>
      <w:r w:rsidRPr="008D6B3D">
        <w:rPr>
          <w:rFonts w:ascii="Times New Roman" w:hAnsi="Times New Roman"/>
          <w:sz w:val="24"/>
          <w:szCs w:val="24"/>
        </w:rPr>
        <w:t xml:space="preserve">[2011] EWHC 1484 (Admin) at </w:t>
      </w:r>
      <w:r w:rsidR="006F53FC">
        <w:rPr>
          <w:rFonts w:ascii="Times New Roman" w:hAnsi="Times New Roman"/>
          <w:sz w:val="24"/>
          <w:szCs w:val="24"/>
        </w:rPr>
        <w:t>[</w:t>
      </w:r>
      <w:r w:rsidRPr="008D6B3D">
        <w:rPr>
          <w:rFonts w:ascii="Times New Roman" w:hAnsi="Times New Roman"/>
          <w:sz w:val="24"/>
          <w:szCs w:val="24"/>
        </w:rPr>
        <w:t>22</w:t>
      </w:r>
      <w:r w:rsidR="006F53FC">
        <w:rPr>
          <w:rFonts w:ascii="Times New Roman" w:hAnsi="Times New Roman"/>
          <w:sz w:val="24"/>
          <w:szCs w:val="24"/>
        </w:rPr>
        <w:t>]</w:t>
      </w:r>
      <w:r w:rsidRPr="008D6B3D">
        <w:rPr>
          <w:rFonts w:ascii="Times New Roman" w:hAnsi="Times New Roman"/>
          <w:sz w:val="24"/>
          <w:szCs w:val="24"/>
        </w:rPr>
        <w:t>-</w:t>
      </w:r>
      <w:r w:rsidR="006F53FC">
        <w:rPr>
          <w:rFonts w:ascii="Times New Roman" w:hAnsi="Times New Roman"/>
          <w:sz w:val="24"/>
          <w:szCs w:val="24"/>
        </w:rPr>
        <w:t>[2</w:t>
      </w:r>
      <w:r w:rsidRPr="008D6B3D">
        <w:rPr>
          <w:rFonts w:ascii="Times New Roman" w:hAnsi="Times New Roman"/>
          <w:sz w:val="24"/>
          <w:szCs w:val="24"/>
        </w:rPr>
        <w:t>7</w:t>
      </w:r>
      <w:r w:rsidR="006F53FC">
        <w:rPr>
          <w:rFonts w:ascii="Times New Roman" w:hAnsi="Times New Roman"/>
          <w:sz w:val="24"/>
          <w:szCs w:val="24"/>
        </w:rPr>
        <w:t>]</w:t>
      </w:r>
      <w:r w:rsidRPr="008D6B3D">
        <w:rPr>
          <w:rFonts w:ascii="Times New Roman" w:hAnsi="Times New Roman"/>
          <w:sz w:val="24"/>
          <w:szCs w:val="24"/>
        </w:rPr>
        <w:t xml:space="preserve">). </w:t>
      </w:r>
    </w:p>
    <w:p w14:paraId="1DF7D8D9" w14:textId="77777777" w:rsidR="00E94324" w:rsidRPr="008D6B3D" w:rsidRDefault="00E94324" w:rsidP="006F53FC">
      <w:pPr>
        <w:spacing w:line="360" w:lineRule="auto"/>
        <w:ind w:left="502"/>
        <w:jc w:val="both"/>
        <w:rPr>
          <w:rFonts w:ascii="Times New Roman" w:hAnsi="Times New Roman"/>
          <w:sz w:val="24"/>
          <w:szCs w:val="24"/>
        </w:rPr>
      </w:pPr>
    </w:p>
    <w:p w14:paraId="1DF7D8DA" w14:textId="4652DD43" w:rsidR="00E94324" w:rsidRPr="008D6B3D" w:rsidRDefault="00E94324" w:rsidP="006F53FC">
      <w:pPr>
        <w:pStyle w:val="indent11"/>
        <w:numPr>
          <w:ilvl w:val="0"/>
          <w:numId w:val="31"/>
        </w:numPr>
        <w:spacing w:line="360" w:lineRule="auto"/>
        <w:jc w:val="both"/>
      </w:pPr>
      <w:r w:rsidRPr="008D6B3D">
        <w:t>Parties and the court should always consider carefully of there is any critical factual issue which requires orders for cross-examination or disclosure. Courts should not be reluctant to make such orders in suitable cases</w:t>
      </w:r>
      <w:r w:rsidR="001671B6">
        <w:t>: see</w:t>
      </w:r>
      <w:r w:rsidRPr="008D6B3D">
        <w:t xml:space="preserve"> </w:t>
      </w:r>
      <w:r w:rsidRPr="008D6B3D">
        <w:rPr>
          <w:i/>
        </w:rPr>
        <w:t xml:space="preserve">R (Al </w:t>
      </w:r>
      <w:proofErr w:type="spellStart"/>
      <w:r w:rsidRPr="008D6B3D">
        <w:rPr>
          <w:i/>
        </w:rPr>
        <w:t>Sweady</w:t>
      </w:r>
      <w:proofErr w:type="spellEnd"/>
      <w:r w:rsidRPr="008D6B3D">
        <w:rPr>
          <w:i/>
        </w:rPr>
        <w:t xml:space="preserve">) v Secretary of State </w:t>
      </w:r>
      <w:r w:rsidRPr="008D6B3D">
        <w:t xml:space="preserve">[2010] HRLR 2 at </w:t>
      </w:r>
      <w:r w:rsidR="006F53FC">
        <w:t>[</w:t>
      </w:r>
      <w:r w:rsidRPr="008D6B3D">
        <w:t>27</w:t>
      </w:r>
      <w:r w:rsidR="006F53FC">
        <w:t>]</w:t>
      </w:r>
      <w:r w:rsidRPr="008D6B3D">
        <w:t>-</w:t>
      </w:r>
      <w:r w:rsidR="006F53FC">
        <w:t>[2</w:t>
      </w:r>
      <w:r w:rsidRPr="008D6B3D">
        <w:t>8</w:t>
      </w:r>
      <w:r w:rsidR="006F53FC">
        <w:t>]</w:t>
      </w:r>
      <w:r w:rsidRPr="008D6B3D">
        <w:t xml:space="preserve">. They must consider at an early stage whether cross examination may be necessary and seek appropriate directions – </w:t>
      </w:r>
      <w:r w:rsidRPr="008D6B3D">
        <w:rPr>
          <w:i/>
        </w:rPr>
        <w:t xml:space="preserve">ibid </w:t>
      </w:r>
      <w:r w:rsidR="006F53FC">
        <w:t>at</w:t>
      </w:r>
      <w:r w:rsidRPr="008D6B3D">
        <w:t xml:space="preserve"> </w:t>
      </w:r>
      <w:r w:rsidR="006F53FC">
        <w:t>[</w:t>
      </w:r>
      <w:r w:rsidRPr="008D6B3D">
        <w:t>64</w:t>
      </w:r>
      <w:r w:rsidR="006F53FC">
        <w:t>]</w:t>
      </w:r>
      <w:r w:rsidRPr="008D6B3D">
        <w:t>.</w:t>
      </w:r>
    </w:p>
    <w:p w14:paraId="1DF7D8DB" w14:textId="77777777" w:rsidR="00E94324" w:rsidRPr="008D6B3D" w:rsidRDefault="00E94324" w:rsidP="006F53FC">
      <w:pPr>
        <w:spacing w:line="360" w:lineRule="auto"/>
        <w:jc w:val="both"/>
        <w:rPr>
          <w:rFonts w:ascii="Times New Roman" w:hAnsi="Times New Roman"/>
          <w:sz w:val="24"/>
          <w:szCs w:val="24"/>
        </w:rPr>
      </w:pPr>
    </w:p>
    <w:p w14:paraId="1DF7D8DC"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Examples of cases where applications to cross examine may be allowed are: </w:t>
      </w:r>
    </w:p>
    <w:p w14:paraId="1DF7D8DD" w14:textId="77777777" w:rsidR="00E94324" w:rsidRPr="008D6B3D" w:rsidRDefault="00E94324" w:rsidP="00E94324">
      <w:pPr>
        <w:spacing w:line="360" w:lineRule="auto"/>
        <w:rPr>
          <w:rFonts w:ascii="Times New Roman" w:hAnsi="Times New Roman"/>
          <w:sz w:val="24"/>
          <w:szCs w:val="24"/>
        </w:rPr>
      </w:pPr>
    </w:p>
    <w:p w14:paraId="1DF7D8DE" w14:textId="77777777" w:rsidR="00E94324" w:rsidRPr="008D6B3D" w:rsidRDefault="00E94324" w:rsidP="006F53FC">
      <w:pPr>
        <w:numPr>
          <w:ilvl w:val="1"/>
          <w:numId w:val="31"/>
        </w:numPr>
        <w:spacing w:after="0" w:line="360" w:lineRule="auto"/>
        <w:rPr>
          <w:rFonts w:ascii="Times New Roman" w:hAnsi="Times New Roman"/>
          <w:sz w:val="24"/>
          <w:szCs w:val="24"/>
        </w:rPr>
      </w:pPr>
      <w:r w:rsidRPr="008D6B3D">
        <w:rPr>
          <w:rFonts w:ascii="Times New Roman" w:hAnsi="Times New Roman"/>
          <w:sz w:val="24"/>
          <w:szCs w:val="24"/>
        </w:rPr>
        <w:t xml:space="preserve">The court has to reach a conclusion on disputed issues of fact, for example: </w:t>
      </w:r>
    </w:p>
    <w:p w14:paraId="1DF7D8DF" w14:textId="77777777" w:rsidR="00E94324" w:rsidRPr="008D6B3D" w:rsidRDefault="00E94324" w:rsidP="00E94324">
      <w:pPr>
        <w:spacing w:line="360" w:lineRule="auto"/>
        <w:ind w:left="1440"/>
        <w:rPr>
          <w:rFonts w:ascii="Times New Roman" w:hAnsi="Times New Roman"/>
          <w:sz w:val="24"/>
          <w:szCs w:val="24"/>
        </w:rPr>
      </w:pPr>
    </w:p>
    <w:p w14:paraId="1DF7D8E0" w14:textId="73FF2A8E" w:rsidR="00E94324" w:rsidRPr="008D6B3D" w:rsidRDefault="00E94324" w:rsidP="006F53FC">
      <w:pPr>
        <w:numPr>
          <w:ilvl w:val="2"/>
          <w:numId w:val="31"/>
        </w:numPr>
        <w:spacing w:after="0" w:line="360" w:lineRule="auto"/>
        <w:jc w:val="both"/>
        <w:rPr>
          <w:rFonts w:ascii="Times New Roman" w:hAnsi="Times New Roman"/>
          <w:sz w:val="24"/>
          <w:szCs w:val="24"/>
        </w:rPr>
      </w:pPr>
      <w:proofErr w:type="gramStart"/>
      <w:r w:rsidRPr="008D6B3D">
        <w:rPr>
          <w:rFonts w:ascii="Times New Roman" w:hAnsi="Times New Roman"/>
          <w:sz w:val="24"/>
          <w:szCs w:val="24"/>
        </w:rPr>
        <w:t>a</w:t>
      </w:r>
      <w:proofErr w:type="gramEnd"/>
      <w:r w:rsidRPr="008D6B3D">
        <w:rPr>
          <w:rFonts w:ascii="Times New Roman" w:hAnsi="Times New Roman"/>
          <w:sz w:val="24"/>
          <w:szCs w:val="24"/>
        </w:rPr>
        <w:t xml:space="preserve"> question of collateral fact or where there is a dispute as to the procedure that was actually followed (see e.g. </w:t>
      </w:r>
      <w:r w:rsidRPr="008D6B3D">
        <w:rPr>
          <w:rFonts w:ascii="Times New Roman" w:hAnsi="Times New Roman"/>
          <w:i/>
          <w:sz w:val="24"/>
          <w:szCs w:val="24"/>
        </w:rPr>
        <w:t>R (</w:t>
      </w:r>
      <w:proofErr w:type="spellStart"/>
      <w:r w:rsidRPr="008D6B3D">
        <w:rPr>
          <w:rFonts w:ascii="Times New Roman" w:hAnsi="Times New Roman"/>
          <w:i/>
          <w:sz w:val="24"/>
          <w:szCs w:val="24"/>
        </w:rPr>
        <w:t>Bancoult</w:t>
      </w:r>
      <w:proofErr w:type="spellEnd"/>
      <w:r w:rsidRPr="008D6B3D">
        <w:rPr>
          <w:rFonts w:ascii="Times New Roman" w:hAnsi="Times New Roman"/>
          <w:i/>
          <w:sz w:val="24"/>
          <w:szCs w:val="24"/>
        </w:rPr>
        <w:t xml:space="preserve">) v Secretary of State for Foreign &amp; Commonwealth Affairs </w:t>
      </w:r>
      <w:r w:rsidRPr="008D6B3D">
        <w:rPr>
          <w:rFonts w:ascii="Times New Roman" w:hAnsi="Times New Roman"/>
          <w:sz w:val="24"/>
          <w:szCs w:val="24"/>
        </w:rPr>
        <w:t>[2012] EWHC 2115 (Admin). Even in this case the Court retains a discretion and may resolve the issues on the papers (</w:t>
      </w:r>
      <w:r w:rsidRPr="008D6B3D">
        <w:rPr>
          <w:rFonts w:ascii="Times New Roman" w:hAnsi="Times New Roman"/>
          <w:i/>
          <w:sz w:val="24"/>
          <w:szCs w:val="24"/>
        </w:rPr>
        <w:t>R v CC Thames Valley ex p Cotton</w:t>
      </w:r>
      <w:r w:rsidRPr="008D6B3D">
        <w:rPr>
          <w:rFonts w:ascii="Times New Roman" w:hAnsi="Times New Roman"/>
          <w:sz w:val="24"/>
          <w:szCs w:val="24"/>
        </w:rPr>
        <w:t xml:space="preserve"> [1989] COD 318). The question is whether cross examination is necessary to deal with the case </w:t>
      </w:r>
      <w:r w:rsidRPr="006F53FC">
        <w:rPr>
          <w:rFonts w:ascii="Times New Roman" w:hAnsi="Times New Roman"/>
          <w:i/>
          <w:sz w:val="24"/>
          <w:szCs w:val="24"/>
        </w:rPr>
        <w:t>“fairly and justly” (</w:t>
      </w:r>
      <w:r w:rsidRPr="008D6B3D">
        <w:rPr>
          <w:rFonts w:ascii="Times New Roman" w:hAnsi="Times New Roman"/>
          <w:sz w:val="24"/>
          <w:szCs w:val="24"/>
        </w:rPr>
        <w:t xml:space="preserve">see </w:t>
      </w:r>
      <w:r w:rsidRPr="008D6B3D">
        <w:rPr>
          <w:rFonts w:ascii="Times New Roman" w:hAnsi="Times New Roman"/>
          <w:i/>
          <w:sz w:val="24"/>
          <w:szCs w:val="24"/>
        </w:rPr>
        <w:t>R (St Matthews (West) Ltd) v HM Treasury</w:t>
      </w:r>
      <w:r w:rsidRPr="008D6B3D">
        <w:rPr>
          <w:rFonts w:ascii="Times New Roman" w:hAnsi="Times New Roman"/>
          <w:sz w:val="24"/>
          <w:szCs w:val="24"/>
        </w:rPr>
        <w:t xml:space="preserve"> [2014] EWHC 2426 (Admin)</w:t>
      </w:r>
      <w:r w:rsidR="001671B6">
        <w:rPr>
          <w:rFonts w:ascii="Times New Roman" w:hAnsi="Times New Roman"/>
          <w:sz w:val="24"/>
          <w:szCs w:val="24"/>
        </w:rPr>
        <w:t>)</w:t>
      </w:r>
      <w:r w:rsidRPr="008D6B3D">
        <w:rPr>
          <w:rFonts w:ascii="Times New Roman" w:hAnsi="Times New Roman"/>
          <w:sz w:val="24"/>
          <w:szCs w:val="24"/>
        </w:rPr>
        <w:t xml:space="preserve">.  </w:t>
      </w:r>
    </w:p>
    <w:p w14:paraId="1DF7D8E1" w14:textId="77777777" w:rsidR="00E94324" w:rsidRPr="008D6B3D" w:rsidRDefault="00E94324" w:rsidP="006F53FC">
      <w:pPr>
        <w:spacing w:line="360" w:lineRule="auto"/>
        <w:ind w:left="1440"/>
        <w:jc w:val="both"/>
        <w:rPr>
          <w:rFonts w:ascii="Times New Roman" w:hAnsi="Times New Roman"/>
          <w:sz w:val="24"/>
          <w:szCs w:val="24"/>
        </w:rPr>
      </w:pPr>
    </w:p>
    <w:p w14:paraId="1DF7D8E2" w14:textId="77777777" w:rsidR="00E94324" w:rsidRPr="008D6B3D" w:rsidRDefault="00E94324" w:rsidP="006F53FC">
      <w:pPr>
        <w:numPr>
          <w:ilvl w:val="2"/>
          <w:numId w:val="31"/>
        </w:numPr>
        <w:spacing w:after="0" w:line="360" w:lineRule="auto"/>
        <w:jc w:val="both"/>
        <w:rPr>
          <w:rFonts w:ascii="Times New Roman" w:hAnsi="Times New Roman"/>
          <w:sz w:val="24"/>
          <w:szCs w:val="24"/>
        </w:rPr>
      </w:pPr>
      <w:r w:rsidRPr="008D6B3D">
        <w:rPr>
          <w:rFonts w:ascii="Times New Roman" w:hAnsi="Times New Roman"/>
          <w:sz w:val="24"/>
          <w:szCs w:val="24"/>
        </w:rPr>
        <w:lastRenderedPageBreak/>
        <w:t xml:space="preserve">Where there is disputed allegation of a human rights breach raising a hard edged question of fact. In </w:t>
      </w:r>
      <w:r w:rsidRPr="008D6B3D">
        <w:rPr>
          <w:rFonts w:ascii="Times New Roman" w:hAnsi="Times New Roman"/>
          <w:i/>
          <w:sz w:val="24"/>
          <w:szCs w:val="24"/>
        </w:rPr>
        <w:t xml:space="preserve">Al </w:t>
      </w:r>
      <w:proofErr w:type="spellStart"/>
      <w:r w:rsidRPr="008D6B3D">
        <w:rPr>
          <w:rFonts w:ascii="Times New Roman" w:hAnsi="Times New Roman"/>
          <w:i/>
          <w:sz w:val="24"/>
          <w:szCs w:val="24"/>
        </w:rPr>
        <w:t>Sweady</w:t>
      </w:r>
      <w:proofErr w:type="spellEnd"/>
      <w:r w:rsidRPr="008D6B3D">
        <w:rPr>
          <w:rFonts w:ascii="Times New Roman" w:hAnsi="Times New Roman"/>
          <w:sz w:val="24"/>
          <w:szCs w:val="24"/>
        </w:rPr>
        <w:t xml:space="preserve"> (above) at </w:t>
      </w:r>
      <w:r w:rsidR="006F53FC">
        <w:rPr>
          <w:rFonts w:ascii="Times New Roman" w:hAnsi="Times New Roman"/>
          <w:sz w:val="24"/>
          <w:szCs w:val="24"/>
        </w:rPr>
        <w:t>[1</w:t>
      </w:r>
      <w:r w:rsidRPr="008D6B3D">
        <w:rPr>
          <w:rFonts w:ascii="Times New Roman" w:hAnsi="Times New Roman"/>
          <w:sz w:val="24"/>
          <w:szCs w:val="24"/>
        </w:rPr>
        <w:t>9</w:t>
      </w:r>
      <w:r w:rsidR="006F53FC">
        <w:rPr>
          <w:rFonts w:ascii="Times New Roman" w:hAnsi="Times New Roman"/>
          <w:sz w:val="24"/>
          <w:szCs w:val="24"/>
        </w:rPr>
        <w:t>]</w:t>
      </w:r>
      <w:r w:rsidRPr="008D6B3D">
        <w:rPr>
          <w:rFonts w:ascii="Times New Roman" w:hAnsi="Times New Roman"/>
          <w:sz w:val="24"/>
          <w:szCs w:val="24"/>
        </w:rPr>
        <w:t xml:space="preserve"> the court said: </w:t>
      </w:r>
    </w:p>
    <w:p w14:paraId="1DF7D8E3" w14:textId="77777777" w:rsidR="00E94324" w:rsidRPr="008D6B3D" w:rsidRDefault="00E94324" w:rsidP="006F53FC">
      <w:pPr>
        <w:pStyle w:val="ListParagraph"/>
        <w:spacing w:line="360" w:lineRule="auto"/>
        <w:jc w:val="both"/>
        <w:rPr>
          <w:rFonts w:ascii="Times New Roman" w:hAnsi="Times New Roman"/>
          <w:sz w:val="24"/>
          <w:szCs w:val="24"/>
        </w:rPr>
      </w:pPr>
    </w:p>
    <w:p w14:paraId="1DF7D8E4" w14:textId="77777777" w:rsidR="00E94324" w:rsidRPr="006F53FC" w:rsidRDefault="00E94324" w:rsidP="00E94324">
      <w:pPr>
        <w:ind w:left="2340"/>
        <w:rPr>
          <w:rFonts w:ascii="Times New Roman" w:hAnsi="Times New Roman"/>
          <w:i/>
          <w:sz w:val="24"/>
          <w:szCs w:val="24"/>
        </w:rPr>
      </w:pPr>
      <w:r w:rsidRPr="006F53FC">
        <w:rPr>
          <w:rFonts w:ascii="Times New Roman" w:hAnsi="Times New Roman"/>
          <w:i/>
          <w:sz w:val="24"/>
          <w:szCs w:val="24"/>
        </w:rPr>
        <w:t xml:space="preserve">“In our view, it was necessary to allow cross-examination of makers of witness statements on those “hard-edged” questions of fact. We envisage that such cross-examination might occur with increasing regularity in cases where there are crucial factual disputes between the parties relating to jurisdiction of the ECHR and the engagement of its articles”.  </w:t>
      </w:r>
    </w:p>
    <w:p w14:paraId="1DF7D8E6" w14:textId="77777777" w:rsidR="00E94324" w:rsidRPr="008D6B3D" w:rsidRDefault="00E94324" w:rsidP="0068488D">
      <w:pPr>
        <w:spacing w:line="360" w:lineRule="auto"/>
        <w:ind w:left="2340"/>
        <w:jc w:val="both"/>
        <w:rPr>
          <w:rFonts w:ascii="Times New Roman" w:hAnsi="Times New Roman"/>
          <w:sz w:val="24"/>
          <w:szCs w:val="24"/>
        </w:rPr>
      </w:pPr>
      <w:r w:rsidRPr="008D6B3D">
        <w:rPr>
          <w:rFonts w:ascii="Times New Roman" w:hAnsi="Times New Roman"/>
          <w:sz w:val="24"/>
          <w:szCs w:val="24"/>
        </w:rPr>
        <w:t xml:space="preserve">The issues of fact in that case were: </w:t>
      </w:r>
    </w:p>
    <w:p w14:paraId="1DF7D8E7" w14:textId="66F2F645" w:rsidR="00E94324" w:rsidRPr="008D6B3D" w:rsidRDefault="00E94324" w:rsidP="0068488D">
      <w:pPr>
        <w:numPr>
          <w:ilvl w:val="0"/>
          <w:numId w:val="21"/>
        </w:numPr>
        <w:spacing w:after="0" w:line="360" w:lineRule="auto"/>
        <w:jc w:val="both"/>
        <w:rPr>
          <w:rFonts w:ascii="Times New Roman" w:hAnsi="Times New Roman"/>
          <w:sz w:val="24"/>
          <w:szCs w:val="24"/>
        </w:rPr>
      </w:pPr>
      <w:r w:rsidRPr="008D6B3D">
        <w:rPr>
          <w:rFonts w:ascii="Times New Roman" w:hAnsi="Times New Roman"/>
          <w:sz w:val="24"/>
          <w:szCs w:val="24"/>
        </w:rPr>
        <w:t xml:space="preserve">Where had Al </w:t>
      </w:r>
      <w:proofErr w:type="spellStart"/>
      <w:r w:rsidRPr="008D6B3D">
        <w:rPr>
          <w:rFonts w:ascii="Times New Roman" w:hAnsi="Times New Roman"/>
          <w:sz w:val="24"/>
          <w:szCs w:val="24"/>
        </w:rPr>
        <w:t>Sweady</w:t>
      </w:r>
      <w:proofErr w:type="spellEnd"/>
      <w:r w:rsidRPr="008D6B3D">
        <w:rPr>
          <w:rFonts w:ascii="Times New Roman" w:hAnsi="Times New Roman"/>
          <w:sz w:val="24"/>
          <w:szCs w:val="24"/>
        </w:rPr>
        <w:t xml:space="preserve"> been killed. The applicability of Art</w:t>
      </w:r>
      <w:r w:rsidR="00472340">
        <w:rPr>
          <w:rFonts w:ascii="Times New Roman" w:hAnsi="Times New Roman"/>
          <w:sz w:val="24"/>
          <w:szCs w:val="24"/>
        </w:rPr>
        <w:t>icle</w:t>
      </w:r>
      <w:r w:rsidRPr="008D6B3D">
        <w:rPr>
          <w:rFonts w:ascii="Times New Roman" w:hAnsi="Times New Roman"/>
          <w:sz w:val="24"/>
          <w:szCs w:val="24"/>
        </w:rPr>
        <w:t xml:space="preserve"> 2 depended on this. </w:t>
      </w:r>
    </w:p>
    <w:p w14:paraId="1DF7D8E8" w14:textId="282463B4" w:rsidR="00E94324" w:rsidRPr="008D6B3D" w:rsidRDefault="00E94324" w:rsidP="0068488D">
      <w:pPr>
        <w:numPr>
          <w:ilvl w:val="0"/>
          <w:numId w:val="21"/>
        </w:numPr>
        <w:spacing w:after="0" w:line="360" w:lineRule="auto"/>
        <w:jc w:val="both"/>
        <w:rPr>
          <w:rFonts w:ascii="Times New Roman" w:hAnsi="Times New Roman"/>
          <w:sz w:val="24"/>
          <w:szCs w:val="24"/>
        </w:rPr>
      </w:pPr>
      <w:r w:rsidRPr="008D6B3D">
        <w:rPr>
          <w:rFonts w:ascii="Times New Roman" w:hAnsi="Times New Roman"/>
          <w:sz w:val="24"/>
          <w:szCs w:val="24"/>
        </w:rPr>
        <w:t xml:space="preserve">Had the </w:t>
      </w:r>
      <w:r w:rsidR="00472340">
        <w:rPr>
          <w:rFonts w:ascii="Times New Roman" w:hAnsi="Times New Roman"/>
          <w:sz w:val="24"/>
          <w:szCs w:val="24"/>
        </w:rPr>
        <w:t>Claimant</w:t>
      </w:r>
      <w:r w:rsidRPr="008D6B3D">
        <w:rPr>
          <w:rFonts w:ascii="Times New Roman" w:hAnsi="Times New Roman"/>
          <w:sz w:val="24"/>
          <w:szCs w:val="24"/>
        </w:rPr>
        <w:t>s been subjected to ill treatment in a way that infringed their Art</w:t>
      </w:r>
      <w:r w:rsidR="00472340">
        <w:rPr>
          <w:rFonts w:ascii="Times New Roman" w:hAnsi="Times New Roman"/>
          <w:sz w:val="24"/>
          <w:szCs w:val="24"/>
        </w:rPr>
        <w:t>icle</w:t>
      </w:r>
      <w:r w:rsidRPr="008D6B3D">
        <w:rPr>
          <w:rFonts w:ascii="Times New Roman" w:hAnsi="Times New Roman"/>
          <w:sz w:val="24"/>
          <w:szCs w:val="24"/>
        </w:rPr>
        <w:t xml:space="preserve"> 3 rights</w:t>
      </w:r>
      <w:r w:rsidR="00472340">
        <w:rPr>
          <w:rFonts w:ascii="Times New Roman" w:hAnsi="Times New Roman"/>
          <w:sz w:val="24"/>
          <w:szCs w:val="24"/>
        </w:rPr>
        <w:t>?</w:t>
      </w:r>
      <w:r w:rsidRPr="008D6B3D">
        <w:rPr>
          <w:rFonts w:ascii="Times New Roman" w:hAnsi="Times New Roman"/>
          <w:sz w:val="24"/>
          <w:szCs w:val="24"/>
        </w:rPr>
        <w:t xml:space="preserve"> </w:t>
      </w:r>
    </w:p>
    <w:p w14:paraId="1DF7D8E9" w14:textId="1D045396" w:rsidR="00E94324" w:rsidRPr="008D6B3D" w:rsidRDefault="00E94324" w:rsidP="0068488D">
      <w:pPr>
        <w:numPr>
          <w:ilvl w:val="0"/>
          <w:numId w:val="21"/>
        </w:numPr>
        <w:spacing w:after="0" w:line="360" w:lineRule="auto"/>
        <w:jc w:val="both"/>
        <w:rPr>
          <w:rFonts w:ascii="Times New Roman" w:hAnsi="Times New Roman"/>
          <w:sz w:val="24"/>
          <w:szCs w:val="24"/>
        </w:rPr>
      </w:pPr>
      <w:r w:rsidRPr="008D6B3D">
        <w:rPr>
          <w:rFonts w:ascii="Times New Roman" w:hAnsi="Times New Roman"/>
          <w:sz w:val="24"/>
          <w:szCs w:val="24"/>
        </w:rPr>
        <w:t xml:space="preserve">Was detention of some of the </w:t>
      </w:r>
      <w:r w:rsidR="00472340">
        <w:rPr>
          <w:rFonts w:ascii="Times New Roman" w:hAnsi="Times New Roman"/>
          <w:sz w:val="24"/>
          <w:szCs w:val="24"/>
        </w:rPr>
        <w:t>Claimant</w:t>
      </w:r>
      <w:r w:rsidRPr="008D6B3D">
        <w:rPr>
          <w:rFonts w:ascii="Times New Roman" w:hAnsi="Times New Roman"/>
          <w:sz w:val="24"/>
          <w:szCs w:val="24"/>
        </w:rPr>
        <w:t>s justified for the purposes of Article 5</w:t>
      </w:r>
      <w:r w:rsidR="00472340">
        <w:rPr>
          <w:rFonts w:ascii="Times New Roman" w:hAnsi="Times New Roman"/>
          <w:sz w:val="24"/>
          <w:szCs w:val="24"/>
        </w:rPr>
        <w:t>?</w:t>
      </w:r>
      <w:r w:rsidRPr="008D6B3D">
        <w:rPr>
          <w:rFonts w:ascii="Times New Roman" w:hAnsi="Times New Roman"/>
          <w:sz w:val="24"/>
          <w:szCs w:val="24"/>
        </w:rPr>
        <w:t xml:space="preserve"> Were they held for imperative reasons of security?</w:t>
      </w:r>
    </w:p>
    <w:p w14:paraId="1DF7D8EA" w14:textId="19D7374A" w:rsidR="00E94324" w:rsidRPr="008D6B3D" w:rsidRDefault="00E94324" w:rsidP="0068488D">
      <w:pPr>
        <w:numPr>
          <w:ilvl w:val="0"/>
          <w:numId w:val="21"/>
        </w:numPr>
        <w:spacing w:after="0" w:line="360" w:lineRule="auto"/>
        <w:jc w:val="both"/>
        <w:rPr>
          <w:rFonts w:ascii="Times New Roman" w:hAnsi="Times New Roman"/>
          <w:sz w:val="24"/>
          <w:szCs w:val="24"/>
        </w:rPr>
      </w:pPr>
      <w:r w:rsidRPr="008D6B3D">
        <w:rPr>
          <w:rFonts w:ascii="Times New Roman" w:hAnsi="Times New Roman"/>
          <w:sz w:val="24"/>
          <w:szCs w:val="24"/>
        </w:rPr>
        <w:t>Would the Claimants be subjected to ill</w:t>
      </w:r>
      <w:r w:rsidR="00472340">
        <w:rPr>
          <w:rFonts w:ascii="Times New Roman" w:hAnsi="Times New Roman"/>
          <w:sz w:val="24"/>
          <w:szCs w:val="24"/>
        </w:rPr>
        <w:t>-</w:t>
      </w:r>
      <w:r w:rsidRPr="008D6B3D">
        <w:rPr>
          <w:rFonts w:ascii="Times New Roman" w:hAnsi="Times New Roman"/>
          <w:sz w:val="24"/>
          <w:szCs w:val="24"/>
        </w:rPr>
        <w:t>treatment if handed over to the Iraqi authorities</w:t>
      </w:r>
      <w:r w:rsidR="00472340">
        <w:rPr>
          <w:rFonts w:ascii="Times New Roman" w:hAnsi="Times New Roman"/>
          <w:sz w:val="24"/>
          <w:szCs w:val="24"/>
        </w:rPr>
        <w:t>?</w:t>
      </w:r>
      <w:r w:rsidRPr="008D6B3D">
        <w:rPr>
          <w:rFonts w:ascii="Times New Roman" w:hAnsi="Times New Roman"/>
          <w:sz w:val="24"/>
          <w:szCs w:val="24"/>
        </w:rPr>
        <w:t xml:space="preserve"> </w:t>
      </w:r>
    </w:p>
    <w:p w14:paraId="1DF7D8EB" w14:textId="77777777" w:rsidR="00E94324" w:rsidRPr="008D6B3D" w:rsidRDefault="00E94324" w:rsidP="00E94324">
      <w:pPr>
        <w:spacing w:line="360" w:lineRule="auto"/>
        <w:ind w:left="1440"/>
        <w:rPr>
          <w:rFonts w:ascii="Times New Roman" w:hAnsi="Times New Roman"/>
          <w:sz w:val="24"/>
          <w:szCs w:val="24"/>
        </w:rPr>
      </w:pPr>
    </w:p>
    <w:p w14:paraId="1DF7D8EC" w14:textId="77777777" w:rsidR="00E94324" w:rsidRPr="008D6B3D" w:rsidRDefault="00E94324" w:rsidP="0068488D">
      <w:pPr>
        <w:numPr>
          <w:ilvl w:val="1"/>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Where fundamental human rights are at stake and the court has to review the merits of the decision – for example questions as to the compulsory treatment of a detained patient - </w:t>
      </w:r>
      <w:r w:rsidRPr="008D6B3D">
        <w:rPr>
          <w:rFonts w:ascii="Times New Roman" w:hAnsi="Times New Roman"/>
          <w:i/>
          <w:sz w:val="24"/>
          <w:szCs w:val="24"/>
        </w:rPr>
        <w:t xml:space="preserve"> R (Wilkinson) v RMO Broadmoor Hospital</w:t>
      </w:r>
      <w:r w:rsidRPr="008D6B3D">
        <w:rPr>
          <w:rFonts w:ascii="Times New Roman" w:hAnsi="Times New Roman"/>
          <w:sz w:val="24"/>
          <w:szCs w:val="24"/>
        </w:rPr>
        <w:t xml:space="preserve"> [2002] 1 WLR 419. </w:t>
      </w:r>
    </w:p>
    <w:p w14:paraId="1DF7D8ED" w14:textId="77777777" w:rsidR="00E94324" w:rsidRPr="008D6B3D" w:rsidRDefault="00E94324" w:rsidP="00E94324">
      <w:pPr>
        <w:spacing w:line="360" w:lineRule="auto"/>
        <w:ind w:left="502"/>
        <w:rPr>
          <w:rFonts w:ascii="Times New Roman" w:hAnsi="Times New Roman"/>
          <w:sz w:val="24"/>
          <w:szCs w:val="24"/>
        </w:rPr>
      </w:pPr>
    </w:p>
    <w:p w14:paraId="1DF7D8EE"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More recent cases have suggested that a relaxed approach to ordering cross examination is not confined to fundamental human rights cases. </w:t>
      </w:r>
      <w:r w:rsidR="006F53FC">
        <w:rPr>
          <w:rFonts w:ascii="Times New Roman" w:hAnsi="Times New Roman"/>
          <w:sz w:val="24"/>
          <w:szCs w:val="24"/>
        </w:rPr>
        <w:t xml:space="preserve"> For example:</w:t>
      </w:r>
    </w:p>
    <w:p w14:paraId="1DF7D8EF" w14:textId="77777777" w:rsidR="00E94324" w:rsidRPr="008D6B3D" w:rsidRDefault="00E94324" w:rsidP="00E94324">
      <w:pPr>
        <w:pStyle w:val="ListParagraph"/>
        <w:spacing w:line="360" w:lineRule="auto"/>
        <w:rPr>
          <w:rFonts w:ascii="Times New Roman" w:hAnsi="Times New Roman"/>
          <w:sz w:val="24"/>
          <w:szCs w:val="24"/>
        </w:rPr>
      </w:pPr>
    </w:p>
    <w:p w14:paraId="1DF7D8F0" w14:textId="77777777" w:rsidR="00E94324" w:rsidRPr="008D6B3D" w:rsidRDefault="00E94324" w:rsidP="006F53FC">
      <w:pPr>
        <w:numPr>
          <w:ilvl w:val="1"/>
          <w:numId w:val="31"/>
        </w:numPr>
        <w:spacing w:after="0" w:line="360" w:lineRule="auto"/>
        <w:rPr>
          <w:rFonts w:ascii="Times New Roman" w:hAnsi="Times New Roman"/>
          <w:sz w:val="24"/>
          <w:szCs w:val="24"/>
        </w:rPr>
      </w:pPr>
      <w:r w:rsidRPr="008D6B3D">
        <w:rPr>
          <w:rFonts w:ascii="Times New Roman" w:hAnsi="Times New Roman"/>
          <w:i/>
          <w:sz w:val="24"/>
          <w:szCs w:val="24"/>
        </w:rPr>
        <w:t>R (MH) v SSHD</w:t>
      </w:r>
      <w:r w:rsidRPr="008D6B3D">
        <w:rPr>
          <w:rFonts w:ascii="Times New Roman" w:hAnsi="Times New Roman"/>
          <w:sz w:val="24"/>
          <w:szCs w:val="24"/>
        </w:rPr>
        <w:t xml:space="preserve"> [2009] EWHC 2506 (Admin)</w:t>
      </w:r>
      <w:r w:rsidR="006F53FC">
        <w:rPr>
          <w:rFonts w:ascii="Times New Roman" w:hAnsi="Times New Roman"/>
          <w:sz w:val="24"/>
          <w:szCs w:val="24"/>
        </w:rPr>
        <w:t>, per</w:t>
      </w:r>
      <w:r w:rsidRPr="008D6B3D">
        <w:rPr>
          <w:rFonts w:ascii="Times New Roman" w:hAnsi="Times New Roman"/>
          <w:sz w:val="24"/>
          <w:szCs w:val="24"/>
        </w:rPr>
        <w:t xml:space="preserve"> Sales J</w:t>
      </w:r>
      <w:r w:rsidR="006F53FC">
        <w:rPr>
          <w:rFonts w:ascii="Times New Roman" w:hAnsi="Times New Roman"/>
          <w:sz w:val="24"/>
          <w:szCs w:val="24"/>
        </w:rPr>
        <w:t xml:space="preserve"> (as he then was)</w:t>
      </w:r>
      <w:r w:rsidRPr="008D6B3D">
        <w:rPr>
          <w:rFonts w:ascii="Times New Roman" w:hAnsi="Times New Roman"/>
          <w:sz w:val="24"/>
          <w:szCs w:val="24"/>
        </w:rPr>
        <w:t>:</w:t>
      </w:r>
    </w:p>
    <w:p w14:paraId="1DF7D8F1" w14:textId="77777777" w:rsidR="00E94324" w:rsidRPr="008D6B3D" w:rsidRDefault="00E94324" w:rsidP="00E94324">
      <w:pPr>
        <w:spacing w:line="360" w:lineRule="auto"/>
        <w:ind w:left="1440"/>
        <w:rPr>
          <w:rFonts w:ascii="Times New Roman" w:hAnsi="Times New Roman"/>
          <w:sz w:val="24"/>
          <w:szCs w:val="24"/>
        </w:rPr>
      </w:pPr>
    </w:p>
    <w:p w14:paraId="1DF7D8F2" w14:textId="77777777" w:rsidR="00E94324" w:rsidRPr="008D6B3D" w:rsidRDefault="00E94324" w:rsidP="00E94324">
      <w:pPr>
        <w:ind w:left="1440"/>
        <w:rPr>
          <w:rFonts w:ascii="Times New Roman" w:hAnsi="Times New Roman"/>
          <w:sz w:val="24"/>
          <w:szCs w:val="24"/>
        </w:rPr>
      </w:pPr>
      <w:r w:rsidRPr="006F53FC">
        <w:rPr>
          <w:rFonts w:ascii="Times New Roman" w:hAnsi="Times New Roman"/>
          <w:i/>
          <w:sz w:val="24"/>
          <w:szCs w:val="24"/>
        </w:rPr>
        <w:t xml:space="preserve">“The fact that a claim (such as a claim in tort) happens to be brought using the procedure in Part 54 does not mean that ordinary procedures employed by the </w:t>
      </w:r>
      <w:r w:rsidRPr="006F53FC">
        <w:rPr>
          <w:rFonts w:ascii="Times New Roman" w:hAnsi="Times New Roman"/>
          <w:i/>
          <w:sz w:val="24"/>
          <w:szCs w:val="24"/>
        </w:rPr>
        <w:lastRenderedPageBreak/>
        <w:t>courts for resolving substantial disputes of fact (including cross-examination) are not to be applied</w:t>
      </w:r>
      <w:r w:rsidRPr="008D6B3D">
        <w:rPr>
          <w:rFonts w:ascii="Times New Roman" w:hAnsi="Times New Roman"/>
          <w:sz w:val="24"/>
          <w:szCs w:val="24"/>
        </w:rPr>
        <w:t>”</w:t>
      </w:r>
      <w:r w:rsidRPr="008D6B3D">
        <w:rPr>
          <w:rStyle w:val="FootnoteReference"/>
          <w:rFonts w:ascii="Times New Roman" w:hAnsi="Times New Roman"/>
          <w:szCs w:val="24"/>
        </w:rPr>
        <w:footnoteReference w:id="5"/>
      </w:r>
      <w:r w:rsidRPr="008D6B3D">
        <w:rPr>
          <w:rFonts w:ascii="Times New Roman" w:hAnsi="Times New Roman"/>
          <w:sz w:val="24"/>
          <w:szCs w:val="24"/>
        </w:rPr>
        <w:t>.</w:t>
      </w:r>
    </w:p>
    <w:p w14:paraId="1DF7D8F3" w14:textId="77777777" w:rsidR="00E94324" w:rsidRPr="008D6B3D" w:rsidRDefault="00E94324" w:rsidP="00E94324">
      <w:pPr>
        <w:pStyle w:val="ListParagraph"/>
        <w:spacing w:line="360" w:lineRule="auto"/>
        <w:rPr>
          <w:rFonts w:ascii="Times New Roman" w:hAnsi="Times New Roman"/>
          <w:sz w:val="24"/>
          <w:szCs w:val="24"/>
        </w:rPr>
      </w:pPr>
    </w:p>
    <w:p w14:paraId="1DF7D8F4" w14:textId="77777777" w:rsidR="00E94324" w:rsidRPr="008D6B3D" w:rsidRDefault="00E94324" w:rsidP="0068488D">
      <w:pPr>
        <w:numPr>
          <w:ilvl w:val="1"/>
          <w:numId w:val="31"/>
        </w:numPr>
        <w:spacing w:after="0" w:line="360" w:lineRule="auto"/>
        <w:jc w:val="both"/>
        <w:rPr>
          <w:rFonts w:ascii="Times New Roman" w:hAnsi="Times New Roman"/>
          <w:sz w:val="24"/>
          <w:szCs w:val="24"/>
        </w:rPr>
      </w:pPr>
      <w:r w:rsidRPr="008D6B3D">
        <w:rPr>
          <w:rFonts w:ascii="Times New Roman" w:hAnsi="Times New Roman"/>
          <w:i/>
          <w:sz w:val="24"/>
          <w:szCs w:val="24"/>
        </w:rPr>
        <w:t xml:space="preserve">R (Mc Vey) v Secretary of State for Health </w:t>
      </w:r>
      <w:r w:rsidRPr="008D6B3D">
        <w:rPr>
          <w:rFonts w:ascii="Times New Roman" w:hAnsi="Times New Roman"/>
          <w:sz w:val="24"/>
          <w:szCs w:val="24"/>
        </w:rPr>
        <w:t xml:space="preserve">[2010] CP Rep 38 – a case involving whether the Defendant had acted to amend a </w:t>
      </w:r>
      <w:proofErr w:type="spellStart"/>
      <w:r w:rsidRPr="008D6B3D">
        <w:rPr>
          <w:rFonts w:ascii="Times New Roman" w:hAnsi="Times New Roman"/>
          <w:sz w:val="24"/>
          <w:szCs w:val="24"/>
        </w:rPr>
        <w:t>vCJD</w:t>
      </w:r>
      <w:proofErr w:type="spellEnd"/>
      <w:r w:rsidRPr="008D6B3D">
        <w:rPr>
          <w:rFonts w:ascii="Times New Roman" w:hAnsi="Times New Roman"/>
          <w:sz w:val="24"/>
          <w:szCs w:val="24"/>
        </w:rPr>
        <w:t xml:space="preserve"> scheme when so advised by trustees. No application for cross examination but Silber J stated as a general rule: </w:t>
      </w:r>
    </w:p>
    <w:p w14:paraId="1DF7D8F5" w14:textId="77777777" w:rsidR="00E94324" w:rsidRPr="00B50AFB" w:rsidRDefault="00E94324" w:rsidP="00E94324">
      <w:pPr>
        <w:spacing w:before="100" w:beforeAutospacing="1" w:after="100" w:afterAutospacing="1"/>
        <w:ind w:left="1440"/>
        <w:rPr>
          <w:rFonts w:ascii="Times New Roman" w:hAnsi="Times New Roman"/>
          <w:i/>
          <w:sz w:val="24"/>
          <w:szCs w:val="24"/>
          <w:lang w:val="en-US"/>
        </w:rPr>
      </w:pPr>
      <w:r w:rsidRPr="00B50AFB">
        <w:rPr>
          <w:rFonts w:ascii="Times New Roman" w:hAnsi="Times New Roman"/>
          <w:i/>
          <w:sz w:val="24"/>
          <w:szCs w:val="24"/>
          <w:lang w:val="en-US"/>
        </w:rPr>
        <w:t>“The proper course for a claimant who wishes to challenge the correctness of an important aspect of the defendant's evidence relating to a factual matter on which the judge will have to make a critical factual finding is to apply to cross-examine the maker of the witness statement on which the defendant relies”.</w:t>
      </w:r>
    </w:p>
    <w:p w14:paraId="1DF7D8F6" w14:textId="77777777" w:rsidR="00E94324" w:rsidRPr="008D6B3D" w:rsidRDefault="00E94324" w:rsidP="00B50AFB">
      <w:pPr>
        <w:numPr>
          <w:ilvl w:val="1"/>
          <w:numId w:val="31"/>
        </w:numPr>
        <w:spacing w:after="0" w:line="360" w:lineRule="auto"/>
        <w:jc w:val="both"/>
        <w:rPr>
          <w:rFonts w:ascii="Times New Roman" w:hAnsi="Times New Roman"/>
          <w:sz w:val="24"/>
          <w:szCs w:val="24"/>
        </w:rPr>
      </w:pPr>
      <w:r w:rsidRPr="008D6B3D">
        <w:rPr>
          <w:rFonts w:ascii="Times New Roman" w:hAnsi="Times New Roman"/>
          <w:i/>
          <w:sz w:val="24"/>
          <w:szCs w:val="24"/>
        </w:rPr>
        <w:t>R (</w:t>
      </w:r>
      <w:proofErr w:type="spellStart"/>
      <w:r w:rsidRPr="008D6B3D">
        <w:rPr>
          <w:rFonts w:ascii="Times New Roman" w:hAnsi="Times New Roman"/>
          <w:i/>
          <w:sz w:val="24"/>
          <w:szCs w:val="24"/>
        </w:rPr>
        <w:t>Shoesmith</w:t>
      </w:r>
      <w:proofErr w:type="spellEnd"/>
      <w:r w:rsidRPr="008D6B3D">
        <w:rPr>
          <w:rFonts w:ascii="Times New Roman" w:hAnsi="Times New Roman"/>
          <w:i/>
          <w:sz w:val="24"/>
          <w:szCs w:val="24"/>
        </w:rPr>
        <w:t xml:space="preserve">) v OFSTED and others </w:t>
      </w:r>
      <w:r w:rsidRPr="008D6B3D">
        <w:rPr>
          <w:rFonts w:ascii="Times New Roman" w:hAnsi="Times New Roman"/>
          <w:sz w:val="24"/>
          <w:szCs w:val="24"/>
        </w:rPr>
        <w:t xml:space="preserve">[2010] EWHC 852 (Admin). The question whether the Claimant had had an adequate opportunity to address concerns may have been an issue for cross examination. </w:t>
      </w:r>
    </w:p>
    <w:p w14:paraId="1DF7D8F7" w14:textId="77777777" w:rsidR="00E94324" w:rsidRPr="008D6B3D" w:rsidRDefault="00E94324" w:rsidP="00E94324">
      <w:pPr>
        <w:spacing w:line="360" w:lineRule="auto"/>
        <w:rPr>
          <w:rFonts w:ascii="Times New Roman" w:hAnsi="Times New Roman"/>
          <w:sz w:val="24"/>
          <w:szCs w:val="24"/>
        </w:rPr>
      </w:pPr>
    </w:p>
    <w:p w14:paraId="1DF7D8F8" w14:textId="77777777" w:rsidR="00E94324" w:rsidRPr="008D6B3D" w:rsidRDefault="00E94324" w:rsidP="0068488D">
      <w:pPr>
        <w:keepNext/>
        <w:spacing w:line="360" w:lineRule="auto"/>
        <w:rPr>
          <w:rFonts w:ascii="Times New Roman" w:hAnsi="Times New Roman"/>
          <w:i/>
          <w:sz w:val="24"/>
          <w:szCs w:val="24"/>
        </w:rPr>
      </w:pPr>
      <w:r w:rsidRPr="008D6B3D">
        <w:rPr>
          <w:rFonts w:ascii="Times New Roman" w:hAnsi="Times New Roman"/>
          <w:i/>
          <w:sz w:val="24"/>
          <w:szCs w:val="24"/>
        </w:rPr>
        <w:t>Further Information</w:t>
      </w:r>
    </w:p>
    <w:p w14:paraId="1DF7D8F9" w14:textId="3369B3E9"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Under CPR Part 18 a court may require a party to </w:t>
      </w:r>
      <w:r w:rsidRPr="00B50AFB">
        <w:rPr>
          <w:rFonts w:ascii="Times New Roman" w:hAnsi="Times New Roman"/>
          <w:i/>
          <w:sz w:val="24"/>
          <w:szCs w:val="24"/>
        </w:rPr>
        <w:t>“(a) clarify any matter which is in dispute in the proceedings or (b) give additional information in relation to any such matter whether or not the matter is contained or referred to in any case”</w:t>
      </w:r>
      <w:r w:rsidRPr="008D6B3D">
        <w:rPr>
          <w:rFonts w:ascii="Times New Roman" w:hAnsi="Times New Roman"/>
          <w:sz w:val="24"/>
          <w:szCs w:val="24"/>
        </w:rPr>
        <w:t xml:space="preserve">. In </w:t>
      </w:r>
      <w:proofErr w:type="spellStart"/>
      <w:r w:rsidRPr="008D6B3D">
        <w:rPr>
          <w:rFonts w:ascii="Times New Roman" w:hAnsi="Times New Roman"/>
          <w:i/>
          <w:sz w:val="24"/>
          <w:szCs w:val="24"/>
        </w:rPr>
        <w:t>Bredenkamp</w:t>
      </w:r>
      <w:proofErr w:type="spellEnd"/>
      <w:r w:rsidRPr="008D6B3D">
        <w:rPr>
          <w:rFonts w:ascii="Times New Roman" w:hAnsi="Times New Roman"/>
          <w:sz w:val="24"/>
          <w:szCs w:val="24"/>
        </w:rPr>
        <w:t xml:space="preserve"> </w:t>
      </w:r>
      <w:proofErr w:type="spellStart"/>
      <w:r w:rsidRPr="008D6B3D">
        <w:rPr>
          <w:rFonts w:ascii="Times New Roman" w:hAnsi="Times New Roman"/>
          <w:sz w:val="24"/>
          <w:szCs w:val="24"/>
        </w:rPr>
        <w:t>Dingemans</w:t>
      </w:r>
      <w:proofErr w:type="spellEnd"/>
      <w:r w:rsidRPr="008D6B3D">
        <w:rPr>
          <w:rFonts w:ascii="Times New Roman" w:hAnsi="Times New Roman"/>
          <w:sz w:val="24"/>
          <w:szCs w:val="24"/>
        </w:rPr>
        <w:t xml:space="preserve"> J allowed (in part) an application for FI but said that such requests should be exceptional. It was common ground that the principles in</w:t>
      </w:r>
      <w:r w:rsidRPr="0068488D">
        <w:rPr>
          <w:rFonts w:ascii="Times New Roman" w:hAnsi="Times New Roman"/>
          <w:i/>
          <w:sz w:val="24"/>
        </w:rPr>
        <w:t xml:space="preserve"> </w:t>
      </w:r>
      <w:proofErr w:type="gramStart"/>
      <w:r w:rsidRPr="008D6B3D">
        <w:rPr>
          <w:rFonts w:ascii="Times New Roman" w:hAnsi="Times New Roman"/>
          <w:i/>
          <w:sz w:val="24"/>
          <w:szCs w:val="24"/>
        </w:rPr>
        <w:t xml:space="preserve">Tweed </w:t>
      </w:r>
      <w:r w:rsidRPr="008D6B3D">
        <w:rPr>
          <w:rFonts w:ascii="Times New Roman" w:hAnsi="Times New Roman"/>
          <w:sz w:val="24"/>
          <w:szCs w:val="24"/>
        </w:rPr>
        <w:t xml:space="preserve"> should</w:t>
      </w:r>
      <w:proofErr w:type="gramEnd"/>
      <w:r w:rsidRPr="008D6B3D">
        <w:rPr>
          <w:rFonts w:ascii="Times New Roman" w:hAnsi="Times New Roman"/>
          <w:sz w:val="24"/>
          <w:szCs w:val="24"/>
        </w:rPr>
        <w:t xml:space="preserve"> apply [19</w:t>
      </w:r>
      <w:r w:rsidR="00B50AFB">
        <w:rPr>
          <w:rFonts w:ascii="Times New Roman" w:hAnsi="Times New Roman"/>
          <w:sz w:val="24"/>
          <w:szCs w:val="24"/>
        </w:rPr>
        <w:t>]</w:t>
      </w:r>
      <w:r w:rsidRPr="008D6B3D">
        <w:rPr>
          <w:rFonts w:ascii="Times New Roman" w:hAnsi="Times New Roman"/>
          <w:sz w:val="24"/>
          <w:szCs w:val="24"/>
        </w:rPr>
        <w:t>-</w:t>
      </w:r>
      <w:r w:rsidR="00B50AFB">
        <w:rPr>
          <w:rFonts w:ascii="Times New Roman" w:hAnsi="Times New Roman"/>
          <w:sz w:val="24"/>
          <w:szCs w:val="24"/>
        </w:rPr>
        <w:t>[</w:t>
      </w:r>
      <w:r w:rsidRPr="008D6B3D">
        <w:rPr>
          <w:rFonts w:ascii="Times New Roman" w:hAnsi="Times New Roman"/>
          <w:sz w:val="24"/>
          <w:szCs w:val="24"/>
        </w:rPr>
        <w:t xml:space="preserve">20].  </w:t>
      </w:r>
    </w:p>
    <w:p w14:paraId="1DF7D8FA" w14:textId="77777777" w:rsidR="00E94324" w:rsidRPr="008D6B3D" w:rsidRDefault="00E94324" w:rsidP="00B50AFB">
      <w:pPr>
        <w:spacing w:line="360" w:lineRule="auto"/>
        <w:jc w:val="both"/>
        <w:rPr>
          <w:rFonts w:ascii="Times New Roman" w:hAnsi="Times New Roman"/>
          <w:sz w:val="24"/>
          <w:szCs w:val="24"/>
        </w:rPr>
      </w:pPr>
    </w:p>
    <w:p w14:paraId="1DF7D8FC" w14:textId="0B112EB4" w:rsidR="00E94324" w:rsidRPr="0068488D" w:rsidRDefault="00E94324" w:rsidP="0068488D">
      <w:pPr>
        <w:numPr>
          <w:ilvl w:val="0"/>
          <w:numId w:val="31"/>
        </w:numPr>
        <w:spacing w:after="0" w:line="360" w:lineRule="auto"/>
        <w:jc w:val="both"/>
        <w:rPr>
          <w:rFonts w:ascii="Times New Roman" w:hAnsi="Times New Roman"/>
          <w:sz w:val="24"/>
        </w:rPr>
      </w:pPr>
      <w:r w:rsidRPr="008D6B3D">
        <w:rPr>
          <w:rFonts w:ascii="Times New Roman" w:hAnsi="Times New Roman"/>
          <w:sz w:val="24"/>
          <w:szCs w:val="24"/>
        </w:rPr>
        <w:t xml:space="preserve">Even in the absence of a formal part 18 request parties should liaise to clarify the issues in dispute. </w:t>
      </w:r>
    </w:p>
    <w:p w14:paraId="1DF7D8FD" w14:textId="77777777" w:rsidR="00E94324" w:rsidRPr="008D6B3D" w:rsidRDefault="00E94324" w:rsidP="00E94324">
      <w:pPr>
        <w:pStyle w:val="ListParagraph"/>
        <w:rPr>
          <w:rFonts w:ascii="Times New Roman" w:hAnsi="Times New Roman"/>
          <w:sz w:val="24"/>
          <w:szCs w:val="24"/>
        </w:rPr>
      </w:pPr>
    </w:p>
    <w:p w14:paraId="1DF7D8FE" w14:textId="77777777" w:rsidR="00E94324" w:rsidRPr="008D6B3D" w:rsidRDefault="00E94324" w:rsidP="0068488D">
      <w:pPr>
        <w:spacing w:line="360" w:lineRule="auto"/>
        <w:rPr>
          <w:rFonts w:ascii="Times New Roman" w:hAnsi="Times New Roman"/>
          <w:i/>
          <w:sz w:val="24"/>
          <w:szCs w:val="24"/>
        </w:rPr>
      </w:pPr>
      <w:r w:rsidRPr="008D6B3D">
        <w:rPr>
          <w:rFonts w:ascii="Times New Roman" w:hAnsi="Times New Roman"/>
          <w:i/>
          <w:sz w:val="24"/>
          <w:szCs w:val="24"/>
        </w:rPr>
        <w:t xml:space="preserve">Manner of making an interim application  </w:t>
      </w:r>
    </w:p>
    <w:p w14:paraId="1DF7D8FF"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lastRenderedPageBreak/>
        <w:t xml:space="preserve">The procedure in CPR Part 23 applies and an application should be made in an application notice (see ACG: 9.2, 12.7) supported by evidence and with a draft order. Note that under CPR part 54.1A a Court officer who is a barrister or solicitor may decide matters that are incidental to civil proceedings in the High Court or where there is no substantial dispute (ACG 12.4.4. gives examples). This is subject to review by a judge (54.1A(5)). </w:t>
      </w:r>
    </w:p>
    <w:p w14:paraId="1DF7D900" w14:textId="77777777" w:rsidR="00E94324" w:rsidRPr="008D6B3D" w:rsidRDefault="00E94324" w:rsidP="0068488D">
      <w:pPr>
        <w:spacing w:line="360" w:lineRule="auto"/>
        <w:ind w:left="502"/>
        <w:jc w:val="both"/>
        <w:rPr>
          <w:rFonts w:ascii="Times New Roman" w:hAnsi="Times New Roman"/>
          <w:sz w:val="24"/>
          <w:szCs w:val="24"/>
        </w:rPr>
      </w:pPr>
    </w:p>
    <w:p w14:paraId="1DF7D901"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If there is a hearing then a skeleton argument should be produced 2 days before the hearing [ACG 17]. </w:t>
      </w:r>
    </w:p>
    <w:p w14:paraId="1DF7D902" w14:textId="77777777" w:rsidR="00E94324" w:rsidRDefault="00E94324" w:rsidP="00E94324">
      <w:pPr>
        <w:spacing w:line="360" w:lineRule="auto"/>
        <w:rPr>
          <w:rFonts w:ascii="Times New Roman" w:hAnsi="Times New Roman"/>
          <w:sz w:val="24"/>
          <w:szCs w:val="24"/>
        </w:rPr>
      </w:pPr>
    </w:p>
    <w:p w14:paraId="1DF7D903" w14:textId="77777777" w:rsidR="00B50AFB" w:rsidRPr="00B50AFB" w:rsidRDefault="00B50AFB" w:rsidP="00B50AFB">
      <w:pPr>
        <w:pStyle w:val="ListParagraph"/>
        <w:numPr>
          <w:ilvl w:val="0"/>
          <w:numId w:val="30"/>
        </w:numPr>
        <w:spacing w:line="360" w:lineRule="auto"/>
        <w:jc w:val="center"/>
        <w:rPr>
          <w:rFonts w:ascii="Times New Roman" w:hAnsi="Times New Roman"/>
          <w:b/>
          <w:sz w:val="24"/>
          <w:szCs w:val="24"/>
        </w:rPr>
      </w:pPr>
      <w:r w:rsidRPr="00B50AFB">
        <w:rPr>
          <w:rFonts w:ascii="Times New Roman" w:hAnsi="Times New Roman"/>
          <w:b/>
          <w:sz w:val="24"/>
          <w:szCs w:val="24"/>
        </w:rPr>
        <w:t>LISTING</w:t>
      </w:r>
    </w:p>
    <w:p w14:paraId="1DF7D904"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Listing policy is set out at </w:t>
      </w:r>
      <w:hyperlink r:id="rId11" w:history="1">
        <w:r w:rsidRPr="008D6B3D">
          <w:rPr>
            <w:rStyle w:val="Hyperlink"/>
            <w:rFonts w:ascii="Times New Roman" w:hAnsi="Times New Roman"/>
            <w:szCs w:val="24"/>
          </w:rPr>
          <w:t>http://www.justice.gov.uk/courts/rcj-rolls-building/administrative-court/listing-policy</w:t>
        </w:r>
      </w:hyperlink>
      <w:r w:rsidRPr="008D6B3D">
        <w:rPr>
          <w:rFonts w:ascii="Times New Roman" w:hAnsi="Times New Roman"/>
          <w:sz w:val="24"/>
          <w:szCs w:val="24"/>
        </w:rPr>
        <w:t xml:space="preserve"> and ACG 13.2. Where counsel are on the record then the court usually attempts to fix a date convenient to counsel. Some cases are placed in the short warned list where they are liable to be called on at less than a day’s notice from the warned date. </w:t>
      </w:r>
    </w:p>
    <w:p w14:paraId="1DF7D905" w14:textId="77777777" w:rsidR="00E94324" w:rsidRPr="008D6B3D" w:rsidRDefault="00E94324" w:rsidP="0068488D">
      <w:pPr>
        <w:spacing w:line="360" w:lineRule="auto"/>
        <w:ind w:left="502"/>
        <w:jc w:val="both"/>
        <w:rPr>
          <w:rFonts w:ascii="Times New Roman" w:hAnsi="Times New Roman"/>
          <w:sz w:val="24"/>
          <w:szCs w:val="24"/>
        </w:rPr>
      </w:pPr>
    </w:p>
    <w:p w14:paraId="1DF7D906"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Once listed a hearing will not generally be adjourned, even if the parties agree (ACG 13.4.2). </w:t>
      </w:r>
    </w:p>
    <w:p w14:paraId="1DF7D907" w14:textId="77777777" w:rsidR="00E94324" w:rsidRPr="008D6B3D" w:rsidRDefault="00E94324" w:rsidP="0068488D">
      <w:pPr>
        <w:spacing w:line="360" w:lineRule="auto"/>
        <w:jc w:val="both"/>
        <w:rPr>
          <w:rFonts w:ascii="Times New Roman" w:hAnsi="Times New Roman"/>
          <w:sz w:val="24"/>
          <w:szCs w:val="24"/>
        </w:rPr>
      </w:pPr>
    </w:p>
    <w:p w14:paraId="1DF7D908" w14:textId="77777777" w:rsidR="00E94324"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The parties must keep the Court informed of any matters likely to affect the length of the hearing. They must also notify the court if there is a good reason for it not to be listed (e.g. settlement negotiations).  </w:t>
      </w:r>
    </w:p>
    <w:p w14:paraId="1DF7D909" w14:textId="77777777" w:rsidR="00B50AFB" w:rsidRDefault="00B50AFB" w:rsidP="0068488D">
      <w:pPr>
        <w:pStyle w:val="ListParagraph"/>
        <w:jc w:val="both"/>
        <w:rPr>
          <w:rFonts w:ascii="Times New Roman" w:hAnsi="Times New Roman"/>
          <w:sz w:val="24"/>
          <w:szCs w:val="24"/>
        </w:rPr>
      </w:pPr>
    </w:p>
    <w:p w14:paraId="1DF7D90A" w14:textId="3FFAD627" w:rsidR="00B50AFB" w:rsidRPr="008D6B3D" w:rsidRDefault="00B50AFB" w:rsidP="0068488D">
      <w:pPr>
        <w:numPr>
          <w:ilvl w:val="0"/>
          <w:numId w:val="31"/>
        </w:numPr>
        <w:spacing w:after="0" w:line="360" w:lineRule="auto"/>
        <w:jc w:val="both"/>
        <w:rPr>
          <w:rFonts w:ascii="Times New Roman" w:hAnsi="Times New Roman"/>
          <w:sz w:val="24"/>
          <w:szCs w:val="24"/>
        </w:rPr>
      </w:pPr>
      <w:r>
        <w:rPr>
          <w:rFonts w:ascii="Times New Roman" w:hAnsi="Times New Roman"/>
          <w:sz w:val="24"/>
          <w:szCs w:val="24"/>
        </w:rPr>
        <w:t>It is critical to notify the Court of reading time required. This should be made clear when the time estimate is provided.</w:t>
      </w:r>
      <w:r w:rsidR="00472340">
        <w:rPr>
          <w:rFonts w:ascii="Times New Roman" w:hAnsi="Times New Roman"/>
          <w:sz w:val="24"/>
          <w:szCs w:val="24"/>
        </w:rPr>
        <w:t xml:space="preserve"> There have been many recent examples of inadequate listings which do not allow the Judges adequate time to read in. Be realistic, notify the Court and keep a paper trail!</w:t>
      </w:r>
    </w:p>
    <w:p w14:paraId="1DF7D90B" w14:textId="77777777" w:rsidR="00E94324" w:rsidRPr="008D6B3D" w:rsidRDefault="00E94324" w:rsidP="00E94324">
      <w:pPr>
        <w:pStyle w:val="ListParagraph"/>
        <w:ind w:left="0"/>
        <w:rPr>
          <w:rFonts w:ascii="Times New Roman" w:hAnsi="Times New Roman"/>
          <w:sz w:val="24"/>
          <w:szCs w:val="24"/>
        </w:rPr>
      </w:pPr>
    </w:p>
    <w:p w14:paraId="1DF7D90C" w14:textId="77777777" w:rsidR="00E94324" w:rsidRPr="00B50AFB" w:rsidRDefault="00E94324" w:rsidP="005F5903">
      <w:pPr>
        <w:pStyle w:val="ListParagraph"/>
        <w:keepNext/>
        <w:numPr>
          <w:ilvl w:val="0"/>
          <w:numId w:val="30"/>
        </w:numPr>
        <w:spacing w:line="360" w:lineRule="auto"/>
        <w:ind w:left="714" w:hanging="357"/>
        <w:jc w:val="center"/>
        <w:rPr>
          <w:rFonts w:ascii="Times New Roman" w:hAnsi="Times New Roman"/>
          <w:b/>
          <w:caps/>
          <w:sz w:val="24"/>
          <w:szCs w:val="24"/>
        </w:rPr>
      </w:pPr>
      <w:r w:rsidRPr="00B50AFB">
        <w:rPr>
          <w:rFonts w:ascii="Times New Roman" w:hAnsi="Times New Roman"/>
          <w:b/>
          <w:caps/>
          <w:sz w:val="24"/>
          <w:szCs w:val="24"/>
        </w:rPr>
        <w:lastRenderedPageBreak/>
        <w:t>Settlement and discontinuance (ACG 22)</w:t>
      </w:r>
    </w:p>
    <w:p w14:paraId="1DF7D90D" w14:textId="66F1557A"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Parties are required to consider settlement throughout the case (ACG 12.2.1) and encouraged to use ADR </w:t>
      </w:r>
      <w:r w:rsidRPr="008D6B3D">
        <w:rPr>
          <w:rFonts w:ascii="Times New Roman" w:hAnsi="Times New Roman"/>
          <w:i/>
          <w:sz w:val="24"/>
          <w:szCs w:val="24"/>
        </w:rPr>
        <w:t>R (Cowl) v Plymouth City Council (Practice Note)</w:t>
      </w:r>
      <w:r w:rsidRPr="008D6B3D">
        <w:rPr>
          <w:rFonts w:ascii="Times New Roman" w:hAnsi="Times New Roman"/>
          <w:sz w:val="24"/>
          <w:szCs w:val="24"/>
        </w:rPr>
        <w:t xml:space="preserve"> [</w:t>
      </w:r>
      <w:r w:rsidR="00472340" w:rsidRPr="008D6B3D">
        <w:rPr>
          <w:rFonts w:ascii="Times New Roman" w:hAnsi="Times New Roman"/>
          <w:sz w:val="24"/>
          <w:szCs w:val="24"/>
        </w:rPr>
        <w:t>2002] 1 WLR 803</w:t>
      </w:r>
      <w:r w:rsidR="00472340">
        <w:rPr>
          <w:rFonts w:ascii="Times New Roman" w:hAnsi="Times New Roman"/>
          <w:sz w:val="24"/>
          <w:szCs w:val="24"/>
        </w:rPr>
        <w:t>, [</w:t>
      </w:r>
      <w:r w:rsidRPr="008D6B3D">
        <w:rPr>
          <w:rFonts w:ascii="Times New Roman" w:hAnsi="Times New Roman"/>
          <w:sz w:val="24"/>
          <w:szCs w:val="24"/>
        </w:rPr>
        <w:t xml:space="preserve">2001] EWCA </w:t>
      </w:r>
      <w:proofErr w:type="spellStart"/>
      <w:r w:rsidRPr="008D6B3D">
        <w:rPr>
          <w:rFonts w:ascii="Times New Roman" w:hAnsi="Times New Roman"/>
          <w:sz w:val="24"/>
          <w:szCs w:val="24"/>
        </w:rPr>
        <w:t>Civ</w:t>
      </w:r>
      <w:proofErr w:type="spellEnd"/>
      <w:r w:rsidRPr="008D6B3D">
        <w:rPr>
          <w:rFonts w:ascii="Times New Roman" w:hAnsi="Times New Roman"/>
          <w:sz w:val="24"/>
          <w:szCs w:val="24"/>
        </w:rPr>
        <w:t xml:space="preserve"> 1935. An unreasonable failure to mediate may be a reason to depart from the usual rule that costs follow the event </w:t>
      </w:r>
      <w:r w:rsidRPr="008D6B3D">
        <w:rPr>
          <w:rFonts w:ascii="Times New Roman" w:hAnsi="Times New Roman"/>
          <w:i/>
          <w:sz w:val="24"/>
          <w:szCs w:val="24"/>
        </w:rPr>
        <w:t xml:space="preserve">PGF II SA v OMFS Co1 Ltd </w:t>
      </w:r>
      <w:r w:rsidRPr="008D6B3D">
        <w:rPr>
          <w:rFonts w:ascii="Times New Roman" w:hAnsi="Times New Roman"/>
          <w:sz w:val="24"/>
          <w:szCs w:val="24"/>
        </w:rPr>
        <w:t xml:space="preserve">[2014] 1 WLR 1386, applied in </w:t>
      </w:r>
      <w:r w:rsidRPr="008D6B3D">
        <w:rPr>
          <w:rFonts w:ascii="Times New Roman" w:hAnsi="Times New Roman"/>
          <w:i/>
          <w:sz w:val="24"/>
          <w:szCs w:val="24"/>
        </w:rPr>
        <w:t>R (Crawford) v Newcastle University</w:t>
      </w:r>
      <w:r w:rsidRPr="008D6B3D">
        <w:rPr>
          <w:rFonts w:ascii="Times New Roman" w:hAnsi="Times New Roman"/>
          <w:sz w:val="24"/>
          <w:szCs w:val="24"/>
        </w:rPr>
        <w:t xml:space="preserve"> [2014] EWHC 1197 (Admin). </w:t>
      </w:r>
    </w:p>
    <w:p w14:paraId="1DF7D90E" w14:textId="77777777" w:rsidR="00E94324" w:rsidRPr="008D6B3D" w:rsidRDefault="00E94324" w:rsidP="00B50AFB">
      <w:pPr>
        <w:spacing w:line="360" w:lineRule="auto"/>
        <w:ind w:left="360"/>
        <w:jc w:val="both"/>
        <w:rPr>
          <w:rFonts w:ascii="Times New Roman" w:hAnsi="Times New Roman"/>
          <w:sz w:val="24"/>
          <w:szCs w:val="24"/>
        </w:rPr>
      </w:pPr>
    </w:p>
    <w:p w14:paraId="1DF7D90F" w14:textId="33B97B85" w:rsidR="00E94324" w:rsidRPr="008D6B3D" w:rsidRDefault="00E94324" w:rsidP="00B50AFB">
      <w:pPr>
        <w:numPr>
          <w:ilvl w:val="0"/>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rPr>
        <w:t>If the parties do settle then they must inform the court promptly so as to avoid the Court wasting time reading and preparing the case</w:t>
      </w:r>
      <w:r w:rsidR="00994FE1">
        <w:rPr>
          <w:rFonts w:ascii="Times New Roman" w:hAnsi="Times New Roman"/>
          <w:sz w:val="24"/>
          <w:szCs w:val="24"/>
        </w:rPr>
        <w:t>: see</w:t>
      </w:r>
      <w:r w:rsidRPr="008D6B3D">
        <w:rPr>
          <w:rFonts w:ascii="Times New Roman" w:hAnsi="Times New Roman"/>
          <w:sz w:val="24"/>
          <w:szCs w:val="24"/>
        </w:rPr>
        <w:t xml:space="preserve"> </w:t>
      </w:r>
      <w:r w:rsidRPr="008D6B3D">
        <w:rPr>
          <w:rFonts w:ascii="Times New Roman" w:hAnsi="Times New Roman"/>
          <w:i/>
          <w:sz w:val="24"/>
          <w:szCs w:val="24"/>
        </w:rPr>
        <w:t>R (Craddock) v PCA</w:t>
      </w:r>
      <w:r w:rsidRPr="008D6B3D">
        <w:rPr>
          <w:rFonts w:ascii="Times New Roman" w:hAnsi="Times New Roman"/>
          <w:sz w:val="24"/>
          <w:szCs w:val="24"/>
        </w:rPr>
        <w:t xml:space="preserve"> [2005] EWHC 95 Admin. Failure to do so may result in a wasted costs order</w:t>
      </w:r>
      <w:r w:rsidR="00994FE1">
        <w:rPr>
          <w:rFonts w:ascii="Times New Roman" w:hAnsi="Times New Roman"/>
          <w:sz w:val="24"/>
          <w:szCs w:val="24"/>
        </w:rPr>
        <w:t>:</w:t>
      </w:r>
      <w:r w:rsidRPr="008D6B3D">
        <w:rPr>
          <w:rFonts w:ascii="Times New Roman" w:hAnsi="Times New Roman"/>
          <w:sz w:val="24"/>
          <w:szCs w:val="24"/>
        </w:rPr>
        <w:t xml:space="preserve"> </w:t>
      </w:r>
      <w:r w:rsidRPr="008D6B3D">
        <w:rPr>
          <w:rFonts w:ascii="Times New Roman" w:hAnsi="Times New Roman"/>
          <w:i/>
          <w:sz w:val="24"/>
          <w:szCs w:val="24"/>
        </w:rPr>
        <w:t>R (</w:t>
      </w:r>
      <w:proofErr w:type="spellStart"/>
      <w:r w:rsidRPr="008D6B3D">
        <w:rPr>
          <w:rFonts w:ascii="Times New Roman" w:hAnsi="Times New Roman"/>
          <w:i/>
          <w:sz w:val="24"/>
          <w:szCs w:val="24"/>
        </w:rPr>
        <w:t>Gassama</w:t>
      </w:r>
      <w:proofErr w:type="spellEnd"/>
      <w:r w:rsidRPr="008D6B3D">
        <w:rPr>
          <w:rFonts w:ascii="Times New Roman" w:hAnsi="Times New Roman"/>
          <w:i/>
          <w:sz w:val="24"/>
          <w:szCs w:val="24"/>
        </w:rPr>
        <w:t xml:space="preserve"> v SSHD</w:t>
      </w:r>
      <w:r w:rsidRPr="008D6B3D">
        <w:rPr>
          <w:rFonts w:ascii="Times New Roman" w:hAnsi="Times New Roman"/>
          <w:sz w:val="24"/>
          <w:szCs w:val="24"/>
        </w:rPr>
        <w:t xml:space="preserve"> [2012] EWHC 3049 (Admin); </w:t>
      </w:r>
      <w:r w:rsidRPr="008D6B3D">
        <w:rPr>
          <w:rFonts w:ascii="Times New Roman" w:hAnsi="Times New Roman"/>
          <w:i/>
          <w:sz w:val="24"/>
          <w:szCs w:val="24"/>
        </w:rPr>
        <w:t xml:space="preserve">R (Grimshaw) v LBC Southwark </w:t>
      </w:r>
      <w:r w:rsidR="00994FE1">
        <w:rPr>
          <w:rFonts w:ascii="Times New Roman" w:hAnsi="Times New Roman"/>
          <w:i/>
          <w:sz w:val="24"/>
          <w:szCs w:val="24"/>
        </w:rPr>
        <w:t>,</w:t>
      </w:r>
      <w:r w:rsidRPr="008D6B3D">
        <w:rPr>
          <w:rFonts w:ascii="Times New Roman" w:hAnsi="Times New Roman"/>
          <w:sz w:val="24"/>
          <w:szCs w:val="24"/>
        </w:rPr>
        <w:t xml:space="preserve"> 17</w:t>
      </w:r>
      <w:r w:rsidR="00994FE1" w:rsidRPr="00994FE1">
        <w:rPr>
          <w:rFonts w:ascii="Times New Roman" w:hAnsi="Times New Roman"/>
          <w:sz w:val="24"/>
          <w:szCs w:val="24"/>
          <w:vertAlign w:val="superscript"/>
        </w:rPr>
        <w:t>th</w:t>
      </w:r>
      <w:r w:rsidRPr="008D6B3D">
        <w:rPr>
          <w:rFonts w:ascii="Times New Roman" w:hAnsi="Times New Roman"/>
          <w:sz w:val="24"/>
          <w:szCs w:val="24"/>
        </w:rPr>
        <w:t xml:space="preserve"> Jul</w:t>
      </w:r>
      <w:r w:rsidR="00994FE1">
        <w:rPr>
          <w:rFonts w:ascii="Times New Roman" w:hAnsi="Times New Roman"/>
          <w:sz w:val="24"/>
          <w:szCs w:val="24"/>
        </w:rPr>
        <w:t>y</w:t>
      </w:r>
      <w:r w:rsidRPr="008D6B3D">
        <w:rPr>
          <w:rFonts w:ascii="Times New Roman" w:hAnsi="Times New Roman"/>
          <w:sz w:val="24"/>
          <w:szCs w:val="24"/>
        </w:rPr>
        <w:t xml:space="preserve"> 2013</w:t>
      </w:r>
      <w:r w:rsidR="00994FE1">
        <w:rPr>
          <w:rFonts w:ascii="Times New Roman" w:hAnsi="Times New Roman"/>
          <w:sz w:val="24"/>
          <w:szCs w:val="24"/>
        </w:rPr>
        <w:t>,</w:t>
      </w:r>
      <w:r w:rsidRPr="008D6B3D">
        <w:rPr>
          <w:rFonts w:ascii="Times New Roman" w:hAnsi="Times New Roman"/>
          <w:sz w:val="24"/>
          <w:szCs w:val="24"/>
        </w:rPr>
        <w:t xml:space="preserve"> Leggatt J. </w:t>
      </w:r>
    </w:p>
    <w:p w14:paraId="1DF7D910" w14:textId="77777777" w:rsidR="00E94324" w:rsidRPr="008D6B3D" w:rsidRDefault="00E94324" w:rsidP="00B50AFB">
      <w:pPr>
        <w:pStyle w:val="ListParagraph"/>
        <w:jc w:val="both"/>
        <w:rPr>
          <w:rFonts w:ascii="Times New Roman" w:hAnsi="Times New Roman"/>
          <w:sz w:val="24"/>
          <w:szCs w:val="24"/>
          <w:lang w:val="en-US"/>
        </w:rPr>
      </w:pPr>
    </w:p>
    <w:p w14:paraId="1DF7D911" w14:textId="77777777" w:rsidR="00E94324" w:rsidRPr="008D6B3D" w:rsidRDefault="00E94324" w:rsidP="00B50AFB">
      <w:pPr>
        <w:pStyle w:val="ListParagraph"/>
        <w:numPr>
          <w:ilvl w:val="0"/>
          <w:numId w:val="31"/>
        </w:numPr>
        <w:autoSpaceDE w:val="0"/>
        <w:autoSpaceDN w:val="0"/>
        <w:adjustRightInd w:val="0"/>
        <w:snapToGrid w:val="0"/>
        <w:spacing w:after="0" w:line="360" w:lineRule="auto"/>
        <w:contextualSpacing w:val="0"/>
        <w:jc w:val="both"/>
        <w:rPr>
          <w:rFonts w:ascii="Times New Roman" w:hAnsi="Times New Roman"/>
          <w:color w:val="000000"/>
          <w:sz w:val="24"/>
          <w:szCs w:val="24"/>
          <w:lang w:eastAsia="en-GB"/>
        </w:rPr>
      </w:pPr>
      <w:r w:rsidRPr="008D6B3D">
        <w:rPr>
          <w:rFonts w:ascii="Times New Roman" w:hAnsi="Times New Roman"/>
          <w:sz w:val="24"/>
          <w:szCs w:val="24"/>
        </w:rPr>
        <w:t xml:space="preserve">Where there is a settlement then (subject to discontinuance (below) the proceedings are brought to an end by a consent order which requires an application and fee (ACG 22.4). The court has to approve the order but the information that has to be given to the court depends on the order being sought. If the parties ask the court to do a judicial act such as quashing the decision then they must include a statement of reasons why that order is merited (PD 54 Para 17, ACG 24.4.2.3.2, and </w:t>
      </w:r>
      <w:r w:rsidRPr="008D6B3D">
        <w:rPr>
          <w:rFonts w:ascii="Times New Roman" w:hAnsi="Times New Roman"/>
          <w:color w:val="000000"/>
          <w:sz w:val="24"/>
          <w:szCs w:val="24"/>
          <w:lang w:eastAsia="en-GB"/>
        </w:rPr>
        <w:t xml:space="preserve">Practice Direction (Administrative Court: Uncontested Proceedings) [2008] 1 WLR 1377). </w:t>
      </w:r>
    </w:p>
    <w:p w14:paraId="1DF7D912" w14:textId="77777777" w:rsidR="00E94324" w:rsidRPr="0068488D" w:rsidRDefault="00E94324" w:rsidP="0068488D">
      <w:pPr>
        <w:spacing w:line="360" w:lineRule="auto"/>
        <w:rPr>
          <w:rFonts w:ascii="Times New Roman" w:hAnsi="Times New Roman"/>
          <w:sz w:val="24"/>
        </w:rPr>
      </w:pPr>
    </w:p>
    <w:p w14:paraId="1DF7D914"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It often happens that the parties agree all issues with the exception of costs and costs are then dealt with on the papers (see below). </w:t>
      </w:r>
    </w:p>
    <w:p w14:paraId="1DF7D915" w14:textId="77777777" w:rsidR="00E94324" w:rsidRPr="008D6B3D" w:rsidRDefault="00E94324" w:rsidP="00E94324">
      <w:pPr>
        <w:spacing w:line="360" w:lineRule="auto"/>
        <w:ind w:left="360" w:firstLine="360"/>
        <w:rPr>
          <w:rFonts w:ascii="Times New Roman" w:hAnsi="Times New Roman"/>
          <w:b/>
          <w:sz w:val="24"/>
          <w:szCs w:val="24"/>
        </w:rPr>
      </w:pPr>
      <w:r w:rsidRPr="008D6B3D">
        <w:rPr>
          <w:rFonts w:ascii="Times New Roman" w:hAnsi="Times New Roman"/>
          <w:b/>
          <w:i/>
          <w:sz w:val="24"/>
          <w:szCs w:val="24"/>
        </w:rPr>
        <w:t xml:space="preserve"> </w:t>
      </w:r>
    </w:p>
    <w:p w14:paraId="1DF7D916"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A Claimant may also discontinue their claim at any time by notice under CPR Part 38 (subject to the restrictions in that rule which include 38.2(2) – permission is required if there has been an injunction or undertaking). However, they must pay the Defendant’s costs unless the Court orders otherwise. </w:t>
      </w:r>
    </w:p>
    <w:p w14:paraId="1DF7D917" w14:textId="77777777" w:rsidR="00E94324" w:rsidRPr="008D6B3D" w:rsidRDefault="00E94324" w:rsidP="00E94324">
      <w:pPr>
        <w:pStyle w:val="ListParagraph"/>
        <w:rPr>
          <w:rFonts w:ascii="Times New Roman" w:hAnsi="Times New Roman"/>
          <w:sz w:val="24"/>
          <w:szCs w:val="24"/>
        </w:rPr>
      </w:pPr>
    </w:p>
    <w:p w14:paraId="2D64E0F1" w14:textId="77777777" w:rsidR="00994FE1" w:rsidRPr="008D6B3D" w:rsidRDefault="00994FE1" w:rsidP="00E94324">
      <w:pPr>
        <w:pStyle w:val="ListParagraph"/>
        <w:rPr>
          <w:rFonts w:ascii="Times New Roman" w:hAnsi="Times New Roman"/>
          <w:sz w:val="24"/>
          <w:szCs w:val="24"/>
        </w:rPr>
      </w:pPr>
    </w:p>
    <w:p w14:paraId="1DF7D918" w14:textId="77777777" w:rsidR="00E94324" w:rsidRPr="00B50AFB" w:rsidRDefault="00B50AFB" w:rsidP="005F5903">
      <w:pPr>
        <w:pStyle w:val="ListParagraph"/>
        <w:keepNext/>
        <w:numPr>
          <w:ilvl w:val="0"/>
          <w:numId w:val="30"/>
        </w:numPr>
        <w:spacing w:line="360" w:lineRule="auto"/>
        <w:ind w:left="714" w:hanging="357"/>
        <w:jc w:val="center"/>
        <w:rPr>
          <w:rFonts w:ascii="Times New Roman" w:hAnsi="Times New Roman"/>
          <w:b/>
          <w:sz w:val="24"/>
          <w:szCs w:val="24"/>
        </w:rPr>
      </w:pPr>
      <w:r w:rsidRPr="00B50AFB">
        <w:rPr>
          <w:rFonts w:ascii="Times New Roman" w:hAnsi="Times New Roman"/>
          <w:b/>
          <w:sz w:val="24"/>
          <w:szCs w:val="24"/>
        </w:rPr>
        <w:lastRenderedPageBreak/>
        <w:t>PREPARATION FOR THE HEARING</w:t>
      </w:r>
    </w:p>
    <w:p w14:paraId="1DF7D919" w14:textId="77777777" w:rsidR="00E94324" w:rsidRPr="008D6B3D" w:rsidRDefault="00E94324" w:rsidP="0068488D">
      <w:pPr>
        <w:spacing w:line="360" w:lineRule="auto"/>
        <w:rPr>
          <w:rFonts w:ascii="Times New Roman" w:hAnsi="Times New Roman"/>
          <w:i/>
          <w:sz w:val="24"/>
          <w:szCs w:val="24"/>
        </w:rPr>
      </w:pPr>
      <w:r w:rsidRPr="008D6B3D">
        <w:rPr>
          <w:rFonts w:ascii="Times New Roman" w:hAnsi="Times New Roman"/>
          <w:i/>
          <w:sz w:val="24"/>
          <w:szCs w:val="24"/>
        </w:rPr>
        <w:t xml:space="preserve">Determination without a hearing </w:t>
      </w:r>
    </w:p>
    <w:p w14:paraId="1DF7D91A"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Under CPR Part 54.18 the </w:t>
      </w:r>
      <w:r w:rsidRPr="00B50AFB">
        <w:rPr>
          <w:rFonts w:ascii="Times New Roman" w:hAnsi="Times New Roman"/>
          <w:i/>
          <w:sz w:val="24"/>
          <w:szCs w:val="24"/>
        </w:rPr>
        <w:t>“court may decide the claim for judicial review without a hearing where all the parties agree”.</w:t>
      </w:r>
      <w:r w:rsidRPr="008D6B3D">
        <w:rPr>
          <w:rFonts w:ascii="Times New Roman" w:hAnsi="Times New Roman"/>
          <w:sz w:val="24"/>
          <w:szCs w:val="24"/>
        </w:rPr>
        <w:t xml:space="preserve"> This will normally be suitable for simple cases</w:t>
      </w:r>
      <w:r w:rsidRPr="008D6B3D">
        <w:rPr>
          <w:rStyle w:val="FootnoteReference"/>
          <w:rFonts w:ascii="Times New Roman" w:hAnsi="Times New Roman"/>
          <w:szCs w:val="24"/>
        </w:rPr>
        <w:footnoteReference w:id="6"/>
      </w:r>
      <w:r w:rsidRPr="008D6B3D">
        <w:rPr>
          <w:rFonts w:ascii="Times New Roman" w:hAnsi="Times New Roman"/>
          <w:sz w:val="24"/>
          <w:szCs w:val="24"/>
        </w:rPr>
        <w:t xml:space="preserve"> only but might also be used to “tie-break” where the parties have agreed on everything apart from a discrete issue but do not want to incur the costs of a hearing. The rules and practice direction do not set out any procedures for dealing with a case in this way</w:t>
      </w:r>
      <w:r w:rsidRPr="008D6B3D">
        <w:rPr>
          <w:rStyle w:val="FootnoteReference"/>
          <w:rFonts w:ascii="Times New Roman" w:hAnsi="Times New Roman"/>
          <w:szCs w:val="24"/>
        </w:rPr>
        <w:footnoteReference w:id="7"/>
      </w:r>
      <w:r w:rsidRPr="008D6B3D">
        <w:rPr>
          <w:rFonts w:ascii="Times New Roman" w:hAnsi="Times New Roman"/>
          <w:sz w:val="24"/>
          <w:szCs w:val="24"/>
        </w:rPr>
        <w:t xml:space="preserve">. Once permission has been granted then the Court does not have any other general power to dispose of it without a hearing unless the parties agree – </w:t>
      </w:r>
      <w:r w:rsidRPr="008D6B3D">
        <w:rPr>
          <w:rFonts w:ascii="Times New Roman" w:hAnsi="Times New Roman"/>
          <w:i/>
          <w:sz w:val="24"/>
          <w:szCs w:val="24"/>
        </w:rPr>
        <w:t xml:space="preserve">BP v SSHD </w:t>
      </w:r>
      <w:r w:rsidRPr="008D6B3D">
        <w:rPr>
          <w:rFonts w:ascii="Times New Roman" w:hAnsi="Times New Roman"/>
          <w:sz w:val="24"/>
          <w:szCs w:val="24"/>
        </w:rPr>
        <w:t xml:space="preserve">[2011] EWCA </w:t>
      </w:r>
      <w:proofErr w:type="spellStart"/>
      <w:r w:rsidRPr="008D6B3D">
        <w:rPr>
          <w:rFonts w:ascii="Times New Roman" w:hAnsi="Times New Roman"/>
          <w:sz w:val="24"/>
          <w:szCs w:val="24"/>
        </w:rPr>
        <w:t>Civ</w:t>
      </w:r>
      <w:proofErr w:type="spellEnd"/>
      <w:r w:rsidRPr="008D6B3D">
        <w:rPr>
          <w:rFonts w:ascii="Times New Roman" w:hAnsi="Times New Roman"/>
          <w:sz w:val="24"/>
          <w:szCs w:val="24"/>
        </w:rPr>
        <w:t xml:space="preserve"> 276.  </w:t>
      </w:r>
    </w:p>
    <w:p w14:paraId="1DF7D91B" w14:textId="77777777" w:rsidR="00E94324" w:rsidRPr="008D6B3D" w:rsidRDefault="00E94324" w:rsidP="0068488D">
      <w:pPr>
        <w:spacing w:line="360" w:lineRule="auto"/>
        <w:ind w:left="502"/>
        <w:jc w:val="both"/>
        <w:rPr>
          <w:rFonts w:ascii="Times New Roman" w:hAnsi="Times New Roman"/>
          <w:sz w:val="24"/>
          <w:szCs w:val="24"/>
        </w:rPr>
      </w:pPr>
    </w:p>
    <w:p w14:paraId="1DF7D91C"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Insisting on an oral hearing when it is not needed can be unreasonable conduct meriting an adverse costs order – </w:t>
      </w:r>
      <w:r w:rsidRPr="008D6B3D">
        <w:rPr>
          <w:rFonts w:ascii="Times New Roman" w:hAnsi="Times New Roman"/>
          <w:i/>
          <w:sz w:val="24"/>
          <w:szCs w:val="24"/>
        </w:rPr>
        <w:t xml:space="preserve">R (J) v LB Hackney </w:t>
      </w:r>
      <w:r w:rsidRPr="008D6B3D">
        <w:rPr>
          <w:rFonts w:ascii="Times New Roman" w:hAnsi="Times New Roman"/>
          <w:sz w:val="24"/>
          <w:szCs w:val="24"/>
        </w:rPr>
        <w:t xml:space="preserve">25 Oct 2010. </w:t>
      </w:r>
    </w:p>
    <w:p w14:paraId="1DF7D91D" w14:textId="77777777" w:rsidR="00E94324" w:rsidRPr="008D6B3D" w:rsidRDefault="00E94324" w:rsidP="0068488D">
      <w:pPr>
        <w:pStyle w:val="ListParagraph"/>
        <w:jc w:val="both"/>
        <w:rPr>
          <w:rFonts w:ascii="Times New Roman" w:hAnsi="Times New Roman"/>
          <w:sz w:val="24"/>
          <w:szCs w:val="24"/>
        </w:rPr>
      </w:pPr>
    </w:p>
    <w:p w14:paraId="1DF7D91E" w14:textId="77777777" w:rsidR="00E94324" w:rsidRPr="008D6B3D" w:rsidRDefault="00B50AFB" w:rsidP="0068488D">
      <w:pPr>
        <w:keepNext/>
        <w:spacing w:line="360" w:lineRule="auto"/>
        <w:jc w:val="both"/>
        <w:rPr>
          <w:rFonts w:ascii="Times New Roman" w:hAnsi="Times New Roman"/>
          <w:sz w:val="24"/>
          <w:szCs w:val="24"/>
        </w:rPr>
      </w:pPr>
      <w:r>
        <w:rPr>
          <w:rFonts w:ascii="Times New Roman" w:hAnsi="Times New Roman"/>
          <w:i/>
          <w:sz w:val="24"/>
          <w:szCs w:val="24"/>
        </w:rPr>
        <w:t xml:space="preserve">Hearing </w:t>
      </w:r>
      <w:r w:rsidR="00E94324" w:rsidRPr="008D6B3D">
        <w:rPr>
          <w:rFonts w:ascii="Times New Roman" w:hAnsi="Times New Roman"/>
          <w:i/>
          <w:sz w:val="24"/>
          <w:szCs w:val="24"/>
        </w:rPr>
        <w:t xml:space="preserve">Bundles </w:t>
      </w:r>
      <w:r w:rsidR="00E94324" w:rsidRPr="008D6B3D">
        <w:rPr>
          <w:rFonts w:ascii="Times New Roman" w:hAnsi="Times New Roman"/>
          <w:sz w:val="24"/>
          <w:szCs w:val="24"/>
        </w:rPr>
        <w:t>(PD 54A.16, ACG 18)</w:t>
      </w:r>
    </w:p>
    <w:p w14:paraId="1DF7D91F"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Bundles must be lodged at the same time as the skeleton argument (or earlier if the court has so ordered). This should be a joint bundle with all documents to be relied on by either side. </w:t>
      </w:r>
    </w:p>
    <w:p w14:paraId="1DF7D920" w14:textId="77777777" w:rsidR="00E94324" w:rsidRPr="008D6B3D" w:rsidRDefault="00E94324" w:rsidP="0068488D">
      <w:pPr>
        <w:spacing w:line="360" w:lineRule="auto"/>
        <w:ind w:left="502"/>
        <w:jc w:val="both"/>
        <w:rPr>
          <w:rFonts w:ascii="Times New Roman" w:hAnsi="Times New Roman"/>
          <w:sz w:val="24"/>
          <w:szCs w:val="24"/>
        </w:rPr>
      </w:pPr>
    </w:p>
    <w:p w14:paraId="1DF7D921"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The bundle should:</w:t>
      </w:r>
    </w:p>
    <w:p w14:paraId="1DF7D922" w14:textId="77777777" w:rsidR="00E94324" w:rsidRPr="008D6B3D" w:rsidRDefault="00E94324" w:rsidP="00E94324">
      <w:pPr>
        <w:pStyle w:val="ListParagraph"/>
        <w:rPr>
          <w:rFonts w:ascii="Times New Roman" w:hAnsi="Times New Roman"/>
          <w:sz w:val="24"/>
          <w:szCs w:val="24"/>
        </w:rPr>
      </w:pPr>
    </w:p>
    <w:p w14:paraId="1DF7D923" w14:textId="77777777" w:rsidR="00E94324" w:rsidRPr="008D6B3D" w:rsidRDefault="00E94324" w:rsidP="006F53FC">
      <w:pPr>
        <w:numPr>
          <w:ilvl w:val="1"/>
          <w:numId w:val="31"/>
        </w:numPr>
        <w:spacing w:after="0" w:line="360" w:lineRule="auto"/>
        <w:rPr>
          <w:rFonts w:ascii="Times New Roman" w:hAnsi="Times New Roman"/>
          <w:sz w:val="24"/>
          <w:szCs w:val="24"/>
        </w:rPr>
      </w:pPr>
      <w:r w:rsidRPr="008D6B3D">
        <w:rPr>
          <w:rFonts w:ascii="Times New Roman" w:hAnsi="Times New Roman"/>
          <w:sz w:val="24"/>
          <w:szCs w:val="24"/>
        </w:rPr>
        <w:t xml:space="preserve">Present documents chronologically. </w:t>
      </w:r>
    </w:p>
    <w:p w14:paraId="1DF7D924" w14:textId="77777777" w:rsidR="00E94324" w:rsidRPr="008D6B3D" w:rsidRDefault="00E94324" w:rsidP="00E94324">
      <w:pPr>
        <w:pStyle w:val="ListParagraph"/>
        <w:rPr>
          <w:rFonts w:ascii="Times New Roman" w:hAnsi="Times New Roman"/>
          <w:sz w:val="24"/>
          <w:szCs w:val="24"/>
        </w:rPr>
      </w:pPr>
    </w:p>
    <w:p w14:paraId="1DF7D925" w14:textId="77777777" w:rsidR="00E94324" w:rsidRPr="008D6B3D" w:rsidRDefault="00E94324" w:rsidP="006F53FC">
      <w:pPr>
        <w:numPr>
          <w:ilvl w:val="1"/>
          <w:numId w:val="31"/>
        </w:numPr>
        <w:spacing w:after="0" w:line="360" w:lineRule="auto"/>
        <w:rPr>
          <w:rFonts w:ascii="Times New Roman" w:hAnsi="Times New Roman"/>
          <w:sz w:val="24"/>
          <w:szCs w:val="24"/>
        </w:rPr>
      </w:pPr>
      <w:r w:rsidRPr="008D6B3D">
        <w:rPr>
          <w:rFonts w:ascii="Times New Roman" w:hAnsi="Times New Roman"/>
          <w:sz w:val="24"/>
          <w:szCs w:val="24"/>
        </w:rPr>
        <w:t xml:space="preserve">Be numbered sequentially and indexed. </w:t>
      </w:r>
    </w:p>
    <w:p w14:paraId="1DF7D926" w14:textId="77777777" w:rsidR="00E94324" w:rsidRPr="008D6B3D" w:rsidRDefault="00E94324" w:rsidP="00E94324">
      <w:pPr>
        <w:pStyle w:val="ListParagraph"/>
        <w:rPr>
          <w:rFonts w:ascii="Times New Roman" w:hAnsi="Times New Roman"/>
          <w:sz w:val="24"/>
          <w:szCs w:val="24"/>
        </w:rPr>
      </w:pPr>
    </w:p>
    <w:p w14:paraId="1DF7D927" w14:textId="3E01C6DB" w:rsidR="00E94324" w:rsidRPr="008D6B3D" w:rsidRDefault="00E94324" w:rsidP="006F53FC">
      <w:pPr>
        <w:numPr>
          <w:ilvl w:val="1"/>
          <w:numId w:val="31"/>
        </w:numPr>
        <w:spacing w:after="0" w:line="360" w:lineRule="auto"/>
        <w:rPr>
          <w:rFonts w:ascii="Times New Roman" w:hAnsi="Times New Roman"/>
          <w:sz w:val="24"/>
          <w:szCs w:val="24"/>
        </w:rPr>
      </w:pPr>
      <w:r w:rsidRPr="008D6B3D">
        <w:rPr>
          <w:rFonts w:ascii="Times New Roman" w:hAnsi="Times New Roman"/>
          <w:sz w:val="24"/>
          <w:szCs w:val="24"/>
        </w:rPr>
        <w:lastRenderedPageBreak/>
        <w:t>Be double</w:t>
      </w:r>
      <w:r w:rsidR="00994FE1">
        <w:rPr>
          <w:rFonts w:ascii="Times New Roman" w:hAnsi="Times New Roman"/>
          <w:sz w:val="24"/>
          <w:szCs w:val="24"/>
        </w:rPr>
        <w:t>-</w:t>
      </w:r>
      <w:r w:rsidRPr="008D6B3D">
        <w:rPr>
          <w:rFonts w:ascii="Times New Roman" w:hAnsi="Times New Roman"/>
          <w:sz w:val="24"/>
          <w:szCs w:val="24"/>
        </w:rPr>
        <w:t>sided with documents copied (legibly) in portrait format.</w:t>
      </w:r>
    </w:p>
    <w:p w14:paraId="1DF7D928" w14:textId="77777777" w:rsidR="00E94324" w:rsidRPr="008D6B3D" w:rsidRDefault="00E94324" w:rsidP="00E94324">
      <w:pPr>
        <w:pStyle w:val="ListParagraph"/>
        <w:rPr>
          <w:rFonts w:ascii="Times New Roman" w:hAnsi="Times New Roman"/>
          <w:sz w:val="24"/>
          <w:szCs w:val="24"/>
        </w:rPr>
      </w:pPr>
    </w:p>
    <w:p w14:paraId="1DF7D929"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If there are more than 500 pp consider a core bundle and only include relevant extracts from long documents in the main bundle. </w:t>
      </w:r>
    </w:p>
    <w:p w14:paraId="1DF7D92A" w14:textId="77777777" w:rsidR="00E94324" w:rsidRPr="008D6B3D" w:rsidRDefault="00E94324" w:rsidP="00E94324">
      <w:pPr>
        <w:autoSpaceDE w:val="0"/>
        <w:autoSpaceDN w:val="0"/>
        <w:adjustRightInd w:val="0"/>
        <w:snapToGrid w:val="0"/>
        <w:ind w:left="142"/>
        <w:rPr>
          <w:rFonts w:ascii="Times New Roman" w:hAnsi="Times New Roman"/>
          <w:color w:val="000000"/>
          <w:sz w:val="24"/>
          <w:szCs w:val="24"/>
          <w:lang w:eastAsia="en-GB"/>
        </w:rPr>
      </w:pPr>
    </w:p>
    <w:p w14:paraId="1DF7D92B" w14:textId="77777777" w:rsidR="00E94324" w:rsidRPr="008D6B3D" w:rsidRDefault="00E94324" w:rsidP="00B50AFB">
      <w:pPr>
        <w:autoSpaceDE w:val="0"/>
        <w:autoSpaceDN w:val="0"/>
        <w:adjustRightInd w:val="0"/>
        <w:snapToGrid w:val="0"/>
        <w:ind w:left="1440"/>
        <w:rPr>
          <w:rFonts w:ascii="Times New Roman" w:hAnsi="Times New Roman"/>
          <w:color w:val="000000"/>
          <w:sz w:val="24"/>
          <w:szCs w:val="24"/>
          <w:lang w:eastAsia="en-GB"/>
        </w:rPr>
      </w:pPr>
      <w:r w:rsidRPr="00B50AFB">
        <w:rPr>
          <w:rFonts w:ascii="Times New Roman" w:hAnsi="Times New Roman"/>
          <w:i/>
          <w:color w:val="000000"/>
          <w:sz w:val="24"/>
          <w:szCs w:val="24"/>
          <w:lang w:eastAsia="en-GB"/>
        </w:rPr>
        <w:t>“The judge may refuse to read a bundle which does not comply with these</w:t>
      </w:r>
      <w:r w:rsidRPr="00B50AFB">
        <w:rPr>
          <w:rFonts w:ascii="Times New Roman" w:hAnsi="Times New Roman"/>
          <w:i/>
          <w:sz w:val="24"/>
          <w:szCs w:val="24"/>
        </w:rPr>
        <w:t xml:space="preserve"> </w:t>
      </w:r>
      <w:r w:rsidRPr="00B50AFB">
        <w:rPr>
          <w:rFonts w:ascii="Times New Roman" w:hAnsi="Times New Roman"/>
          <w:i/>
          <w:color w:val="000000"/>
          <w:sz w:val="24"/>
          <w:szCs w:val="24"/>
          <w:lang w:eastAsia="en-GB"/>
        </w:rPr>
        <w:t>requirements, or direct that a revised bundle is submitted which does comply, in which event the judge may disallow the costs of preparing the bundle or make a different adverse costs order”</w:t>
      </w:r>
      <w:r w:rsidRPr="008D6B3D">
        <w:rPr>
          <w:rFonts w:ascii="Times New Roman" w:hAnsi="Times New Roman"/>
          <w:color w:val="000000"/>
          <w:sz w:val="24"/>
          <w:szCs w:val="24"/>
          <w:lang w:eastAsia="en-GB"/>
        </w:rPr>
        <w:t xml:space="preserve"> – ACG 18.3.7.</w:t>
      </w:r>
    </w:p>
    <w:p w14:paraId="1DF7D92C" w14:textId="77777777" w:rsidR="00E94324" w:rsidRPr="008D6B3D" w:rsidRDefault="00E94324" w:rsidP="00E94324">
      <w:pPr>
        <w:rPr>
          <w:rFonts w:ascii="Times New Roman" w:hAnsi="Times New Roman"/>
          <w:sz w:val="24"/>
          <w:szCs w:val="24"/>
        </w:rPr>
      </w:pPr>
      <w:r w:rsidRPr="008D6B3D">
        <w:rPr>
          <w:rFonts w:ascii="Times New Roman" w:hAnsi="Times New Roman"/>
          <w:sz w:val="24"/>
          <w:szCs w:val="24"/>
        </w:rPr>
        <w:t xml:space="preserve"> </w:t>
      </w:r>
    </w:p>
    <w:p w14:paraId="79A59CBA" w14:textId="77777777" w:rsidR="00994FE1" w:rsidRDefault="00E94324" w:rsidP="00994FE1">
      <w:pPr>
        <w:spacing w:line="360" w:lineRule="auto"/>
        <w:rPr>
          <w:rFonts w:ascii="Times New Roman" w:hAnsi="Times New Roman"/>
          <w:i/>
          <w:sz w:val="24"/>
          <w:szCs w:val="24"/>
        </w:rPr>
      </w:pPr>
      <w:r w:rsidRPr="008D6B3D">
        <w:rPr>
          <w:rFonts w:ascii="Times New Roman" w:hAnsi="Times New Roman"/>
          <w:i/>
          <w:sz w:val="24"/>
          <w:szCs w:val="24"/>
        </w:rPr>
        <w:t xml:space="preserve">Timetable and content of skeleton arguments </w:t>
      </w:r>
    </w:p>
    <w:p w14:paraId="1DF7D92D" w14:textId="77777777" w:rsidR="00E94324" w:rsidRPr="008D6B3D" w:rsidRDefault="00E94324" w:rsidP="0068488D">
      <w:pPr>
        <w:spacing w:line="360" w:lineRule="auto"/>
        <w:rPr>
          <w:rFonts w:ascii="Times New Roman" w:hAnsi="Times New Roman"/>
          <w:sz w:val="24"/>
          <w:szCs w:val="24"/>
        </w:rPr>
      </w:pPr>
      <w:r w:rsidRPr="008D6B3D">
        <w:rPr>
          <w:rFonts w:ascii="Times New Roman" w:hAnsi="Times New Roman"/>
          <w:sz w:val="24"/>
          <w:szCs w:val="24"/>
        </w:rPr>
        <w:t xml:space="preserve">(CPD 54A 15 &amp; ACG 17, PD of 11 November 2013 para 8 for UT Immigration cases) </w:t>
      </w:r>
    </w:p>
    <w:p w14:paraId="1DF7D92E"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The Claimant must file a skeleton 21 </w:t>
      </w:r>
      <w:r w:rsidRPr="008D6B3D">
        <w:rPr>
          <w:rFonts w:ascii="Times New Roman" w:hAnsi="Times New Roman"/>
          <w:sz w:val="24"/>
          <w:szCs w:val="24"/>
          <w:u w:val="single"/>
        </w:rPr>
        <w:t>working</w:t>
      </w:r>
      <w:r w:rsidRPr="008D6B3D">
        <w:rPr>
          <w:rFonts w:ascii="Times New Roman" w:hAnsi="Times New Roman"/>
          <w:sz w:val="24"/>
          <w:szCs w:val="24"/>
        </w:rPr>
        <w:t xml:space="preserve"> days before the hearing or the short warned list date. The Defendant must file their skeleton 14 </w:t>
      </w:r>
      <w:r w:rsidRPr="008D6B3D">
        <w:rPr>
          <w:rFonts w:ascii="Times New Roman" w:hAnsi="Times New Roman"/>
          <w:sz w:val="24"/>
          <w:szCs w:val="24"/>
          <w:u w:val="single"/>
        </w:rPr>
        <w:t>working</w:t>
      </w:r>
      <w:r w:rsidRPr="008D6B3D">
        <w:rPr>
          <w:rFonts w:ascii="Times New Roman" w:hAnsi="Times New Roman"/>
          <w:sz w:val="24"/>
          <w:szCs w:val="24"/>
        </w:rPr>
        <w:t xml:space="preserve"> days before those dates. Failure to observe these time limits may mean the case being adjourned and/or a costs sanction [ACG 17.5.5]. ACG 17.6.1 also states: </w:t>
      </w:r>
    </w:p>
    <w:p w14:paraId="1DF7D92F" w14:textId="77777777" w:rsidR="00E94324" w:rsidRPr="008D6B3D" w:rsidRDefault="00E94324" w:rsidP="00E94324">
      <w:pPr>
        <w:spacing w:line="360" w:lineRule="auto"/>
        <w:ind w:left="502"/>
        <w:rPr>
          <w:rFonts w:ascii="Times New Roman" w:hAnsi="Times New Roman"/>
          <w:sz w:val="24"/>
          <w:szCs w:val="24"/>
        </w:rPr>
      </w:pPr>
    </w:p>
    <w:p w14:paraId="1DF7D930" w14:textId="77777777" w:rsidR="00E94324" w:rsidRPr="00B50AFB" w:rsidRDefault="00E94324" w:rsidP="00B50AFB">
      <w:pPr>
        <w:ind w:left="1440"/>
        <w:rPr>
          <w:rFonts w:ascii="Times New Roman" w:hAnsi="Times New Roman"/>
          <w:i/>
          <w:color w:val="000000"/>
          <w:sz w:val="24"/>
          <w:szCs w:val="24"/>
          <w:lang w:eastAsia="en-GB"/>
        </w:rPr>
      </w:pPr>
      <w:r w:rsidRPr="00B50AFB">
        <w:rPr>
          <w:rFonts w:ascii="Times New Roman" w:hAnsi="Times New Roman"/>
          <w:i/>
          <w:color w:val="000000"/>
          <w:sz w:val="24"/>
          <w:szCs w:val="24"/>
          <w:lang w:eastAsia="en-GB"/>
        </w:rPr>
        <w:t>“If the skeleton argument does not comply with this guidance, or is served</w:t>
      </w:r>
      <w:r w:rsidRPr="00B50AFB">
        <w:rPr>
          <w:rFonts w:ascii="Times New Roman" w:hAnsi="Times New Roman"/>
          <w:i/>
          <w:sz w:val="24"/>
          <w:szCs w:val="24"/>
        </w:rPr>
        <w:t xml:space="preserve"> </w:t>
      </w:r>
      <w:r w:rsidRPr="00B50AFB">
        <w:rPr>
          <w:rFonts w:ascii="Times New Roman" w:hAnsi="Times New Roman"/>
          <w:i/>
          <w:color w:val="000000"/>
          <w:sz w:val="24"/>
          <w:szCs w:val="24"/>
          <w:lang w:eastAsia="en-GB"/>
        </w:rPr>
        <w:t>late, the Court may refuse to permit the party in default to rely on the skeleton; alternatively, the Court make an adverse costs order against the party in default (see paragraph 23.1 of this Guide on costs)”.</w:t>
      </w:r>
    </w:p>
    <w:p w14:paraId="1DF7D931" w14:textId="77777777" w:rsidR="00E94324" w:rsidRPr="008D6B3D" w:rsidRDefault="00E94324" w:rsidP="00E94324">
      <w:pPr>
        <w:spacing w:line="360" w:lineRule="auto"/>
        <w:ind w:left="502"/>
        <w:rPr>
          <w:rFonts w:ascii="Times New Roman" w:hAnsi="Times New Roman"/>
          <w:sz w:val="24"/>
          <w:szCs w:val="24"/>
        </w:rPr>
      </w:pPr>
    </w:p>
    <w:p w14:paraId="1DF7D932" w14:textId="65369E1E"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The Claimant must file a bundle of documents with the court at the same time as the Claimant’s skeleton argument </w:t>
      </w:r>
      <w:r w:rsidR="00994FE1">
        <w:rPr>
          <w:rFonts w:ascii="Times New Roman" w:hAnsi="Times New Roman"/>
          <w:sz w:val="24"/>
          <w:szCs w:val="24"/>
        </w:rPr>
        <w:t xml:space="preserve">(unless alternative directions have been made): </w:t>
      </w:r>
      <w:proofErr w:type="gramStart"/>
      <w:r w:rsidR="00994FE1">
        <w:rPr>
          <w:rFonts w:ascii="Times New Roman" w:hAnsi="Times New Roman"/>
          <w:sz w:val="24"/>
          <w:szCs w:val="24"/>
        </w:rPr>
        <w:t>see</w:t>
      </w:r>
      <w:r w:rsidRPr="008D6B3D">
        <w:rPr>
          <w:rFonts w:ascii="Times New Roman" w:hAnsi="Times New Roman"/>
          <w:sz w:val="24"/>
          <w:szCs w:val="24"/>
        </w:rPr>
        <w:t xml:space="preserve">  PD54A</w:t>
      </w:r>
      <w:proofErr w:type="gramEnd"/>
      <w:r w:rsidR="00994FE1">
        <w:rPr>
          <w:rFonts w:ascii="Times New Roman" w:hAnsi="Times New Roman"/>
          <w:sz w:val="24"/>
          <w:szCs w:val="24"/>
        </w:rPr>
        <w:t>, [</w:t>
      </w:r>
      <w:r w:rsidRPr="008D6B3D">
        <w:rPr>
          <w:rFonts w:ascii="Times New Roman" w:hAnsi="Times New Roman"/>
          <w:sz w:val="24"/>
          <w:szCs w:val="24"/>
        </w:rPr>
        <w:t>16</w:t>
      </w:r>
      <w:r w:rsidR="00994FE1">
        <w:rPr>
          <w:rFonts w:ascii="Times New Roman" w:hAnsi="Times New Roman"/>
          <w:sz w:val="24"/>
          <w:szCs w:val="24"/>
        </w:rPr>
        <w:t>]</w:t>
      </w:r>
      <w:r w:rsidRPr="008D6B3D">
        <w:rPr>
          <w:rFonts w:ascii="Times New Roman" w:hAnsi="Times New Roman"/>
          <w:sz w:val="24"/>
          <w:szCs w:val="24"/>
        </w:rPr>
        <w:t xml:space="preserve">. </w:t>
      </w:r>
    </w:p>
    <w:p w14:paraId="1DF7D933" w14:textId="77777777" w:rsidR="00E94324" w:rsidRPr="008D6B3D" w:rsidRDefault="00E94324" w:rsidP="0068488D">
      <w:pPr>
        <w:pStyle w:val="ListParagraph"/>
        <w:spacing w:line="360" w:lineRule="auto"/>
        <w:jc w:val="both"/>
        <w:rPr>
          <w:rFonts w:ascii="Times New Roman" w:hAnsi="Times New Roman"/>
          <w:sz w:val="24"/>
          <w:szCs w:val="24"/>
        </w:rPr>
      </w:pPr>
    </w:p>
    <w:p w14:paraId="1DF7D934" w14:textId="3511BF86"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Skeleton arguments may be filed by email. Each region has its own email address. These are listed at ACG</w:t>
      </w:r>
      <w:r w:rsidR="00994FE1">
        <w:rPr>
          <w:rFonts w:ascii="Times New Roman" w:hAnsi="Times New Roman"/>
          <w:sz w:val="24"/>
          <w:szCs w:val="24"/>
        </w:rPr>
        <w:t>,</w:t>
      </w:r>
      <w:r w:rsidRPr="008D6B3D">
        <w:rPr>
          <w:rFonts w:ascii="Times New Roman" w:hAnsi="Times New Roman"/>
          <w:sz w:val="24"/>
          <w:szCs w:val="24"/>
        </w:rPr>
        <w:t xml:space="preserve"> annex 1. </w:t>
      </w:r>
    </w:p>
    <w:p w14:paraId="1DF7D935" w14:textId="77777777" w:rsidR="00E94324" w:rsidRPr="008D6B3D" w:rsidRDefault="00E94324" w:rsidP="00E94324">
      <w:pPr>
        <w:spacing w:line="360" w:lineRule="auto"/>
        <w:ind w:left="502"/>
        <w:rPr>
          <w:rFonts w:ascii="Times New Roman" w:hAnsi="Times New Roman"/>
          <w:sz w:val="24"/>
          <w:szCs w:val="24"/>
        </w:rPr>
      </w:pPr>
      <w:r w:rsidRPr="008D6B3D">
        <w:rPr>
          <w:rFonts w:ascii="Times New Roman" w:hAnsi="Times New Roman"/>
          <w:sz w:val="24"/>
          <w:szCs w:val="24"/>
        </w:rPr>
        <w:t xml:space="preserve"> </w:t>
      </w:r>
    </w:p>
    <w:p w14:paraId="1DF7D936" w14:textId="7B5CC793"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PD 54A </w:t>
      </w:r>
      <w:r w:rsidR="00994FE1">
        <w:rPr>
          <w:rFonts w:ascii="Times New Roman" w:hAnsi="Times New Roman"/>
          <w:sz w:val="24"/>
          <w:szCs w:val="24"/>
        </w:rPr>
        <w:t>[</w:t>
      </w:r>
      <w:r w:rsidRPr="008D6B3D">
        <w:rPr>
          <w:rFonts w:ascii="Times New Roman" w:hAnsi="Times New Roman"/>
          <w:sz w:val="24"/>
          <w:szCs w:val="24"/>
        </w:rPr>
        <w:t>15.3</w:t>
      </w:r>
      <w:r w:rsidR="00994FE1">
        <w:rPr>
          <w:rFonts w:ascii="Times New Roman" w:hAnsi="Times New Roman"/>
          <w:sz w:val="24"/>
          <w:szCs w:val="24"/>
        </w:rPr>
        <w:t>]</w:t>
      </w:r>
      <w:r w:rsidRPr="008D6B3D">
        <w:rPr>
          <w:rFonts w:ascii="Times New Roman" w:hAnsi="Times New Roman"/>
          <w:sz w:val="24"/>
          <w:szCs w:val="24"/>
        </w:rPr>
        <w:t xml:space="preserve"> requires that skeleton arguments </w:t>
      </w:r>
      <w:r w:rsidRPr="008D6B3D">
        <w:rPr>
          <w:rFonts w:ascii="Times New Roman" w:hAnsi="Times New Roman"/>
          <w:sz w:val="24"/>
          <w:szCs w:val="24"/>
          <w:u w:val="single"/>
        </w:rPr>
        <w:t>must</w:t>
      </w:r>
      <w:r w:rsidRPr="008D6B3D">
        <w:rPr>
          <w:rFonts w:ascii="Times New Roman" w:hAnsi="Times New Roman"/>
          <w:sz w:val="24"/>
          <w:szCs w:val="24"/>
        </w:rPr>
        <w:t xml:space="preserve"> contain: </w:t>
      </w:r>
    </w:p>
    <w:p w14:paraId="1DF7D937" w14:textId="77777777" w:rsidR="00E94324" w:rsidRPr="008D6B3D" w:rsidRDefault="00E94324" w:rsidP="00E94324">
      <w:pPr>
        <w:spacing w:line="360" w:lineRule="auto"/>
        <w:rPr>
          <w:rFonts w:ascii="Times New Roman" w:hAnsi="Times New Roman"/>
          <w:sz w:val="24"/>
          <w:szCs w:val="24"/>
        </w:rPr>
      </w:pPr>
    </w:p>
    <w:p w14:paraId="1DF7D938" w14:textId="77777777" w:rsidR="00E94324" w:rsidRPr="008D6B3D" w:rsidRDefault="00E94324" w:rsidP="006F53FC">
      <w:pPr>
        <w:numPr>
          <w:ilvl w:val="1"/>
          <w:numId w:val="31"/>
        </w:numPr>
        <w:spacing w:after="0" w:line="360" w:lineRule="auto"/>
        <w:rPr>
          <w:rFonts w:ascii="Times New Roman" w:hAnsi="Times New Roman"/>
          <w:color w:val="000000"/>
          <w:sz w:val="24"/>
          <w:szCs w:val="24"/>
        </w:rPr>
      </w:pPr>
      <w:r w:rsidRPr="008D6B3D">
        <w:rPr>
          <w:rFonts w:ascii="Times New Roman" w:hAnsi="Times New Roman"/>
          <w:color w:val="000000"/>
          <w:sz w:val="24"/>
          <w:szCs w:val="24"/>
        </w:rPr>
        <w:t xml:space="preserve">a time estimate for the complete hearing, including delivery of judgment. </w:t>
      </w:r>
    </w:p>
    <w:p w14:paraId="1DF7D939" w14:textId="77777777" w:rsidR="00E94324" w:rsidRPr="008D6B3D" w:rsidRDefault="00E94324" w:rsidP="00E94324">
      <w:pPr>
        <w:spacing w:line="360" w:lineRule="auto"/>
        <w:rPr>
          <w:rFonts w:ascii="Times New Roman" w:hAnsi="Times New Roman"/>
          <w:color w:val="000000"/>
          <w:sz w:val="24"/>
          <w:szCs w:val="24"/>
        </w:rPr>
      </w:pPr>
    </w:p>
    <w:p w14:paraId="1DF7D93A" w14:textId="77777777" w:rsidR="00E94324" w:rsidRPr="008D6B3D" w:rsidRDefault="00E94324" w:rsidP="006F53FC">
      <w:pPr>
        <w:numPr>
          <w:ilvl w:val="1"/>
          <w:numId w:val="31"/>
        </w:numPr>
        <w:spacing w:after="0" w:line="360" w:lineRule="auto"/>
        <w:rPr>
          <w:rFonts w:ascii="Times New Roman" w:hAnsi="Times New Roman"/>
          <w:color w:val="000000"/>
          <w:sz w:val="24"/>
          <w:szCs w:val="24"/>
        </w:rPr>
      </w:pPr>
      <w:r w:rsidRPr="008D6B3D">
        <w:rPr>
          <w:rFonts w:ascii="Times New Roman" w:hAnsi="Times New Roman"/>
          <w:color w:val="000000"/>
          <w:sz w:val="24"/>
          <w:szCs w:val="24"/>
        </w:rPr>
        <w:t xml:space="preserve">a list of issues; </w:t>
      </w:r>
    </w:p>
    <w:p w14:paraId="1DF7D93B" w14:textId="77777777" w:rsidR="00E94324" w:rsidRPr="008D6B3D" w:rsidRDefault="00E94324" w:rsidP="006F53FC">
      <w:pPr>
        <w:numPr>
          <w:ilvl w:val="1"/>
          <w:numId w:val="31"/>
        </w:numPr>
        <w:spacing w:before="240" w:after="0" w:line="360" w:lineRule="auto"/>
        <w:rPr>
          <w:rFonts w:ascii="Times New Roman" w:hAnsi="Times New Roman"/>
          <w:color w:val="000000"/>
          <w:sz w:val="24"/>
          <w:szCs w:val="24"/>
          <w:lang w:val="en-US"/>
        </w:rPr>
      </w:pPr>
      <w:r w:rsidRPr="008D6B3D">
        <w:rPr>
          <w:rFonts w:ascii="Times New Roman" w:hAnsi="Times New Roman"/>
          <w:color w:val="000000"/>
          <w:sz w:val="24"/>
          <w:szCs w:val="24"/>
          <w:lang w:val="en-US"/>
        </w:rPr>
        <w:t>a list of the legal points to be taken (together with any relevant authorities with page references to the passages relied on);</w:t>
      </w:r>
    </w:p>
    <w:p w14:paraId="1DF7D93C" w14:textId="77777777" w:rsidR="00E94324" w:rsidRPr="008D6B3D" w:rsidRDefault="00E94324" w:rsidP="006F53FC">
      <w:pPr>
        <w:numPr>
          <w:ilvl w:val="1"/>
          <w:numId w:val="31"/>
        </w:numPr>
        <w:spacing w:before="240" w:after="0" w:line="360" w:lineRule="auto"/>
        <w:rPr>
          <w:rFonts w:ascii="Times New Roman" w:hAnsi="Times New Roman"/>
          <w:color w:val="000000"/>
          <w:sz w:val="24"/>
          <w:szCs w:val="24"/>
        </w:rPr>
      </w:pPr>
      <w:r w:rsidRPr="008D6B3D">
        <w:rPr>
          <w:rFonts w:ascii="Times New Roman" w:hAnsi="Times New Roman"/>
          <w:color w:val="000000"/>
          <w:sz w:val="24"/>
          <w:szCs w:val="24"/>
        </w:rPr>
        <w:t xml:space="preserve">a chronology of events (with page references to the bundle of documents). </w:t>
      </w:r>
    </w:p>
    <w:p w14:paraId="1DF7D93D" w14:textId="77777777" w:rsidR="00E94324" w:rsidRPr="008D6B3D" w:rsidRDefault="00E94324" w:rsidP="006F53FC">
      <w:pPr>
        <w:numPr>
          <w:ilvl w:val="1"/>
          <w:numId w:val="31"/>
        </w:numPr>
        <w:spacing w:before="240" w:after="0" w:line="360" w:lineRule="auto"/>
        <w:rPr>
          <w:rFonts w:ascii="Times New Roman" w:hAnsi="Times New Roman"/>
          <w:color w:val="000000"/>
          <w:sz w:val="24"/>
          <w:szCs w:val="24"/>
        </w:rPr>
      </w:pPr>
      <w:r w:rsidRPr="008D6B3D">
        <w:rPr>
          <w:rFonts w:ascii="Times New Roman" w:hAnsi="Times New Roman"/>
          <w:color w:val="000000"/>
          <w:sz w:val="24"/>
          <w:szCs w:val="24"/>
        </w:rPr>
        <w:t xml:space="preserve">a list of essential documents for the advance reading of the court (with page references to the passages relied on) (if different from that filed with the claim form) </w:t>
      </w:r>
      <w:r w:rsidRPr="008D6B3D">
        <w:rPr>
          <w:rFonts w:ascii="Times New Roman" w:hAnsi="Times New Roman"/>
          <w:b/>
          <w:color w:val="000000"/>
          <w:sz w:val="24"/>
          <w:szCs w:val="24"/>
        </w:rPr>
        <w:t>and a time estimate for that reading</w:t>
      </w:r>
      <w:r w:rsidRPr="008D6B3D">
        <w:rPr>
          <w:rFonts w:ascii="Times New Roman" w:hAnsi="Times New Roman"/>
          <w:color w:val="000000"/>
          <w:sz w:val="24"/>
          <w:szCs w:val="24"/>
        </w:rPr>
        <w:t>;</w:t>
      </w:r>
    </w:p>
    <w:p w14:paraId="1DF7D93E" w14:textId="77777777" w:rsidR="00E94324" w:rsidRPr="008D6B3D" w:rsidRDefault="00E94324" w:rsidP="006F53FC">
      <w:pPr>
        <w:numPr>
          <w:ilvl w:val="1"/>
          <w:numId w:val="31"/>
        </w:numPr>
        <w:spacing w:before="240" w:after="0" w:line="360" w:lineRule="auto"/>
        <w:rPr>
          <w:rFonts w:ascii="Times New Roman" w:hAnsi="Times New Roman"/>
          <w:color w:val="000000"/>
          <w:sz w:val="24"/>
          <w:szCs w:val="24"/>
        </w:rPr>
      </w:pPr>
      <w:r w:rsidRPr="008D6B3D">
        <w:rPr>
          <w:rFonts w:ascii="Times New Roman" w:hAnsi="Times New Roman"/>
          <w:color w:val="000000"/>
          <w:sz w:val="24"/>
          <w:szCs w:val="24"/>
        </w:rPr>
        <w:t xml:space="preserve">a list of persons referred to. </w:t>
      </w:r>
    </w:p>
    <w:p w14:paraId="1DF7D93F" w14:textId="77777777" w:rsidR="00E94324" w:rsidRPr="008D6B3D" w:rsidRDefault="00E94324" w:rsidP="0068488D">
      <w:pPr>
        <w:spacing w:before="240" w:after="0" w:line="360" w:lineRule="auto"/>
        <w:ind w:left="1080"/>
        <w:rPr>
          <w:rFonts w:ascii="Times New Roman" w:hAnsi="Times New Roman"/>
          <w:color w:val="000000"/>
          <w:sz w:val="24"/>
          <w:szCs w:val="24"/>
        </w:rPr>
      </w:pPr>
    </w:p>
    <w:p w14:paraId="1DF7D940" w14:textId="77777777" w:rsidR="00E94324" w:rsidRPr="008D6B3D" w:rsidRDefault="00E94324" w:rsidP="006F53FC">
      <w:pPr>
        <w:numPr>
          <w:ilvl w:val="0"/>
          <w:numId w:val="31"/>
        </w:numPr>
        <w:autoSpaceDE w:val="0"/>
        <w:autoSpaceDN w:val="0"/>
        <w:adjustRightInd w:val="0"/>
        <w:spacing w:after="0" w:line="360" w:lineRule="auto"/>
        <w:rPr>
          <w:rFonts w:ascii="Times New Roman" w:hAnsi="Times New Roman"/>
          <w:sz w:val="24"/>
          <w:szCs w:val="24"/>
          <w:lang w:val="en-US"/>
        </w:rPr>
      </w:pPr>
      <w:r w:rsidRPr="008D6B3D">
        <w:rPr>
          <w:rFonts w:ascii="Times New Roman" w:hAnsi="Times New Roman"/>
          <w:color w:val="000000"/>
          <w:sz w:val="24"/>
          <w:szCs w:val="24"/>
        </w:rPr>
        <w:t>The ACG at 17.2.2 recommends</w:t>
      </w:r>
      <w:r w:rsidRPr="008D6B3D">
        <w:rPr>
          <w:rStyle w:val="FootnoteReference"/>
          <w:rFonts w:ascii="Times New Roman" w:hAnsi="Times New Roman"/>
          <w:color w:val="000000"/>
          <w:szCs w:val="24"/>
        </w:rPr>
        <w:footnoteReference w:id="8"/>
      </w:r>
      <w:r w:rsidRPr="008D6B3D">
        <w:rPr>
          <w:rFonts w:ascii="Times New Roman" w:hAnsi="Times New Roman"/>
          <w:color w:val="000000"/>
          <w:sz w:val="24"/>
          <w:szCs w:val="24"/>
        </w:rPr>
        <w:t xml:space="preserve">: </w:t>
      </w:r>
    </w:p>
    <w:p w14:paraId="1DF7D941" w14:textId="77777777" w:rsidR="00E94324" w:rsidRPr="00B50AFB" w:rsidRDefault="00E94324" w:rsidP="006F53FC">
      <w:pPr>
        <w:numPr>
          <w:ilvl w:val="1"/>
          <w:numId w:val="31"/>
        </w:numPr>
        <w:autoSpaceDE w:val="0"/>
        <w:autoSpaceDN w:val="0"/>
        <w:adjustRightInd w:val="0"/>
        <w:snapToGrid w:val="0"/>
        <w:spacing w:after="0" w:line="360" w:lineRule="auto"/>
        <w:rPr>
          <w:rFonts w:ascii="Times New Roman" w:hAnsi="Times New Roman"/>
          <w:i/>
          <w:color w:val="000000"/>
          <w:sz w:val="24"/>
          <w:szCs w:val="24"/>
          <w:lang w:eastAsia="en-GB"/>
        </w:rPr>
      </w:pPr>
      <w:r w:rsidRPr="00B50AFB">
        <w:rPr>
          <w:rFonts w:ascii="Times New Roman" w:hAnsi="Times New Roman"/>
          <w:i/>
          <w:sz w:val="24"/>
          <w:szCs w:val="24"/>
          <w:lang w:val="en-US"/>
        </w:rPr>
        <w:t xml:space="preserve">“The </w:t>
      </w:r>
      <w:r w:rsidRPr="00B50AFB">
        <w:rPr>
          <w:rFonts w:ascii="Times New Roman" w:hAnsi="Times New Roman"/>
          <w:i/>
          <w:color w:val="000000"/>
          <w:sz w:val="24"/>
          <w:szCs w:val="24"/>
          <w:lang w:eastAsia="en-GB"/>
        </w:rPr>
        <w:t>decision under challenge should be clearly identified, or the</w:t>
      </w:r>
      <w:r w:rsidRPr="00B50AFB">
        <w:rPr>
          <w:rFonts w:ascii="Times New Roman" w:hAnsi="Times New Roman"/>
          <w:i/>
          <w:sz w:val="24"/>
          <w:szCs w:val="24"/>
          <w:lang w:val="en-US"/>
        </w:rPr>
        <w:t xml:space="preserve"> </w:t>
      </w:r>
      <w:r w:rsidRPr="00B50AFB">
        <w:rPr>
          <w:rFonts w:ascii="Times New Roman" w:hAnsi="Times New Roman"/>
          <w:i/>
          <w:color w:val="000000"/>
          <w:sz w:val="24"/>
          <w:szCs w:val="24"/>
          <w:lang w:eastAsia="en-GB"/>
        </w:rPr>
        <w:t>relevant failure to make a decision if that is what is under challenge.</w:t>
      </w:r>
    </w:p>
    <w:p w14:paraId="1DF7D942" w14:textId="77777777" w:rsidR="00E94324" w:rsidRPr="00B50AFB" w:rsidRDefault="00E94324" w:rsidP="006F53FC">
      <w:pPr>
        <w:numPr>
          <w:ilvl w:val="1"/>
          <w:numId w:val="31"/>
        </w:numPr>
        <w:autoSpaceDE w:val="0"/>
        <w:autoSpaceDN w:val="0"/>
        <w:adjustRightInd w:val="0"/>
        <w:snapToGrid w:val="0"/>
        <w:spacing w:after="0" w:line="360" w:lineRule="auto"/>
        <w:rPr>
          <w:rFonts w:ascii="Times New Roman" w:hAnsi="Times New Roman"/>
          <w:i/>
          <w:color w:val="000000"/>
          <w:sz w:val="24"/>
          <w:szCs w:val="24"/>
          <w:lang w:eastAsia="en-GB"/>
        </w:rPr>
      </w:pPr>
      <w:r w:rsidRPr="00B50AFB">
        <w:rPr>
          <w:rFonts w:ascii="Times New Roman" w:hAnsi="Times New Roman"/>
          <w:i/>
          <w:color w:val="000000"/>
          <w:sz w:val="24"/>
          <w:szCs w:val="24"/>
          <w:lang w:eastAsia="en-GB"/>
        </w:rPr>
        <w:t>The relevant facts should be summarised including any relevant change of facts or circumstances since the claim form and supporting documentation were lodged.</w:t>
      </w:r>
    </w:p>
    <w:p w14:paraId="1DF7D943" w14:textId="77777777" w:rsidR="00E94324" w:rsidRPr="00B50AFB" w:rsidRDefault="00E94324" w:rsidP="006F53FC">
      <w:pPr>
        <w:numPr>
          <w:ilvl w:val="1"/>
          <w:numId w:val="31"/>
        </w:numPr>
        <w:autoSpaceDE w:val="0"/>
        <w:autoSpaceDN w:val="0"/>
        <w:adjustRightInd w:val="0"/>
        <w:snapToGrid w:val="0"/>
        <w:spacing w:after="0" w:line="360" w:lineRule="auto"/>
        <w:rPr>
          <w:rFonts w:ascii="Times New Roman" w:hAnsi="Times New Roman"/>
          <w:i/>
          <w:color w:val="000000"/>
          <w:sz w:val="24"/>
          <w:szCs w:val="24"/>
          <w:lang w:eastAsia="en-GB"/>
        </w:rPr>
      </w:pPr>
      <w:r w:rsidRPr="00B50AFB">
        <w:rPr>
          <w:rFonts w:ascii="Times New Roman" w:hAnsi="Times New Roman"/>
          <w:i/>
          <w:color w:val="000000"/>
          <w:sz w:val="24"/>
          <w:szCs w:val="24"/>
          <w:lang w:eastAsia="en-GB"/>
        </w:rPr>
        <w:t>The grounds for seeking judicial review (or interim relief, or any other order) should be set out under numbered headings.</w:t>
      </w:r>
    </w:p>
    <w:p w14:paraId="1DF7D944" w14:textId="77777777" w:rsidR="00E94324" w:rsidRPr="00B50AFB" w:rsidRDefault="00E94324" w:rsidP="006F53FC">
      <w:pPr>
        <w:numPr>
          <w:ilvl w:val="1"/>
          <w:numId w:val="31"/>
        </w:numPr>
        <w:autoSpaceDE w:val="0"/>
        <w:autoSpaceDN w:val="0"/>
        <w:adjustRightInd w:val="0"/>
        <w:snapToGrid w:val="0"/>
        <w:spacing w:after="0" w:line="360" w:lineRule="auto"/>
        <w:rPr>
          <w:rFonts w:ascii="Times New Roman" w:hAnsi="Times New Roman"/>
          <w:i/>
          <w:color w:val="000000"/>
          <w:sz w:val="24"/>
          <w:szCs w:val="24"/>
          <w:lang w:eastAsia="en-GB"/>
        </w:rPr>
      </w:pPr>
      <w:r w:rsidRPr="00B50AFB">
        <w:rPr>
          <w:rFonts w:ascii="Times New Roman" w:hAnsi="Times New Roman"/>
          <w:i/>
          <w:color w:val="000000"/>
          <w:sz w:val="24"/>
          <w:szCs w:val="24"/>
          <w:lang w:eastAsia="en-GB"/>
        </w:rPr>
        <w:t xml:space="preserve">Relevant legal principles should be set out. Lengthy extracts from EU Directives, international Conventions, statutes, case law and other sources should be avoided if possible. It is much more helpful to the Court if the skeleton states the proposition of law which the party contends for, and then refers to the source of or authority for that proposition, with short extracts quoted if that is appropriate. </w:t>
      </w:r>
      <w:r w:rsidRPr="00B50AFB">
        <w:rPr>
          <w:rFonts w:ascii="Times New Roman" w:hAnsi="Times New Roman"/>
          <w:i/>
          <w:color w:val="000000"/>
          <w:sz w:val="24"/>
          <w:szCs w:val="24"/>
          <w:lang w:eastAsia="en-GB"/>
        </w:rPr>
        <w:lastRenderedPageBreak/>
        <w:t>It is not usually necessary or helpful to cite more than one case in support of each proposition of law.</w:t>
      </w:r>
    </w:p>
    <w:p w14:paraId="1DF7D945" w14:textId="77777777" w:rsidR="00E94324" w:rsidRPr="00B50AFB" w:rsidRDefault="00E94324" w:rsidP="006F53FC">
      <w:pPr>
        <w:numPr>
          <w:ilvl w:val="1"/>
          <w:numId w:val="31"/>
        </w:numPr>
        <w:autoSpaceDE w:val="0"/>
        <w:autoSpaceDN w:val="0"/>
        <w:adjustRightInd w:val="0"/>
        <w:snapToGrid w:val="0"/>
        <w:spacing w:after="0" w:line="360" w:lineRule="auto"/>
        <w:rPr>
          <w:rFonts w:ascii="Times New Roman" w:hAnsi="Times New Roman"/>
          <w:i/>
          <w:color w:val="000000"/>
          <w:sz w:val="24"/>
          <w:szCs w:val="24"/>
          <w:lang w:eastAsia="en-GB"/>
        </w:rPr>
      </w:pPr>
      <w:r w:rsidRPr="00B50AFB">
        <w:rPr>
          <w:rFonts w:ascii="Times New Roman" w:hAnsi="Times New Roman"/>
          <w:i/>
          <w:color w:val="000000"/>
          <w:sz w:val="24"/>
          <w:szCs w:val="24"/>
          <w:lang w:eastAsia="en-GB"/>
        </w:rPr>
        <w:t>The remedy sought should be identified.</w:t>
      </w:r>
    </w:p>
    <w:p w14:paraId="1DF7D946" w14:textId="77777777" w:rsidR="00E94324" w:rsidRPr="00B50AFB" w:rsidRDefault="00E94324" w:rsidP="006F53FC">
      <w:pPr>
        <w:numPr>
          <w:ilvl w:val="1"/>
          <w:numId w:val="31"/>
        </w:numPr>
        <w:autoSpaceDE w:val="0"/>
        <w:autoSpaceDN w:val="0"/>
        <w:adjustRightInd w:val="0"/>
        <w:snapToGrid w:val="0"/>
        <w:spacing w:after="0" w:line="360" w:lineRule="auto"/>
        <w:rPr>
          <w:rFonts w:ascii="Times New Roman" w:hAnsi="Times New Roman"/>
          <w:i/>
          <w:color w:val="000000"/>
          <w:sz w:val="24"/>
          <w:szCs w:val="24"/>
          <w:lang w:eastAsia="en-GB"/>
        </w:rPr>
      </w:pPr>
      <w:r w:rsidRPr="00B50AFB">
        <w:rPr>
          <w:rFonts w:ascii="Times New Roman" w:hAnsi="Times New Roman"/>
          <w:i/>
          <w:color w:val="000000"/>
          <w:sz w:val="24"/>
          <w:szCs w:val="24"/>
          <w:lang w:eastAsia="en-GB"/>
        </w:rPr>
        <w:t>Any urgency, other matter relevant to the timing of the case, and any other relevant point, such as alternative remedy, should be identified”.</w:t>
      </w:r>
    </w:p>
    <w:p w14:paraId="1DF7D947" w14:textId="77777777" w:rsidR="00E94324" w:rsidRPr="008D6B3D" w:rsidRDefault="00E94324" w:rsidP="00E94324">
      <w:pPr>
        <w:autoSpaceDE w:val="0"/>
        <w:autoSpaceDN w:val="0"/>
        <w:adjustRightInd w:val="0"/>
        <w:spacing w:line="360" w:lineRule="auto"/>
        <w:ind w:left="502"/>
        <w:rPr>
          <w:rFonts w:ascii="Times New Roman" w:hAnsi="Times New Roman"/>
          <w:sz w:val="24"/>
          <w:szCs w:val="24"/>
          <w:lang w:val="en-US"/>
        </w:rPr>
      </w:pPr>
    </w:p>
    <w:p w14:paraId="1DF7D948" w14:textId="31615B13" w:rsidR="00E94324" w:rsidRPr="008D6B3D" w:rsidRDefault="00E94324" w:rsidP="00B50AFB">
      <w:pPr>
        <w:numPr>
          <w:ilvl w:val="0"/>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color w:val="000000"/>
          <w:sz w:val="24"/>
          <w:szCs w:val="24"/>
        </w:rPr>
        <w:t>State who you act for. The document should be at least 1.5 spaced and not less than 11 point</w:t>
      </w:r>
      <w:r w:rsidR="00994FE1">
        <w:rPr>
          <w:rFonts w:ascii="Times New Roman" w:hAnsi="Times New Roman"/>
          <w:color w:val="000000"/>
          <w:sz w:val="24"/>
          <w:szCs w:val="24"/>
        </w:rPr>
        <w:t>; ideally it should be in font 12</w:t>
      </w:r>
      <w:r w:rsidRPr="008D6B3D">
        <w:rPr>
          <w:rFonts w:ascii="Times New Roman" w:hAnsi="Times New Roman"/>
          <w:color w:val="000000"/>
          <w:sz w:val="24"/>
          <w:szCs w:val="24"/>
        </w:rPr>
        <w:t>. It should be paginated and the ACG states it is “</w:t>
      </w:r>
      <w:r w:rsidRPr="00B50AFB">
        <w:rPr>
          <w:rFonts w:ascii="Times New Roman" w:hAnsi="Times New Roman"/>
          <w:i/>
          <w:color w:val="000000"/>
          <w:sz w:val="24"/>
          <w:szCs w:val="24"/>
        </w:rPr>
        <w:t>rarely necessary</w:t>
      </w:r>
      <w:r w:rsidRPr="008D6B3D">
        <w:rPr>
          <w:rFonts w:ascii="Times New Roman" w:hAnsi="Times New Roman"/>
          <w:color w:val="000000"/>
          <w:sz w:val="24"/>
          <w:szCs w:val="24"/>
        </w:rPr>
        <w:t xml:space="preserve">” for a skeleton to be more than 20 pages. </w:t>
      </w:r>
    </w:p>
    <w:p w14:paraId="1DF7D949" w14:textId="77777777" w:rsidR="00E94324" w:rsidRPr="008D6B3D" w:rsidRDefault="00E94324" w:rsidP="00B50AFB">
      <w:pPr>
        <w:autoSpaceDE w:val="0"/>
        <w:autoSpaceDN w:val="0"/>
        <w:adjustRightInd w:val="0"/>
        <w:spacing w:line="360" w:lineRule="auto"/>
        <w:ind w:left="502"/>
        <w:jc w:val="both"/>
        <w:rPr>
          <w:rFonts w:ascii="Times New Roman" w:hAnsi="Times New Roman"/>
          <w:sz w:val="24"/>
          <w:szCs w:val="24"/>
          <w:lang w:val="en-US"/>
        </w:rPr>
      </w:pPr>
    </w:p>
    <w:p w14:paraId="1DF7D94A" w14:textId="4AF49538" w:rsidR="00E94324" w:rsidRPr="008D6B3D" w:rsidRDefault="00E94324" w:rsidP="00B50AFB">
      <w:pPr>
        <w:numPr>
          <w:ilvl w:val="0"/>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color w:val="000000"/>
          <w:sz w:val="24"/>
          <w:szCs w:val="24"/>
        </w:rPr>
        <w:t>Citation of authorities should follow the Practice Direction of 9</w:t>
      </w:r>
      <w:r w:rsidR="00994FE1" w:rsidRPr="00994FE1">
        <w:rPr>
          <w:rFonts w:ascii="Times New Roman" w:hAnsi="Times New Roman"/>
          <w:color w:val="000000"/>
          <w:sz w:val="24"/>
          <w:szCs w:val="24"/>
          <w:vertAlign w:val="superscript"/>
        </w:rPr>
        <w:t>th</w:t>
      </w:r>
      <w:r w:rsidRPr="008D6B3D">
        <w:rPr>
          <w:rFonts w:ascii="Times New Roman" w:hAnsi="Times New Roman"/>
          <w:color w:val="000000"/>
          <w:sz w:val="24"/>
          <w:szCs w:val="24"/>
        </w:rPr>
        <w:t xml:space="preserve"> April 2001 ([2001] 1 WLR 1001). In particular: </w:t>
      </w:r>
      <w:r w:rsidRPr="0068488D">
        <w:rPr>
          <w:rFonts w:ascii="Times New Roman" w:hAnsi="Times New Roman"/>
          <w:i/>
          <w:color w:val="000000"/>
          <w:sz w:val="24"/>
        </w:rPr>
        <w:t>“</w:t>
      </w:r>
      <w:r w:rsidRPr="0068488D">
        <w:rPr>
          <w:rFonts w:ascii="Times New Roman" w:hAnsi="Times New Roman"/>
          <w:i/>
          <w:sz w:val="24"/>
          <w:lang w:val="en-US"/>
        </w:rPr>
        <w:t xml:space="preserve">The skeleton should…clearly identify what authorities, and what parts of what authorities, are relied on, and carry the certification of counsel as required by the </w:t>
      </w:r>
      <w:r w:rsidRPr="0068488D">
        <w:rPr>
          <w:rFonts w:ascii="Times New Roman" w:hAnsi="Times New Roman"/>
          <w:i/>
          <w:sz w:val="24"/>
          <w:u w:val="single"/>
          <w:lang w:val="en-US"/>
        </w:rPr>
        <w:t>Lord Chief Justice’s Practice Direction</w:t>
      </w:r>
      <w:r w:rsidRPr="008D6B3D">
        <w:rPr>
          <w:rFonts w:ascii="Times New Roman" w:hAnsi="Times New Roman"/>
          <w:i/>
          <w:iCs/>
          <w:sz w:val="24"/>
          <w:szCs w:val="24"/>
          <w:lang w:val="en-US"/>
        </w:rPr>
        <w:t xml:space="preserve"> </w:t>
      </w:r>
      <w:r w:rsidRPr="0068488D">
        <w:rPr>
          <w:rFonts w:ascii="Times New Roman" w:hAnsi="Times New Roman"/>
          <w:i/>
          <w:sz w:val="24"/>
          <w:lang w:val="en-US"/>
        </w:rPr>
        <w:t>[2001] 1 WLR 1001</w:t>
      </w:r>
      <w:r w:rsidRPr="008D6B3D">
        <w:rPr>
          <w:rFonts w:ascii="Times New Roman" w:hAnsi="Times New Roman"/>
          <w:sz w:val="24"/>
          <w:szCs w:val="24"/>
          <w:lang w:val="en-US"/>
        </w:rPr>
        <w:t xml:space="preserve">” – </w:t>
      </w:r>
      <w:r w:rsidRPr="008D6B3D">
        <w:rPr>
          <w:rFonts w:ascii="Times New Roman" w:hAnsi="Times New Roman"/>
          <w:i/>
          <w:sz w:val="24"/>
          <w:szCs w:val="24"/>
          <w:lang w:val="en-US"/>
        </w:rPr>
        <w:t>R (</w:t>
      </w:r>
      <w:proofErr w:type="spellStart"/>
      <w:r w:rsidRPr="008D6B3D">
        <w:rPr>
          <w:rFonts w:ascii="Times New Roman" w:hAnsi="Times New Roman"/>
          <w:i/>
          <w:sz w:val="24"/>
          <w:szCs w:val="24"/>
          <w:lang w:val="en-US"/>
        </w:rPr>
        <w:t>Prokopp</w:t>
      </w:r>
      <w:proofErr w:type="spellEnd"/>
      <w:r w:rsidRPr="008D6B3D">
        <w:rPr>
          <w:rFonts w:ascii="Times New Roman" w:hAnsi="Times New Roman"/>
          <w:i/>
          <w:sz w:val="24"/>
          <w:szCs w:val="24"/>
          <w:lang w:val="en-US"/>
        </w:rPr>
        <w:t xml:space="preserve">) v London Underground </w:t>
      </w:r>
      <w:r w:rsidRPr="008D6B3D">
        <w:rPr>
          <w:rFonts w:ascii="Times New Roman" w:hAnsi="Times New Roman"/>
          <w:sz w:val="24"/>
          <w:szCs w:val="24"/>
        </w:rPr>
        <w:t>[2003]</w:t>
      </w:r>
      <w:r w:rsidRPr="008D6B3D">
        <w:rPr>
          <w:rFonts w:ascii="Times New Roman" w:hAnsi="Times New Roman"/>
          <w:sz w:val="24"/>
          <w:szCs w:val="24"/>
          <w:lang w:val="en-US"/>
        </w:rPr>
        <w:t xml:space="preserve"> EWCA Civ 961. See also Munby LJ’s </w:t>
      </w:r>
      <w:r w:rsidRPr="0068488D">
        <w:rPr>
          <w:rFonts w:ascii="Times New Roman" w:hAnsi="Times New Roman"/>
          <w:i/>
          <w:sz w:val="24"/>
          <w:lang w:val="en-US"/>
        </w:rPr>
        <w:t>“afterword</w:t>
      </w:r>
      <w:proofErr w:type="gramStart"/>
      <w:r w:rsidRPr="0068488D">
        <w:rPr>
          <w:rFonts w:ascii="Times New Roman" w:hAnsi="Times New Roman"/>
          <w:i/>
          <w:sz w:val="24"/>
          <w:lang w:val="en-US"/>
        </w:rPr>
        <w:t>”</w:t>
      </w:r>
      <w:r w:rsidRPr="008D6B3D">
        <w:rPr>
          <w:rFonts w:ascii="Times New Roman" w:hAnsi="Times New Roman"/>
          <w:sz w:val="24"/>
          <w:szCs w:val="24"/>
          <w:lang w:val="en-US"/>
        </w:rPr>
        <w:t xml:space="preserve"> </w:t>
      </w:r>
      <w:r w:rsidRPr="008D6B3D">
        <w:rPr>
          <w:rFonts w:ascii="Times New Roman" w:hAnsi="Times New Roman"/>
          <w:i/>
          <w:sz w:val="24"/>
          <w:szCs w:val="24"/>
          <w:lang w:val="en-US"/>
        </w:rPr>
        <w:t xml:space="preserve"> </w:t>
      </w:r>
      <w:r w:rsidRPr="008D6B3D">
        <w:rPr>
          <w:rFonts w:ascii="Times New Roman" w:hAnsi="Times New Roman"/>
          <w:sz w:val="24"/>
          <w:szCs w:val="24"/>
          <w:lang w:val="en-US"/>
        </w:rPr>
        <w:t>in</w:t>
      </w:r>
      <w:proofErr w:type="gramEnd"/>
      <w:r w:rsidRPr="008D6B3D">
        <w:rPr>
          <w:rFonts w:ascii="Times New Roman" w:hAnsi="Times New Roman"/>
          <w:i/>
          <w:sz w:val="24"/>
          <w:szCs w:val="24"/>
          <w:lang w:val="en-US"/>
        </w:rPr>
        <w:t xml:space="preserve"> R (B) v CC Derbyshire Constabulary</w:t>
      </w:r>
      <w:r w:rsidRPr="008D6B3D">
        <w:rPr>
          <w:rFonts w:ascii="Times New Roman" w:hAnsi="Times New Roman"/>
          <w:sz w:val="24"/>
          <w:szCs w:val="24"/>
          <w:lang w:val="en-US"/>
        </w:rPr>
        <w:t xml:space="preserve"> [2011] EWHC 2362 (Admin) at </w:t>
      </w:r>
      <w:r w:rsidR="00B50AFB">
        <w:rPr>
          <w:rFonts w:ascii="Times New Roman" w:hAnsi="Times New Roman"/>
          <w:sz w:val="24"/>
          <w:szCs w:val="24"/>
          <w:lang w:val="en-US"/>
        </w:rPr>
        <w:t>[</w:t>
      </w:r>
      <w:r w:rsidRPr="008D6B3D">
        <w:rPr>
          <w:rFonts w:ascii="Times New Roman" w:hAnsi="Times New Roman"/>
          <w:sz w:val="24"/>
          <w:szCs w:val="24"/>
          <w:lang w:val="en-US"/>
        </w:rPr>
        <w:t>96</w:t>
      </w:r>
      <w:r w:rsidR="00B50AFB">
        <w:rPr>
          <w:rFonts w:ascii="Times New Roman" w:hAnsi="Times New Roman"/>
          <w:sz w:val="24"/>
          <w:szCs w:val="24"/>
          <w:lang w:val="en-US"/>
        </w:rPr>
        <w:t>]</w:t>
      </w:r>
      <w:r w:rsidRPr="008D6B3D">
        <w:rPr>
          <w:rFonts w:ascii="Times New Roman" w:hAnsi="Times New Roman"/>
          <w:sz w:val="24"/>
          <w:szCs w:val="24"/>
          <w:lang w:val="en-US"/>
        </w:rPr>
        <w:t>-</w:t>
      </w:r>
      <w:r w:rsidR="00B50AFB">
        <w:rPr>
          <w:rFonts w:ascii="Times New Roman" w:hAnsi="Times New Roman"/>
          <w:sz w:val="24"/>
          <w:szCs w:val="24"/>
          <w:lang w:val="en-US"/>
        </w:rPr>
        <w:t>[</w:t>
      </w:r>
      <w:r w:rsidRPr="008D6B3D">
        <w:rPr>
          <w:rFonts w:ascii="Times New Roman" w:hAnsi="Times New Roman"/>
          <w:sz w:val="24"/>
          <w:szCs w:val="24"/>
          <w:lang w:val="en-US"/>
        </w:rPr>
        <w:t>101</w:t>
      </w:r>
      <w:r w:rsidR="00B50AFB">
        <w:rPr>
          <w:rFonts w:ascii="Times New Roman" w:hAnsi="Times New Roman"/>
          <w:sz w:val="24"/>
          <w:szCs w:val="24"/>
          <w:lang w:val="en-US"/>
        </w:rPr>
        <w:t>].</w:t>
      </w:r>
      <w:r w:rsidRPr="008D6B3D">
        <w:rPr>
          <w:rFonts w:ascii="Times New Roman" w:hAnsi="Times New Roman"/>
          <w:i/>
          <w:sz w:val="24"/>
          <w:szCs w:val="24"/>
          <w:lang w:val="en-US"/>
        </w:rPr>
        <w:t xml:space="preserve"> </w:t>
      </w:r>
    </w:p>
    <w:p w14:paraId="1DF7D94B" w14:textId="77777777" w:rsidR="00E94324" w:rsidRPr="008D6B3D" w:rsidRDefault="00E94324" w:rsidP="00E94324">
      <w:pPr>
        <w:autoSpaceDE w:val="0"/>
        <w:autoSpaceDN w:val="0"/>
        <w:adjustRightInd w:val="0"/>
        <w:spacing w:line="360" w:lineRule="auto"/>
        <w:rPr>
          <w:rFonts w:ascii="Times New Roman" w:hAnsi="Times New Roman"/>
          <w:sz w:val="24"/>
          <w:szCs w:val="24"/>
          <w:lang w:val="en-US"/>
        </w:rPr>
      </w:pPr>
    </w:p>
    <w:p w14:paraId="1DF7D94C" w14:textId="77777777" w:rsidR="00E94324" w:rsidRPr="008D6B3D" w:rsidRDefault="00E94324" w:rsidP="006F53FC">
      <w:pPr>
        <w:numPr>
          <w:ilvl w:val="0"/>
          <w:numId w:val="31"/>
        </w:numPr>
        <w:autoSpaceDE w:val="0"/>
        <w:autoSpaceDN w:val="0"/>
        <w:adjustRightInd w:val="0"/>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At the time of drafting the skeleton argument Claimants should also take stock and reconsider: </w:t>
      </w:r>
    </w:p>
    <w:p w14:paraId="1DF7D94D" w14:textId="77777777" w:rsidR="00E94324" w:rsidRPr="008D6B3D" w:rsidRDefault="00E94324" w:rsidP="00E94324">
      <w:pPr>
        <w:autoSpaceDE w:val="0"/>
        <w:autoSpaceDN w:val="0"/>
        <w:adjustRightInd w:val="0"/>
        <w:spacing w:line="360" w:lineRule="auto"/>
        <w:rPr>
          <w:rFonts w:ascii="Times New Roman" w:hAnsi="Times New Roman"/>
          <w:sz w:val="24"/>
          <w:szCs w:val="24"/>
          <w:lang w:val="en-US"/>
        </w:rPr>
      </w:pPr>
    </w:p>
    <w:p w14:paraId="1DF7D94E" w14:textId="77777777" w:rsidR="00E94324" w:rsidRPr="008D6B3D" w:rsidRDefault="00E94324" w:rsidP="006F53FC">
      <w:pPr>
        <w:numPr>
          <w:ilvl w:val="1"/>
          <w:numId w:val="31"/>
        </w:numPr>
        <w:autoSpaceDE w:val="0"/>
        <w:autoSpaceDN w:val="0"/>
        <w:adjustRightInd w:val="0"/>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What the object is of the proceedings and what relief the Claimant seeks. It is helpful to have a draft of the Orders that the Court might be invited to make. </w:t>
      </w:r>
    </w:p>
    <w:p w14:paraId="1DF7D94F" w14:textId="77777777" w:rsidR="00E94324" w:rsidRPr="008D6B3D" w:rsidRDefault="00E94324" w:rsidP="00E94324">
      <w:pPr>
        <w:autoSpaceDE w:val="0"/>
        <w:autoSpaceDN w:val="0"/>
        <w:adjustRightInd w:val="0"/>
        <w:spacing w:line="360" w:lineRule="auto"/>
        <w:rPr>
          <w:rFonts w:ascii="Times New Roman" w:hAnsi="Times New Roman"/>
          <w:sz w:val="24"/>
          <w:szCs w:val="24"/>
          <w:lang w:val="en-US"/>
        </w:rPr>
      </w:pPr>
    </w:p>
    <w:p w14:paraId="1DF7D950" w14:textId="77777777" w:rsidR="00E94324" w:rsidRPr="008D6B3D" w:rsidRDefault="00E94324" w:rsidP="006F53FC">
      <w:pPr>
        <w:numPr>
          <w:ilvl w:val="1"/>
          <w:numId w:val="31"/>
        </w:numPr>
        <w:autoSpaceDE w:val="0"/>
        <w:autoSpaceDN w:val="0"/>
        <w:adjustRightInd w:val="0"/>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Whether it is necessary to pursue all of the arguments initially advanced or whether the case can be more usefully focused. </w:t>
      </w:r>
    </w:p>
    <w:p w14:paraId="1DF7D951" w14:textId="77777777" w:rsidR="00E94324" w:rsidRPr="008D6B3D" w:rsidRDefault="00E94324" w:rsidP="00E94324">
      <w:pPr>
        <w:autoSpaceDE w:val="0"/>
        <w:autoSpaceDN w:val="0"/>
        <w:adjustRightInd w:val="0"/>
        <w:spacing w:line="360" w:lineRule="auto"/>
        <w:rPr>
          <w:rFonts w:ascii="Times New Roman" w:hAnsi="Times New Roman"/>
          <w:sz w:val="24"/>
          <w:szCs w:val="24"/>
          <w:lang w:val="en-US"/>
        </w:rPr>
      </w:pPr>
    </w:p>
    <w:p w14:paraId="1DF7D952" w14:textId="77777777" w:rsidR="00E94324" w:rsidRPr="00B50AFB" w:rsidRDefault="00E94324" w:rsidP="00B50AFB">
      <w:pPr>
        <w:autoSpaceDE w:val="0"/>
        <w:autoSpaceDN w:val="0"/>
        <w:adjustRightInd w:val="0"/>
        <w:ind w:left="2160"/>
        <w:rPr>
          <w:rFonts w:ascii="Times New Roman" w:hAnsi="Times New Roman"/>
          <w:i/>
          <w:sz w:val="24"/>
          <w:szCs w:val="24"/>
        </w:rPr>
      </w:pPr>
      <w:r w:rsidRPr="00B50AFB">
        <w:rPr>
          <w:rFonts w:ascii="Times New Roman" w:hAnsi="Times New Roman"/>
          <w:i/>
          <w:sz w:val="24"/>
          <w:szCs w:val="24"/>
        </w:rPr>
        <w:t xml:space="preserve">“One of the merits of great advocates, as Lord Pearce pointed out in Rondel v Worsley [1969] 1 AC 191 at p 255G, has been the ability ruthlessly to sacrifice nine points and win on the tenth and best…The leave no stone unturned approach is no longer to be encouraged…” </w:t>
      </w:r>
    </w:p>
    <w:p w14:paraId="1DF7D953" w14:textId="77777777" w:rsidR="00E94324" w:rsidRPr="008D6B3D" w:rsidRDefault="00E94324" w:rsidP="00E94324">
      <w:pPr>
        <w:autoSpaceDE w:val="0"/>
        <w:autoSpaceDN w:val="0"/>
        <w:adjustRightInd w:val="0"/>
        <w:spacing w:line="360" w:lineRule="auto"/>
        <w:ind w:left="1440"/>
        <w:rPr>
          <w:rFonts w:ascii="Times New Roman" w:hAnsi="Times New Roman"/>
          <w:sz w:val="24"/>
          <w:szCs w:val="24"/>
        </w:rPr>
      </w:pPr>
    </w:p>
    <w:p w14:paraId="1DF7D954" w14:textId="77777777" w:rsidR="00E94324" w:rsidRPr="008D6B3D" w:rsidRDefault="00E94324" w:rsidP="00E94324">
      <w:pPr>
        <w:autoSpaceDE w:val="0"/>
        <w:autoSpaceDN w:val="0"/>
        <w:adjustRightInd w:val="0"/>
        <w:spacing w:line="360" w:lineRule="auto"/>
        <w:ind w:left="1440"/>
        <w:rPr>
          <w:rFonts w:ascii="Times New Roman" w:hAnsi="Times New Roman"/>
          <w:sz w:val="24"/>
          <w:szCs w:val="24"/>
        </w:rPr>
      </w:pPr>
      <w:r w:rsidRPr="008D6B3D">
        <w:rPr>
          <w:rFonts w:ascii="Times New Roman" w:hAnsi="Times New Roman"/>
          <w:sz w:val="24"/>
          <w:szCs w:val="24"/>
        </w:rPr>
        <w:t xml:space="preserve">Munby J in </w:t>
      </w:r>
      <w:r w:rsidRPr="008D6B3D">
        <w:rPr>
          <w:rFonts w:ascii="Times New Roman" w:hAnsi="Times New Roman"/>
          <w:i/>
          <w:sz w:val="24"/>
          <w:szCs w:val="24"/>
        </w:rPr>
        <w:t xml:space="preserve">R (Bateman) v LSC </w:t>
      </w:r>
      <w:r w:rsidRPr="008D6B3D">
        <w:rPr>
          <w:rFonts w:ascii="Times New Roman" w:hAnsi="Times New Roman"/>
          <w:sz w:val="24"/>
          <w:szCs w:val="24"/>
        </w:rPr>
        <w:t xml:space="preserve">[2001] EWHC Admin 797. </w:t>
      </w:r>
    </w:p>
    <w:p w14:paraId="1DF7D956" w14:textId="77777777" w:rsidR="00E94324" w:rsidRPr="008D6B3D" w:rsidRDefault="00E94324" w:rsidP="006F53FC">
      <w:pPr>
        <w:numPr>
          <w:ilvl w:val="1"/>
          <w:numId w:val="31"/>
        </w:numPr>
        <w:autoSpaceDE w:val="0"/>
        <w:autoSpaceDN w:val="0"/>
        <w:adjustRightInd w:val="0"/>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What documents (and authorities) are really necessary for the </w:t>
      </w:r>
      <w:proofErr w:type="gramStart"/>
      <w:r w:rsidRPr="008D6B3D">
        <w:rPr>
          <w:rFonts w:ascii="Times New Roman" w:hAnsi="Times New Roman"/>
          <w:sz w:val="24"/>
          <w:szCs w:val="24"/>
          <w:lang w:val="en-US"/>
        </w:rPr>
        <w:t>Court.</w:t>
      </w:r>
      <w:proofErr w:type="gramEnd"/>
      <w:r w:rsidRPr="008D6B3D">
        <w:rPr>
          <w:rFonts w:ascii="Times New Roman" w:hAnsi="Times New Roman"/>
          <w:sz w:val="24"/>
          <w:szCs w:val="24"/>
          <w:lang w:val="en-US"/>
        </w:rPr>
        <w:t xml:space="preserve"> In </w:t>
      </w:r>
      <w:proofErr w:type="spellStart"/>
      <w:r w:rsidRPr="008D6B3D">
        <w:rPr>
          <w:rFonts w:ascii="Times New Roman" w:hAnsi="Times New Roman"/>
          <w:i/>
          <w:sz w:val="24"/>
          <w:szCs w:val="24"/>
          <w:lang w:val="en-US"/>
        </w:rPr>
        <w:t>Prokopp</w:t>
      </w:r>
      <w:proofErr w:type="spellEnd"/>
      <w:r w:rsidRPr="008D6B3D">
        <w:rPr>
          <w:rFonts w:ascii="Times New Roman" w:hAnsi="Times New Roman"/>
          <w:i/>
          <w:sz w:val="24"/>
          <w:szCs w:val="24"/>
          <w:lang w:val="en-US"/>
        </w:rPr>
        <w:t xml:space="preserve">, </w:t>
      </w:r>
      <w:proofErr w:type="spellStart"/>
      <w:r w:rsidRPr="008D6B3D">
        <w:rPr>
          <w:rFonts w:ascii="Times New Roman" w:hAnsi="Times New Roman"/>
          <w:sz w:val="24"/>
          <w:szCs w:val="24"/>
          <w:lang w:val="en-US"/>
        </w:rPr>
        <w:t>Schiemann</w:t>
      </w:r>
      <w:proofErr w:type="spellEnd"/>
      <w:r w:rsidRPr="008D6B3D">
        <w:rPr>
          <w:rFonts w:ascii="Times New Roman" w:hAnsi="Times New Roman"/>
          <w:sz w:val="24"/>
          <w:szCs w:val="24"/>
          <w:lang w:val="en-US"/>
        </w:rPr>
        <w:t xml:space="preserve"> LJ said: </w:t>
      </w:r>
    </w:p>
    <w:p w14:paraId="1DF7D957" w14:textId="77777777" w:rsidR="00E94324" w:rsidRPr="008D6B3D" w:rsidRDefault="00E94324" w:rsidP="00E94324">
      <w:pPr>
        <w:autoSpaceDE w:val="0"/>
        <w:autoSpaceDN w:val="0"/>
        <w:adjustRightInd w:val="0"/>
        <w:spacing w:line="360" w:lineRule="auto"/>
        <w:rPr>
          <w:rFonts w:ascii="Times New Roman" w:hAnsi="Times New Roman"/>
          <w:sz w:val="24"/>
          <w:szCs w:val="24"/>
          <w:lang w:val="en-US"/>
        </w:rPr>
      </w:pPr>
    </w:p>
    <w:p w14:paraId="1DF7D958" w14:textId="77777777" w:rsidR="00E94324" w:rsidRPr="00B50AFB" w:rsidRDefault="00E94324" w:rsidP="00B50AFB">
      <w:pPr>
        <w:autoSpaceDE w:val="0"/>
        <w:autoSpaceDN w:val="0"/>
        <w:adjustRightInd w:val="0"/>
        <w:ind w:left="1440"/>
        <w:jc w:val="both"/>
        <w:rPr>
          <w:rFonts w:ascii="Times New Roman" w:hAnsi="Times New Roman"/>
          <w:i/>
          <w:sz w:val="24"/>
          <w:szCs w:val="24"/>
          <w:lang w:val="en-US"/>
        </w:rPr>
      </w:pPr>
      <w:r w:rsidRPr="00B50AFB">
        <w:rPr>
          <w:rFonts w:ascii="Times New Roman" w:hAnsi="Times New Roman"/>
          <w:i/>
          <w:sz w:val="24"/>
          <w:szCs w:val="24"/>
          <w:lang w:val="en-US"/>
        </w:rPr>
        <w:t>“Even if one were prepared to accept – which I am not - that they were all relevant to those actions they were certainly not relevant to the appeals before us. Their production before us not only involved a grotesque waste of environmental assets such as trees but an equally grotesque waste of public money and judicial time and energy in laying one’s hand on the few documents and authorities which are relevant. It is the duty of Counsel and solicitors to go through material in order to decide what is relevant. Counsel apparently did this and referred to what they thought was arguably relevant. Yet far more was placed before us”.</w:t>
      </w:r>
    </w:p>
    <w:p w14:paraId="1DF7D959" w14:textId="77777777" w:rsidR="00E94324" w:rsidRPr="008D6B3D" w:rsidRDefault="00E94324" w:rsidP="0068488D">
      <w:pPr>
        <w:autoSpaceDE w:val="0"/>
        <w:autoSpaceDN w:val="0"/>
        <w:adjustRightInd w:val="0"/>
        <w:spacing w:line="360" w:lineRule="auto"/>
        <w:jc w:val="both"/>
        <w:rPr>
          <w:rFonts w:ascii="Times New Roman" w:hAnsi="Times New Roman"/>
          <w:sz w:val="24"/>
          <w:szCs w:val="24"/>
          <w:lang w:val="en-US"/>
        </w:rPr>
      </w:pPr>
    </w:p>
    <w:p w14:paraId="1DF7D95A" w14:textId="2EE9ECAE" w:rsidR="00E94324" w:rsidRPr="008D6B3D" w:rsidRDefault="00E94324" w:rsidP="0068488D">
      <w:pPr>
        <w:numPr>
          <w:ilvl w:val="0"/>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 xml:space="preserve">The parties should agree a bundle of authorities which are really necessary. ACG 19 suggests that in most case there will be no need for more than 10 and some case will require fewer, if any, authorities. </w:t>
      </w:r>
      <w:r w:rsidR="00994FE1">
        <w:rPr>
          <w:rFonts w:ascii="Times New Roman" w:hAnsi="Times New Roman"/>
          <w:sz w:val="24"/>
          <w:szCs w:val="24"/>
          <w:lang w:val="en-US"/>
        </w:rPr>
        <w:t>Most judicial reviews now tend to involve at least 25+ authorities but do carefully consider whether all are necessary.</w:t>
      </w:r>
      <w:r w:rsidRPr="008D6B3D">
        <w:rPr>
          <w:rFonts w:ascii="Times New Roman" w:hAnsi="Times New Roman"/>
          <w:sz w:val="24"/>
          <w:szCs w:val="24"/>
          <w:lang w:val="en-US"/>
        </w:rPr>
        <w:t xml:space="preserve"> </w:t>
      </w:r>
    </w:p>
    <w:p w14:paraId="1DF7D95C" w14:textId="77777777" w:rsidR="00B50AFB" w:rsidRPr="008D6B3D" w:rsidRDefault="00B50AFB" w:rsidP="00E94324">
      <w:pPr>
        <w:spacing w:line="360" w:lineRule="auto"/>
        <w:rPr>
          <w:rFonts w:ascii="Times New Roman" w:hAnsi="Times New Roman"/>
          <w:i/>
          <w:sz w:val="24"/>
          <w:szCs w:val="24"/>
          <w:lang w:val="en-US"/>
        </w:rPr>
      </w:pPr>
    </w:p>
    <w:p w14:paraId="1DF7D95D" w14:textId="77777777" w:rsidR="00E94324" w:rsidRPr="00B50AFB" w:rsidRDefault="00B50AFB" w:rsidP="00B50AFB">
      <w:pPr>
        <w:pStyle w:val="ListParagraph"/>
        <w:numPr>
          <w:ilvl w:val="0"/>
          <w:numId w:val="30"/>
        </w:numPr>
        <w:autoSpaceDE w:val="0"/>
        <w:autoSpaceDN w:val="0"/>
        <w:adjustRightInd w:val="0"/>
        <w:spacing w:line="360" w:lineRule="auto"/>
        <w:jc w:val="center"/>
        <w:rPr>
          <w:rFonts w:ascii="Times New Roman" w:hAnsi="Times New Roman"/>
          <w:b/>
          <w:sz w:val="24"/>
          <w:szCs w:val="24"/>
          <w:lang w:val="en-US"/>
        </w:rPr>
      </w:pPr>
      <w:r w:rsidRPr="00B50AFB">
        <w:rPr>
          <w:rFonts w:ascii="Times New Roman" w:hAnsi="Times New Roman"/>
          <w:b/>
          <w:sz w:val="24"/>
          <w:szCs w:val="24"/>
          <w:lang w:val="en-US"/>
        </w:rPr>
        <w:t>THE HEARING</w:t>
      </w:r>
    </w:p>
    <w:p w14:paraId="1DF7D95F" w14:textId="77777777" w:rsidR="00E94324" w:rsidRPr="008D6B3D" w:rsidRDefault="00E94324" w:rsidP="0068488D">
      <w:pPr>
        <w:autoSpaceDE w:val="0"/>
        <w:autoSpaceDN w:val="0"/>
        <w:adjustRightInd w:val="0"/>
        <w:spacing w:line="360" w:lineRule="auto"/>
        <w:rPr>
          <w:rFonts w:ascii="Times New Roman" w:hAnsi="Times New Roman"/>
          <w:i/>
          <w:sz w:val="24"/>
          <w:szCs w:val="24"/>
        </w:rPr>
      </w:pPr>
      <w:r w:rsidRPr="008D6B3D">
        <w:rPr>
          <w:rFonts w:ascii="Times New Roman" w:hAnsi="Times New Roman"/>
          <w:i/>
          <w:sz w:val="24"/>
          <w:szCs w:val="24"/>
        </w:rPr>
        <w:t>Composition of the Court</w:t>
      </w:r>
    </w:p>
    <w:p w14:paraId="1DF7D960" w14:textId="77777777" w:rsidR="00E94324" w:rsidRPr="008D6B3D" w:rsidRDefault="00E94324" w:rsidP="00B50AFB">
      <w:pPr>
        <w:numPr>
          <w:ilvl w:val="0"/>
          <w:numId w:val="31"/>
        </w:numPr>
        <w:autoSpaceDE w:val="0"/>
        <w:autoSpaceDN w:val="0"/>
        <w:adjustRightInd w:val="0"/>
        <w:spacing w:after="0" w:line="360" w:lineRule="auto"/>
        <w:jc w:val="both"/>
        <w:rPr>
          <w:rFonts w:ascii="Times New Roman" w:hAnsi="Times New Roman"/>
          <w:sz w:val="24"/>
          <w:szCs w:val="24"/>
        </w:rPr>
      </w:pPr>
      <w:r w:rsidRPr="008D6B3D">
        <w:rPr>
          <w:rFonts w:ascii="Times New Roman" w:hAnsi="Times New Roman"/>
          <w:sz w:val="24"/>
          <w:szCs w:val="24"/>
        </w:rPr>
        <w:t xml:space="preserve">Criminal cases may be heard by a single judge or by a divisional court of two judges. Simpler cases will ordinarily be suitable for decision by a single judge but note that only a Divisional Court has power to make a Defendant’s costs order in a criminal case (Prosecution of Offences Act 1985 s. 16(5) – but see the limitations in 16A). </w:t>
      </w:r>
    </w:p>
    <w:p w14:paraId="1DF7D961" w14:textId="77777777" w:rsidR="00E94324" w:rsidRPr="008D6B3D" w:rsidRDefault="00E94324" w:rsidP="00B50AFB">
      <w:pPr>
        <w:autoSpaceDE w:val="0"/>
        <w:autoSpaceDN w:val="0"/>
        <w:adjustRightInd w:val="0"/>
        <w:spacing w:line="360" w:lineRule="auto"/>
        <w:jc w:val="both"/>
        <w:rPr>
          <w:rFonts w:ascii="Times New Roman" w:hAnsi="Times New Roman"/>
          <w:sz w:val="24"/>
          <w:szCs w:val="24"/>
        </w:rPr>
      </w:pPr>
    </w:p>
    <w:p w14:paraId="1DF7D962" w14:textId="77777777" w:rsidR="00E94324" w:rsidRPr="008D6B3D" w:rsidRDefault="00E94324" w:rsidP="00B50AFB">
      <w:pPr>
        <w:numPr>
          <w:ilvl w:val="0"/>
          <w:numId w:val="31"/>
        </w:numPr>
        <w:autoSpaceDE w:val="0"/>
        <w:autoSpaceDN w:val="0"/>
        <w:adjustRightInd w:val="0"/>
        <w:spacing w:after="0" w:line="360" w:lineRule="auto"/>
        <w:jc w:val="both"/>
        <w:rPr>
          <w:rFonts w:ascii="Times New Roman" w:hAnsi="Times New Roman"/>
          <w:sz w:val="24"/>
          <w:szCs w:val="24"/>
        </w:rPr>
      </w:pPr>
      <w:r w:rsidRPr="008D6B3D">
        <w:rPr>
          <w:rFonts w:ascii="Times New Roman" w:hAnsi="Times New Roman"/>
          <w:sz w:val="24"/>
          <w:szCs w:val="24"/>
        </w:rPr>
        <w:t xml:space="preserve">Civil cases are ordinarily heard by a single judge. The order granting permission may state that the case is suitable for decision by a deputy judge or specify more than one judge. </w:t>
      </w:r>
    </w:p>
    <w:p w14:paraId="1DF7D963" w14:textId="77777777" w:rsidR="00E94324" w:rsidRPr="008D6B3D" w:rsidRDefault="00E94324" w:rsidP="00B50AFB">
      <w:pPr>
        <w:autoSpaceDE w:val="0"/>
        <w:autoSpaceDN w:val="0"/>
        <w:adjustRightInd w:val="0"/>
        <w:spacing w:line="360" w:lineRule="auto"/>
        <w:jc w:val="both"/>
        <w:rPr>
          <w:rFonts w:ascii="Times New Roman" w:hAnsi="Times New Roman"/>
          <w:sz w:val="24"/>
          <w:szCs w:val="24"/>
        </w:rPr>
      </w:pPr>
    </w:p>
    <w:p w14:paraId="1DF7D964" w14:textId="77777777" w:rsidR="00E94324" w:rsidRPr="008D6B3D" w:rsidRDefault="00E94324" w:rsidP="00B50AFB">
      <w:pPr>
        <w:numPr>
          <w:ilvl w:val="0"/>
          <w:numId w:val="31"/>
        </w:numPr>
        <w:autoSpaceDE w:val="0"/>
        <w:autoSpaceDN w:val="0"/>
        <w:adjustRightInd w:val="0"/>
        <w:spacing w:after="0" w:line="360" w:lineRule="auto"/>
        <w:jc w:val="both"/>
        <w:rPr>
          <w:rFonts w:ascii="Times New Roman" w:hAnsi="Times New Roman"/>
          <w:sz w:val="24"/>
          <w:szCs w:val="24"/>
        </w:rPr>
      </w:pPr>
      <w:r w:rsidRPr="008D6B3D">
        <w:rPr>
          <w:rFonts w:ascii="Times New Roman" w:hAnsi="Times New Roman"/>
          <w:sz w:val="24"/>
          <w:szCs w:val="24"/>
        </w:rPr>
        <w:t>If a judge has refused permission on the papers then the case will not normally be listed before them (</w:t>
      </w:r>
      <w:r w:rsidRPr="008D6B3D">
        <w:rPr>
          <w:rFonts w:ascii="Times New Roman" w:hAnsi="Times New Roman"/>
          <w:i/>
          <w:sz w:val="24"/>
          <w:szCs w:val="24"/>
        </w:rPr>
        <w:t>R (Mohammed) v Special Adjudicator</w:t>
      </w:r>
      <w:r w:rsidRPr="008D6B3D">
        <w:rPr>
          <w:rFonts w:ascii="Times New Roman" w:hAnsi="Times New Roman"/>
          <w:sz w:val="24"/>
          <w:szCs w:val="24"/>
        </w:rPr>
        <w:t xml:space="preserve"> [2002] EWHC 2496 Admin, </w:t>
      </w:r>
      <w:r w:rsidR="00B50AFB">
        <w:rPr>
          <w:rFonts w:ascii="Times New Roman" w:hAnsi="Times New Roman"/>
          <w:sz w:val="24"/>
          <w:szCs w:val="24"/>
        </w:rPr>
        <w:t>[</w:t>
      </w:r>
      <w:r w:rsidRPr="008D6B3D">
        <w:rPr>
          <w:rFonts w:ascii="Times New Roman" w:hAnsi="Times New Roman"/>
          <w:sz w:val="24"/>
          <w:szCs w:val="24"/>
        </w:rPr>
        <w:t>4</w:t>
      </w:r>
      <w:r w:rsidR="00B50AFB">
        <w:rPr>
          <w:rFonts w:ascii="Times New Roman" w:hAnsi="Times New Roman"/>
          <w:sz w:val="24"/>
          <w:szCs w:val="24"/>
        </w:rPr>
        <w:t>]</w:t>
      </w:r>
      <w:r w:rsidRPr="008D6B3D">
        <w:rPr>
          <w:rFonts w:ascii="Times New Roman" w:hAnsi="Times New Roman"/>
          <w:sz w:val="24"/>
          <w:szCs w:val="24"/>
        </w:rPr>
        <w:t xml:space="preserve">) but if it is then this will not ordinarily be a ground for asking the judge not to sit </w:t>
      </w:r>
      <w:r w:rsidRPr="008D6B3D">
        <w:rPr>
          <w:rFonts w:ascii="Times New Roman" w:hAnsi="Times New Roman"/>
          <w:i/>
          <w:sz w:val="24"/>
          <w:szCs w:val="24"/>
        </w:rPr>
        <w:t xml:space="preserve">Sengupta v Holmes </w:t>
      </w:r>
      <w:r w:rsidRPr="008D6B3D">
        <w:rPr>
          <w:rFonts w:ascii="Times New Roman" w:hAnsi="Times New Roman"/>
          <w:sz w:val="24"/>
          <w:szCs w:val="24"/>
        </w:rPr>
        <w:t xml:space="preserve">[2002] EWCA </w:t>
      </w:r>
      <w:proofErr w:type="spellStart"/>
      <w:r w:rsidRPr="008D6B3D">
        <w:rPr>
          <w:rFonts w:ascii="Times New Roman" w:hAnsi="Times New Roman"/>
          <w:sz w:val="24"/>
          <w:szCs w:val="24"/>
        </w:rPr>
        <w:t>Civ</w:t>
      </w:r>
      <w:proofErr w:type="spellEnd"/>
      <w:r w:rsidRPr="008D6B3D">
        <w:rPr>
          <w:rFonts w:ascii="Times New Roman" w:hAnsi="Times New Roman"/>
          <w:sz w:val="24"/>
          <w:szCs w:val="24"/>
        </w:rPr>
        <w:t xml:space="preserve"> 1104.</w:t>
      </w:r>
    </w:p>
    <w:p w14:paraId="1DF7D965" w14:textId="77777777" w:rsidR="00E94324" w:rsidRPr="008D6B3D" w:rsidRDefault="00E94324" w:rsidP="00B50AFB">
      <w:pPr>
        <w:spacing w:line="360" w:lineRule="auto"/>
        <w:jc w:val="both"/>
        <w:rPr>
          <w:rFonts w:ascii="Times New Roman" w:hAnsi="Times New Roman"/>
          <w:sz w:val="24"/>
          <w:szCs w:val="24"/>
        </w:rPr>
      </w:pPr>
    </w:p>
    <w:p w14:paraId="1DF7D966" w14:textId="77777777"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u w:val="single"/>
        </w:rPr>
        <w:t>Standing</w:t>
      </w:r>
      <w:r w:rsidRPr="008D6B3D">
        <w:rPr>
          <w:rFonts w:ascii="Times New Roman" w:hAnsi="Times New Roman"/>
          <w:sz w:val="24"/>
          <w:szCs w:val="24"/>
        </w:rPr>
        <w:t xml:space="preserve"> can be considered again but overlaps with remedy – </w:t>
      </w:r>
      <w:r w:rsidRPr="008D6B3D">
        <w:rPr>
          <w:rFonts w:ascii="Times New Roman" w:hAnsi="Times New Roman"/>
          <w:i/>
          <w:sz w:val="24"/>
          <w:szCs w:val="24"/>
        </w:rPr>
        <w:t xml:space="preserve">R v Secretary of state for Health ex p </w:t>
      </w:r>
      <w:proofErr w:type="spellStart"/>
      <w:r w:rsidRPr="008D6B3D">
        <w:rPr>
          <w:rFonts w:ascii="Times New Roman" w:hAnsi="Times New Roman"/>
          <w:i/>
          <w:sz w:val="24"/>
          <w:szCs w:val="24"/>
        </w:rPr>
        <w:t>Presvac</w:t>
      </w:r>
      <w:proofErr w:type="spellEnd"/>
      <w:r w:rsidRPr="008D6B3D">
        <w:rPr>
          <w:rFonts w:ascii="Times New Roman" w:hAnsi="Times New Roman"/>
          <w:i/>
          <w:sz w:val="24"/>
          <w:szCs w:val="24"/>
        </w:rPr>
        <w:t xml:space="preserve"> Engineering Ltd</w:t>
      </w:r>
      <w:r w:rsidRPr="008D6B3D">
        <w:rPr>
          <w:rFonts w:ascii="Times New Roman" w:hAnsi="Times New Roman"/>
          <w:sz w:val="24"/>
          <w:szCs w:val="24"/>
        </w:rPr>
        <w:t xml:space="preserve"> (1991) 4 Admin LR 121. </w:t>
      </w:r>
    </w:p>
    <w:p w14:paraId="1DF7D967" w14:textId="77777777" w:rsidR="00E94324" w:rsidRPr="008D6B3D" w:rsidRDefault="00E94324" w:rsidP="00B50AFB">
      <w:pPr>
        <w:spacing w:line="360" w:lineRule="auto"/>
        <w:jc w:val="both"/>
        <w:rPr>
          <w:rFonts w:ascii="Times New Roman" w:hAnsi="Times New Roman"/>
          <w:sz w:val="24"/>
          <w:szCs w:val="24"/>
        </w:rPr>
      </w:pPr>
    </w:p>
    <w:p w14:paraId="1DF7D968" w14:textId="26D08534"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u w:val="single"/>
        </w:rPr>
        <w:t>Delay</w:t>
      </w:r>
      <w:r w:rsidRPr="008D6B3D">
        <w:rPr>
          <w:rFonts w:ascii="Times New Roman" w:hAnsi="Times New Roman"/>
          <w:sz w:val="24"/>
          <w:szCs w:val="24"/>
        </w:rPr>
        <w:t xml:space="preserve"> – A decision at the permission stage that a claim was brought promptly or to extend time despite this is final and cannot be re-opened at the final hearing. However the Defendant may still argue that relief should be refused because of undue delay (</w:t>
      </w:r>
      <w:r w:rsidRPr="008D6B3D">
        <w:rPr>
          <w:rFonts w:ascii="Times New Roman" w:hAnsi="Times New Roman"/>
          <w:i/>
          <w:sz w:val="24"/>
          <w:szCs w:val="24"/>
        </w:rPr>
        <w:t xml:space="preserve">R v CICB ex p </w:t>
      </w:r>
      <w:r w:rsidRPr="008D6B3D">
        <w:rPr>
          <w:rFonts w:ascii="Times New Roman" w:hAnsi="Times New Roman"/>
          <w:sz w:val="24"/>
          <w:szCs w:val="24"/>
        </w:rPr>
        <w:t xml:space="preserve">A [1999] 2 AC 330). In </w:t>
      </w:r>
      <w:r w:rsidRPr="008D6B3D">
        <w:rPr>
          <w:rFonts w:ascii="Times New Roman" w:hAnsi="Times New Roman"/>
          <w:i/>
          <w:sz w:val="24"/>
          <w:szCs w:val="24"/>
        </w:rPr>
        <w:t xml:space="preserve">R (Lichfield Securities Ltd) v Lichfield </w:t>
      </w:r>
      <w:r w:rsidRPr="008D6B3D">
        <w:rPr>
          <w:rFonts w:ascii="Times New Roman" w:hAnsi="Times New Roman"/>
          <w:sz w:val="24"/>
          <w:szCs w:val="24"/>
        </w:rPr>
        <w:t xml:space="preserve">DC [2001] EWCA </w:t>
      </w:r>
      <w:proofErr w:type="spellStart"/>
      <w:r w:rsidRPr="008D6B3D">
        <w:rPr>
          <w:rFonts w:ascii="Times New Roman" w:hAnsi="Times New Roman"/>
          <w:sz w:val="24"/>
          <w:szCs w:val="24"/>
        </w:rPr>
        <w:t>Civ</w:t>
      </w:r>
      <w:proofErr w:type="spellEnd"/>
      <w:r w:rsidRPr="008D6B3D">
        <w:rPr>
          <w:rFonts w:ascii="Times New Roman" w:hAnsi="Times New Roman"/>
          <w:sz w:val="24"/>
          <w:szCs w:val="24"/>
        </w:rPr>
        <w:t xml:space="preserve"> 304 the </w:t>
      </w:r>
      <w:r w:rsidR="00994FE1">
        <w:rPr>
          <w:rFonts w:ascii="Times New Roman" w:hAnsi="Times New Roman"/>
          <w:sz w:val="24"/>
          <w:szCs w:val="24"/>
        </w:rPr>
        <w:t>Court of Appeal</w:t>
      </w:r>
      <w:r w:rsidRPr="008D6B3D">
        <w:rPr>
          <w:rFonts w:ascii="Times New Roman" w:hAnsi="Times New Roman"/>
          <w:sz w:val="24"/>
          <w:szCs w:val="24"/>
        </w:rPr>
        <w:t xml:space="preserve"> held that where the effect of undue delay had been fully argued at the permission hearing then it should be re-opened only where (a) the judge at the initial hearing had expressly so indicated; (b) new and relevant material was introduced at the substantive hearing; (c) in an exceptional case, the issues as they developed at the full hearing put a different aspect on the question of promptness; or (d) the first judge had plainly overlooked some relevant matter or had otherwise reached a decision </w:t>
      </w:r>
      <w:r w:rsidRPr="008D6B3D">
        <w:rPr>
          <w:rFonts w:ascii="Times New Roman" w:hAnsi="Times New Roman"/>
          <w:i/>
          <w:sz w:val="24"/>
          <w:szCs w:val="24"/>
        </w:rPr>
        <w:t>per incuriam</w:t>
      </w:r>
      <w:r w:rsidRPr="008D6B3D">
        <w:rPr>
          <w:rFonts w:ascii="Times New Roman" w:hAnsi="Times New Roman"/>
          <w:sz w:val="24"/>
          <w:szCs w:val="24"/>
        </w:rPr>
        <w:t>.</w:t>
      </w:r>
    </w:p>
    <w:p w14:paraId="1DF7D969" w14:textId="77777777" w:rsidR="00E94324" w:rsidRPr="008D6B3D" w:rsidRDefault="00E94324" w:rsidP="00B50AFB">
      <w:pPr>
        <w:spacing w:line="360" w:lineRule="auto"/>
        <w:ind w:left="360"/>
        <w:jc w:val="both"/>
        <w:rPr>
          <w:rFonts w:ascii="Times New Roman" w:hAnsi="Times New Roman"/>
          <w:sz w:val="24"/>
          <w:szCs w:val="24"/>
        </w:rPr>
      </w:pPr>
    </w:p>
    <w:p w14:paraId="1DF7D96A" w14:textId="7FA85E6A" w:rsidR="00E94324"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u w:val="single"/>
        </w:rPr>
        <w:t>Where limited permission was given</w:t>
      </w:r>
      <w:r w:rsidRPr="008D6B3D">
        <w:rPr>
          <w:rFonts w:ascii="Times New Roman" w:hAnsi="Times New Roman"/>
          <w:sz w:val="24"/>
          <w:szCs w:val="24"/>
        </w:rPr>
        <w:t xml:space="preserve">: </w:t>
      </w:r>
      <w:r w:rsidR="00994FE1">
        <w:rPr>
          <w:rFonts w:ascii="Times New Roman" w:hAnsi="Times New Roman"/>
          <w:sz w:val="24"/>
          <w:szCs w:val="24"/>
        </w:rPr>
        <w:t xml:space="preserve">As mentioned above, </w:t>
      </w:r>
      <w:r w:rsidRPr="008D6B3D">
        <w:rPr>
          <w:rFonts w:ascii="Times New Roman" w:hAnsi="Times New Roman"/>
          <w:sz w:val="24"/>
          <w:szCs w:val="24"/>
        </w:rPr>
        <w:t xml:space="preserve">CPR Part 54.15 also permits a Claimant to give notice that they intend to rely on grounds in their original N.461 for which they were not granted or refused permission. However, this may be an abuse of process in the absence of significant justification– </w:t>
      </w:r>
      <w:r w:rsidRPr="008D6B3D">
        <w:rPr>
          <w:rFonts w:ascii="Times New Roman" w:hAnsi="Times New Roman"/>
          <w:i/>
          <w:sz w:val="24"/>
          <w:szCs w:val="24"/>
        </w:rPr>
        <w:t>R (Opoku) v Principal of Southwark College</w:t>
      </w:r>
      <w:r w:rsidRPr="008D6B3D">
        <w:rPr>
          <w:rFonts w:ascii="Times New Roman" w:hAnsi="Times New Roman"/>
          <w:sz w:val="24"/>
          <w:szCs w:val="24"/>
        </w:rPr>
        <w:t xml:space="preserve"> [2002] EWHC (Admin) 272, and </w:t>
      </w:r>
      <w:r w:rsidRPr="008D6B3D">
        <w:rPr>
          <w:rFonts w:ascii="Times New Roman" w:hAnsi="Times New Roman"/>
          <w:i/>
          <w:sz w:val="24"/>
          <w:szCs w:val="24"/>
        </w:rPr>
        <w:t>R (Smith) v Parole Board</w:t>
      </w:r>
      <w:r w:rsidRPr="008D6B3D">
        <w:rPr>
          <w:rFonts w:ascii="Times New Roman" w:hAnsi="Times New Roman"/>
          <w:sz w:val="24"/>
          <w:szCs w:val="24"/>
        </w:rPr>
        <w:t xml:space="preserve"> [2003] EWCA </w:t>
      </w:r>
      <w:proofErr w:type="spellStart"/>
      <w:r w:rsidRPr="008D6B3D">
        <w:rPr>
          <w:rFonts w:ascii="Times New Roman" w:hAnsi="Times New Roman"/>
          <w:sz w:val="24"/>
          <w:szCs w:val="24"/>
        </w:rPr>
        <w:t>Civ</w:t>
      </w:r>
      <w:proofErr w:type="spellEnd"/>
      <w:r w:rsidRPr="008D6B3D">
        <w:rPr>
          <w:rFonts w:ascii="Times New Roman" w:hAnsi="Times New Roman"/>
          <w:sz w:val="24"/>
          <w:szCs w:val="24"/>
        </w:rPr>
        <w:t xml:space="preserve"> 1014.</w:t>
      </w:r>
    </w:p>
    <w:p w14:paraId="1DF7D96B" w14:textId="77777777" w:rsidR="00B50AFB" w:rsidRDefault="00B50AFB" w:rsidP="00B50AFB">
      <w:pPr>
        <w:pStyle w:val="ListParagraph"/>
        <w:rPr>
          <w:rFonts w:ascii="Times New Roman" w:hAnsi="Times New Roman"/>
          <w:sz w:val="24"/>
          <w:szCs w:val="24"/>
        </w:rPr>
      </w:pPr>
    </w:p>
    <w:p w14:paraId="1DF7D96C" w14:textId="77777777" w:rsidR="00B50AFB" w:rsidRDefault="00E94324" w:rsidP="00B50AFB">
      <w:pPr>
        <w:numPr>
          <w:ilvl w:val="0"/>
          <w:numId w:val="31"/>
        </w:numPr>
        <w:spacing w:after="0" w:line="360" w:lineRule="auto"/>
        <w:jc w:val="both"/>
        <w:rPr>
          <w:rFonts w:ascii="Times New Roman" w:hAnsi="Times New Roman"/>
          <w:sz w:val="24"/>
          <w:szCs w:val="24"/>
        </w:rPr>
      </w:pPr>
      <w:r w:rsidRPr="00B50AFB">
        <w:rPr>
          <w:rFonts w:ascii="Times New Roman" w:hAnsi="Times New Roman"/>
          <w:sz w:val="24"/>
          <w:szCs w:val="24"/>
        </w:rPr>
        <w:t xml:space="preserve">Relief may be refused at the full hearing (or before) without consideration of the merits if there has been a material non-disclosure by the Claimant. </w:t>
      </w:r>
    </w:p>
    <w:p w14:paraId="1DF7D96D" w14:textId="77777777" w:rsidR="00B50AFB" w:rsidRDefault="00B50AFB" w:rsidP="00B50AFB">
      <w:pPr>
        <w:pStyle w:val="ListParagraph"/>
        <w:rPr>
          <w:rFonts w:ascii="Times New Roman" w:hAnsi="Times New Roman"/>
          <w:sz w:val="24"/>
          <w:szCs w:val="24"/>
          <w:u w:val="single"/>
        </w:rPr>
      </w:pPr>
    </w:p>
    <w:p w14:paraId="1DF7D96E" w14:textId="77777777" w:rsidR="00E94324" w:rsidRPr="00B50AFB" w:rsidRDefault="00E94324" w:rsidP="00B50AFB">
      <w:pPr>
        <w:numPr>
          <w:ilvl w:val="0"/>
          <w:numId w:val="31"/>
        </w:numPr>
        <w:spacing w:after="0" w:line="360" w:lineRule="auto"/>
        <w:jc w:val="both"/>
        <w:rPr>
          <w:rFonts w:ascii="Times New Roman" w:hAnsi="Times New Roman"/>
          <w:sz w:val="24"/>
          <w:szCs w:val="24"/>
        </w:rPr>
      </w:pPr>
      <w:r w:rsidRPr="00B50AFB">
        <w:rPr>
          <w:rFonts w:ascii="Times New Roman" w:hAnsi="Times New Roman"/>
          <w:sz w:val="24"/>
          <w:szCs w:val="24"/>
          <w:u w:val="single"/>
        </w:rPr>
        <w:lastRenderedPageBreak/>
        <w:t>Any difference</w:t>
      </w:r>
      <w:r w:rsidRPr="00B50AFB">
        <w:rPr>
          <w:rFonts w:ascii="Times New Roman" w:hAnsi="Times New Roman"/>
          <w:sz w:val="24"/>
          <w:szCs w:val="24"/>
        </w:rPr>
        <w:t>. By s. 31(2A) and (2B) of the Senior Courts Act 2015 (inserted by s. 84 of the Criminal Justice and Courts Act 2015:</w:t>
      </w:r>
    </w:p>
    <w:p w14:paraId="1DF7D96F" w14:textId="77777777" w:rsidR="00E94324" w:rsidRPr="008D6B3D" w:rsidRDefault="00E94324" w:rsidP="00B50AFB">
      <w:pPr>
        <w:pStyle w:val="ListParagraph"/>
        <w:jc w:val="both"/>
        <w:rPr>
          <w:rFonts w:ascii="Times New Roman" w:hAnsi="Times New Roman"/>
          <w:sz w:val="24"/>
          <w:szCs w:val="24"/>
          <w:lang w:eastAsia="en-GB"/>
        </w:rPr>
      </w:pPr>
    </w:p>
    <w:p w14:paraId="1DF7D970" w14:textId="77777777" w:rsidR="00E94324" w:rsidRPr="00B50AFB" w:rsidRDefault="00E94324" w:rsidP="00B50AFB">
      <w:pPr>
        <w:spacing w:line="360" w:lineRule="auto"/>
        <w:ind w:left="1080"/>
        <w:rPr>
          <w:rFonts w:ascii="Times New Roman" w:hAnsi="Times New Roman"/>
          <w:i/>
          <w:sz w:val="24"/>
          <w:szCs w:val="24"/>
          <w:u w:val="single"/>
        </w:rPr>
      </w:pPr>
      <w:r w:rsidRPr="00B50AFB">
        <w:rPr>
          <w:rFonts w:ascii="Times New Roman" w:hAnsi="Times New Roman"/>
          <w:i/>
          <w:sz w:val="24"/>
          <w:szCs w:val="24"/>
          <w:lang w:eastAsia="en-GB"/>
        </w:rPr>
        <w:t>“(2A) The High Court—</w:t>
      </w:r>
    </w:p>
    <w:p w14:paraId="1DF7D971" w14:textId="77777777" w:rsidR="00E94324" w:rsidRPr="00B50AFB" w:rsidRDefault="00E94324" w:rsidP="00B50AFB">
      <w:pPr>
        <w:ind w:left="1440" w:hanging="360"/>
        <w:rPr>
          <w:rFonts w:ascii="Times New Roman" w:hAnsi="Times New Roman"/>
          <w:i/>
          <w:sz w:val="24"/>
          <w:szCs w:val="24"/>
          <w:lang w:eastAsia="en-GB"/>
        </w:rPr>
      </w:pPr>
      <w:r w:rsidRPr="00B50AFB">
        <w:rPr>
          <w:rFonts w:ascii="Times New Roman" w:hAnsi="Times New Roman"/>
          <w:i/>
          <w:sz w:val="24"/>
          <w:szCs w:val="24"/>
          <w:lang w:eastAsia="en-GB"/>
        </w:rPr>
        <w:t>(a) must refuse to grant relief on an application for judicial review, and</w:t>
      </w:r>
    </w:p>
    <w:p w14:paraId="1DF7D972" w14:textId="77777777" w:rsidR="00E94324" w:rsidRPr="00B50AFB" w:rsidRDefault="00E94324" w:rsidP="00B50AFB">
      <w:pPr>
        <w:ind w:left="720"/>
        <w:rPr>
          <w:rFonts w:ascii="Times New Roman" w:hAnsi="Times New Roman"/>
          <w:i/>
          <w:sz w:val="24"/>
          <w:szCs w:val="24"/>
          <w:lang w:eastAsia="en-GB"/>
        </w:rPr>
      </w:pPr>
    </w:p>
    <w:p w14:paraId="1DF7D973" w14:textId="77777777" w:rsidR="00E94324" w:rsidRPr="00B50AFB" w:rsidRDefault="00E94324" w:rsidP="00B50AFB">
      <w:pPr>
        <w:ind w:left="1440" w:hanging="360"/>
        <w:rPr>
          <w:rFonts w:ascii="Times New Roman" w:hAnsi="Times New Roman"/>
          <w:i/>
          <w:sz w:val="24"/>
          <w:szCs w:val="24"/>
          <w:lang w:eastAsia="en-GB"/>
        </w:rPr>
      </w:pPr>
      <w:r w:rsidRPr="00B50AFB">
        <w:rPr>
          <w:rFonts w:ascii="Times New Roman" w:hAnsi="Times New Roman"/>
          <w:i/>
          <w:sz w:val="24"/>
          <w:szCs w:val="24"/>
          <w:lang w:eastAsia="en-GB"/>
        </w:rPr>
        <w:t>(b) may not make an award under subsection (4) on such an application, if it appears to the court to be highly likely that the outcome for the applicant would not have been substantially different if the conduct complained of had not occurred.</w:t>
      </w:r>
    </w:p>
    <w:p w14:paraId="1DF7D974" w14:textId="77777777" w:rsidR="00E94324" w:rsidRPr="00B50AFB" w:rsidRDefault="00E94324" w:rsidP="00B50AFB">
      <w:pPr>
        <w:ind w:left="720" w:firstLine="360"/>
        <w:rPr>
          <w:rFonts w:ascii="Times New Roman" w:hAnsi="Times New Roman"/>
          <w:i/>
          <w:sz w:val="24"/>
          <w:szCs w:val="24"/>
          <w:lang w:eastAsia="en-GB"/>
        </w:rPr>
      </w:pPr>
    </w:p>
    <w:p w14:paraId="1DF7D975" w14:textId="77777777" w:rsidR="00E94324" w:rsidRPr="00B50AFB" w:rsidRDefault="00E94324" w:rsidP="00B50AFB">
      <w:pPr>
        <w:ind w:left="1440" w:hanging="360"/>
        <w:rPr>
          <w:rFonts w:ascii="Times New Roman" w:hAnsi="Times New Roman"/>
          <w:i/>
          <w:sz w:val="24"/>
          <w:szCs w:val="24"/>
          <w:lang w:eastAsia="en-GB"/>
        </w:rPr>
      </w:pPr>
      <w:r w:rsidRPr="00B50AFB">
        <w:rPr>
          <w:rFonts w:ascii="Times New Roman" w:hAnsi="Times New Roman"/>
          <w:i/>
          <w:sz w:val="24"/>
          <w:szCs w:val="24"/>
          <w:lang w:eastAsia="en-GB"/>
        </w:rPr>
        <w:t>(2B) The court may disregard the requirements in subsection (2A</w:t>
      </w:r>
      <w:proofErr w:type="gramStart"/>
      <w:r w:rsidRPr="00B50AFB">
        <w:rPr>
          <w:rFonts w:ascii="Times New Roman" w:hAnsi="Times New Roman"/>
          <w:i/>
          <w:sz w:val="24"/>
          <w:szCs w:val="24"/>
          <w:lang w:eastAsia="en-GB"/>
        </w:rPr>
        <w:t>)(</w:t>
      </w:r>
      <w:proofErr w:type="gramEnd"/>
      <w:r w:rsidRPr="00B50AFB">
        <w:rPr>
          <w:rFonts w:ascii="Times New Roman" w:hAnsi="Times New Roman"/>
          <w:i/>
          <w:sz w:val="24"/>
          <w:szCs w:val="24"/>
          <w:lang w:eastAsia="en-GB"/>
        </w:rPr>
        <w:t xml:space="preserve">a) and (b) if it considers that it is appropriate to do so for reasons of exceptional public interest”. </w:t>
      </w:r>
    </w:p>
    <w:p w14:paraId="1DF7D976" w14:textId="77777777" w:rsidR="00E94324" w:rsidRPr="008D6B3D" w:rsidRDefault="00E94324" w:rsidP="00E94324">
      <w:pPr>
        <w:spacing w:line="360" w:lineRule="auto"/>
        <w:rPr>
          <w:rFonts w:ascii="Times New Roman" w:hAnsi="Times New Roman"/>
          <w:sz w:val="24"/>
          <w:szCs w:val="24"/>
        </w:rPr>
      </w:pPr>
    </w:p>
    <w:p w14:paraId="1DF7D977" w14:textId="021E421A"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Views differ as to how far this prevents the court from giving a declaratory judgment.  In deciding whether the outcome would have been substantially different the court should normally focus on the information available at the time the decision was made</w:t>
      </w:r>
      <w:r w:rsidR="00994FE1">
        <w:rPr>
          <w:rFonts w:ascii="Times New Roman" w:hAnsi="Times New Roman"/>
          <w:sz w:val="24"/>
          <w:szCs w:val="24"/>
        </w:rPr>
        <w:t>:</w:t>
      </w:r>
      <w:r w:rsidRPr="008D6B3D">
        <w:rPr>
          <w:rFonts w:ascii="Times New Roman" w:hAnsi="Times New Roman"/>
          <w:sz w:val="24"/>
          <w:szCs w:val="24"/>
        </w:rPr>
        <w:t xml:space="preserve"> </w:t>
      </w:r>
      <w:r w:rsidRPr="008D6B3D">
        <w:rPr>
          <w:rFonts w:ascii="Times New Roman" w:hAnsi="Times New Roman"/>
          <w:i/>
          <w:sz w:val="24"/>
          <w:szCs w:val="24"/>
        </w:rPr>
        <w:t>R (Logan) v Havering LBC</w:t>
      </w:r>
      <w:r w:rsidRPr="008D6B3D">
        <w:rPr>
          <w:rFonts w:ascii="Times New Roman" w:hAnsi="Times New Roman"/>
          <w:sz w:val="24"/>
          <w:szCs w:val="24"/>
        </w:rPr>
        <w:t xml:space="preserve"> [2016] PTSR 603 Blake J. </w:t>
      </w:r>
    </w:p>
    <w:p w14:paraId="1DF7D978" w14:textId="77777777" w:rsidR="00E94324" w:rsidRPr="008D6B3D" w:rsidRDefault="00E94324" w:rsidP="00E94324">
      <w:pPr>
        <w:spacing w:line="360" w:lineRule="auto"/>
        <w:rPr>
          <w:rFonts w:ascii="Times New Roman" w:hAnsi="Times New Roman"/>
          <w:sz w:val="24"/>
          <w:szCs w:val="24"/>
        </w:rPr>
      </w:pPr>
    </w:p>
    <w:p w14:paraId="0762E100" w14:textId="5DDA7F4A" w:rsidR="00994FE1" w:rsidRPr="00994FE1" w:rsidRDefault="00E94324" w:rsidP="00994FE1">
      <w:pPr>
        <w:pStyle w:val="ListParagraph"/>
        <w:numPr>
          <w:ilvl w:val="0"/>
          <w:numId w:val="30"/>
        </w:numPr>
        <w:spacing w:line="360" w:lineRule="auto"/>
        <w:jc w:val="center"/>
        <w:rPr>
          <w:rFonts w:ascii="Times New Roman" w:hAnsi="Times New Roman"/>
          <w:b/>
          <w:caps/>
          <w:sz w:val="24"/>
          <w:szCs w:val="24"/>
        </w:rPr>
      </w:pPr>
      <w:r w:rsidRPr="00B50AFB">
        <w:rPr>
          <w:rFonts w:ascii="Times New Roman" w:hAnsi="Times New Roman"/>
          <w:b/>
          <w:caps/>
          <w:sz w:val="24"/>
          <w:szCs w:val="24"/>
        </w:rPr>
        <w:t xml:space="preserve">Orders and appeals </w:t>
      </w:r>
    </w:p>
    <w:p w14:paraId="1DF7D979" w14:textId="77777777" w:rsidR="00E94324" w:rsidRPr="0068488D" w:rsidRDefault="00E94324" w:rsidP="0068488D">
      <w:pPr>
        <w:pStyle w:val="ListParagraph"/>
        <w:spacing w:line="360" w:lineRule="auto"/>
        <w:rPr>
          <w:rFonts w:ascii="Times New Roman" w:hAnsi="Times New Roman"/>
          <w:caps/>
          <w:sz w:val="24"/>
        </w:rPr>
      </w:pPr>
      <w:r w:rsidRPr="0068488D">
        <w:rPr>
          <w:rFonts w:ascii="Times New Roman" w:hAnsi="Times New Roman"/>
          <w:caps/>
          <w:sz w:val="24"/>
        </w:rPr>
        <w:t>(ACG 10.6)</w:t>
      </w:r>
    </w:p>
    <w:p w14:paraId="1DF7D97A" w14:textId="77777777"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The time estimate given in the skeleton argument assumes that judgment will be given at the hearing. If so then it will be transcribed but counsel must still make a note in case of an urgent appeal. </w:t>
      </w:r>
      <w:r w:rsidR="00B50AFB">
        <w:rPr>
          <w:rFonts w:ascii="Times New Roman" w:hAnsi="Times New Roman"/>
          <w:sz w:val="24"/>
          <w:szCs w:val="24"/>
        </w:rPr>
        <w:t xml:space="preserve"> However in practice it is rare for judgment to be given at this time.</w:t>
      </w:r>
    </w:p>
    <w:p w14:paraId="1DF7D97B" w14:textId="77777777" w:rsidR="00E94324" w:rsidRPr="008D6B3D" w:rsidRDefault="00E94324" w:rsidP="00B50AFB">
      <w:pPr>
        <w:spacing w:line="360" w:lineRule="auto"/>
        <w:ind w:left="360"/>
        <w:jc w:val="both"/>
        <w:rPr>
          <w:rFonts w:ascii="Times New Roman" w:hAnsi="Times New Roman"/>
          <w:sz w:val="24"/>
          <w:szCs w:val="24"/>
        </w:rPr>
      </w:pPr>
    </w:p>
    <w:p w14:paraId="1DF7D97C" w14:textId="77777777"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If judgment is not given at the hearing then usually a confidential draft judgment will be prepared in advance with a direction for the parties to submit typing corrections and notes of other obvious errors (PD40E). The parties need not attend for handing down of judgment if all consequential orders have been agreed and may not be able to recover costs if they attend when this is unnecessary. The court is not bound by the draft decision </w:t>
      </w:r>
      <w:r w:rsidRPr="008D6B3D">
        <w:rPr>
          <w:rFonts w:ascii="Times New Roman" w:hAnsi="Times New Roman"/>
          <w:sz w:val="24"/>
          <w:szCs w:val="24"/>
        </w:rPr>
        <w:lastRenderedPageBreak/>
        <w:t xml:space="preserve">so circulated and in exceptional cases the court can be invited to alter it – </w:t>
      </w:r>
      <w:r w:rsidRPr="008D6B3D">
        <w:rPr>
          <w:rFonts w:ascii="Times New Roman" w:hAnsi="Times New Roman"/>
          <w:i/>
          <w:sz w:val="24"/>
          <w:szCs w:val="24"/>
        </w:rPr>
        <w:t xml:space="preserve">R (Mohamed) v Secretary of State for Foreign and Commonwealth Affairs (No 2) </w:t>
      </w:r>
      <w:r w:rsidRPr="008D6B3D">
        <w:rPr>
          <w:rFonts w:ascii="Times New Roman" w:hAnsi="Times New Roman"/>
          <w:sz w:val="24"/>
          <w:szCs w:val="24"/>
        </w:rPr>
        <w:t xml:space="preserve"> [2011] QB 218. </w:t>
      </w:r>
    </w:p>
    <w:p w14:paraId="1DF7D97D" w14:textId="77777777" w:rsidR="00E94324" w:rsidRPr="008D6B3D" w:rsidRDefault="00E94324" w:rsidP="00B50AFB">
      <w:pPr>
        <w:spacing w:line="360" w:lineRule="auto"/>
        <w:ind w:left="360"/>
        <w:jc w:val="both"/>
        <w:rPr>
          <w:rFonts w:ascii="Times New Roman" w:hAnsi="Times New Roman"/>
          <w:sz w:val="24"/>
          <w:szCs w:val="24"/>
        </w:rPr>
      </w:pPr>
    </w:p>
    <w:p w14:paraId="1DF7D97E" w14:textId="775E5F9D"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Counsel will usually be asked to agree a draft minute of </w:t>
      </w:r>
      <w:r w:rsidR="00994FE1">
        <w:rPr>
          <w:rFonts w:ascii="Times New Roman" w:hAnsi="Times New Roman"/>
          <w:sz w:val="24"/>
          <w:szCs w:val="24"/>
        </w:rPr>
        <w:t xml:space="preserve">the </w:t>
      </w:r>
      <w:r w:rsidRPr="008D6B3D">
        <w:rPr>
          <w:rFonts w:ascii="Times New Roman" w:hAnsi="Times New Roman"/>
          <w:sz w:val="24"/>
          <w:szCs w:val="24"/>
        </w:rPr>
        <w:t xml:space="preserve">Order to be lodged with the Court. </w:t>
      </w:r>
    </w:p>
    <w:p w14:paraId="1DF7D97F" w14:textId="77777777" w:rsidR="00E94324" w:rsidRPr="008D6B3D" w:rsidRDefault="00E94324" w:rsidP="00B50AFB">
      <w:pPr>
        <w:pStyle w:val="ListParagraph"/>
        <w:jc w:val="both"/>
        <w:rPr>
          <w:rFonts w:ascii="Times New Roman" w:hAnsi="Times New Roman"/>
          <w:sz w:val="24"/>
          <w:szCs w:val="24"/>
        </w:rPr>
      </w:pPr>
    </w:p>
    <w:p w14:paraId="1DF7D980" w14:textId="77777777"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The Court may make any one of the Orders referred to in s. 31 of the SCA 1981 (mandatory, prohibiting, certiorari, declaration or injunction). Each of these remedies is discretionary but the starting point is that in most case in which a decision has been found to be flawed it would not be a proper exercise of discretion to refuse to quash it  </w:t>
      </w:r>
      <w:r w:rsidRPr="008D6B3D">
        <w:rPr>
          <w:rFonts w:ascii="Times New Roman" w:hAnsi="Times New Roman"/>
          <w:i/>
          <w:sz w:val="24"/>
          <w:szCs w:val="24"/>
        </w:rPr>
        <w:t xml:space="preserve">(R (Edwards) v Environment Agency </w:t>
      </w:r>
      <w:r w:rsidRPr="008D6B3D">
        <w:rPr>
          <w:rFonts w:ascii="Times New Roman" w:hAnsi="Times New Roman"/>
          <w:sz w:val="24"/>
          <w:szCs w:val="24"/>
        </w:rPr>
        <w:t>[2009] 1 All ER 57</w:t>
      </w:r>
      <w:r w:rsidR="00B50AFB">
        <w:rPr>
          <w:rFonts w:ascii="Times New Roman" w:hAnsi="Times New Roman"/>
          <w:sz w:val="24"/>
          <w:szCs w:val="24"/>
        </w:rPr>
        <w:t>, [</w:t>
      </w:r>
      <w:r w:rsidRPr="008D6B3D">
        <w:rPr>
          <w:rFonts w:ascii="Times New Roman" w:hAnsi="Times New Roman"/>
          <w:sz w:val="24"/>
          <w:szCs w:val="24"/>
        </w:rPr>
        <w:t>63</w:t>
      </w:r>
      <w:r w:rsidR="00B50AFB">
        <w:rPr>
          <w:rFonts w:ascii="Times New Roman" w:hAnsi="Times New Roman"/>
          <w:sz w:val="24"/>
          <w:szCs w:val="24"/>
        </w:rPr>
        <w:t>]</w:t>
      </w:r>
      <w:r w:rsidRPr="008D6B3D">
        <w:rPr>
          <w:rFonts w:ascii="Times New Roman" w:hAnsi="Times New Roman"/>
          <w:sz w:val="24"/>
          <w:szCs w:val="24"/>
        </w:rPr>
        <w:t>).</w:t>
      </w:r>
      <w:r w:rsidRPr="008D6B3D">
        <w:rPr>
          <w:rFonts w:ascii="Times New Roman" w:hAnsi="Times New Roman"/>
          <w:i/>
          <w:sz w:val="24"/>
          <w:szCs w:val="24"/>
        </w:rPr>
        <w:t xml:space="preserve"> </w:t>
      </w:r>
      <w:r w:rsidRPr="008D6B3D">
        <w:rPr>
          <w:rFonts w:ascii="Times New Roman" w:hAnsi="Times New Roman"/>
          <w:sz w:val="24"/>
          <w:szCs w:val="24"/>
        </w:rPr>
        <w:t xml:space="preserve"> </w:t>
      </w:r>
    </w:p>
    <w:p w14:paraId="1DF7D981" w14:textId="77777777" w:rsidR="00E94324" w:rsidRPr="008D6B3D" w:rsidRDefault="00E94324" w:rsidP="00B50AFB">
      <w:pPr>
        <w:pStyle w:val="ListParagraph"/>
        <w:jc w:val="both"/>
        <w:rPr>
          <w:rFonts w:ascii="Times New Roman" w:hAnsi="Times New Roman"/>
          <w:sz w:val="24"/>
          <w:szCs w:val="24"/>
        </w:rPr>
      </w:pPr>
    </w:p>
    <w:p w14:paraId="1DF7D982" w14:textId="77777777"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If the court quashes a decision and is satisfied that but for the error there is only one decision that the defendant could have reached then it may substitute its own decision for the decision in question (SCA 1981 s. 31(5A)- (5B) and CPR 54.19). SCA s. 43 contains a separate power to vary a sentence in criminal proceedings where the original sentence was unlawful. </w:t>
      </w:r>
    </w:p>
    <w:p w14:paraId="1DF7D983" w14:textId="77777777" w:rsidR="00E94324" w:rsidRPr="008D6B3D" w:rsidRDefault="00E94324" w:rsidP="00E94324">
      <w:pPr>
        <w:pStyle w:val="ListParagraph"/>
        <w:rPr>
          <w:rFonts w:ascii="Times New Roman" w:hAnsi="Times New Roman"/>
          <w:sz w:val="24"/>
          <w:szCs w:val="24"/>
        </w:rPr>
      </w:pPr>
    </w:p>
    <w:p w14:paraId="1DF7D984"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The court may award damages only where damages would have been awarded in a private law claim based on the same facts. Where a judicial review decision may lead to a complex damages claim or the assessment of damages is complex then the court may refer the case to another division or to the County Court for that issue to be dealt with. </w:t>
      </w:r>
    </w:p>
    <w:p w14:paraId="1DF7D985" w14:textId="77777777" w:rsidR="00E94324" w:rsidRPr="008D6B3D" w:rsidRDefault="00E94324" w:rsidP="00E94324">
      <w:pPr>
        <w:spacing w:line="360" w:lineRule="auto"/>
        <w:ind w:left="360"/>
        <w:rPr>
          <w:rFonts w:ascii="Times New Roman" w:hAnsi="Times New Roman"/>
          <w:sz w:val="24"/>
          <w:szCs w:val="24"/>
        </w:rPr>
      </w:pPr>
    </w:p>
    <w:p w14:paraId="1DF7D986"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Once sealed the Order of the Court is final, subject to correction under the slip rule (CPR 40.12).</w:t>
      </w:r>
    </w:p>
    <w:p w14:paraId="1DF7D987" w14:textId="77777777" w:rsidR="00E94324" w:rsidRPr="008D6B3D" w:rsidRDefault="00E94324" w:rsidP="00E94324">
      <w:pPr>
        <w:spacing w:line="360" w:lineRule="auto"/>
        <w:rPr>
          <w:rFonts w:ascii="Times New Roman" w:hAnsi="Times New Roman"/>
          <w:sz w:val="24"/>
          <w:szCs w:val="24"/>
        </w:rPr>
      </w:pPr>
    </w:p>
    <w:p w14:paraId="1DF7D988" w14:textId="77777777" w:rsidR="00E94324" w:rsidRPr="008D6B3D" w:rsidRDefault="00E94324" w:rsidP="005F5903">
      <w:pPr>
        <w:keepNext/>
        <w:spacing w:line="360" w:lineRule="auto"/>
        <w:ind w:firstLine="505"/>
        <w:rPr>
          <w:rFonts w:ascii="Times New Roman" w:hAnsi="Times New Roman"/>
          <w:i/>
          <w:sz w:val="24"/>
          <w:szCs w:val="24"/>
        </w:rPr>
      </w:pPr>
      <w:r w:rsidRPr="008D6B3D">
        <w:rPr>
          <w:rFonts w:ascii="Times New Roman" w:hAnsi="Times New Roman"/>
          <w:i/>
          <w:sz w:val="24"/>
          <w:szCs w:val="24"/>
        </w:rPr>
        <w:lastRenderedPageBreak/>
        <w:t xml:space="preserve">Appeals  </w:t>
      </w:r>
    </w:p>
    <w:p w14:paraId="1DF7D989" w14:textId="77777777" w:rsidR="00E94324" w:rsidRPr="00B50AFB" w:rsidRDefault="00E94324" w:rsidP="005F5903">
      <w:pPr>
        <w:keepNext/>
        <w:spacing w:line="360" w:lineRule="auto"/>
        <w:ind w:firstLine="505"/>
        <w:rPr>
          <w:rFonts w:ascii="Times New Roman" w:hAnsi="Times New Roman"/>
          <w:i/>
          <w:sz w:val="24"/>
          <w:szCs w:val="24"/>
          <w:u w:val="single"/>
        </w:rPr>
      </w:pPr>
      <w:r w:rsidRPr="00B50AFB">
        <w:rPr>
          <w:rFonts w:ascii="Times New Roman" w:hAnsi="Times New Roman"/>
          <w:i/>
          <w:sz w:val="24"/>
          <w:szCs w:val="24"/>
          <w:u w:val="single"/>
        </w:rPr>
        <w:t xml:space="preserve">Civil cases </w:t>
      </w:r>
    </w:p>
    <w:p w14:paraId="1DF7D98A"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In a civil case an appeal lies to the Court of Appeal</w:t>
      </w:r>
      <w:r w:rsidRPr="008D6B3D">
        <w:rPr>
          <w:rFonts w:ascii="Times New Roman" w:hAnsi="Times New Roman"/>
          <w:sz w:val="24"/>
          <w:szCs w:val="24"/>
          <w:vertAlign w:val="superscript"/>
        </w:rPr>
        <w:footnoteReference w:id="9"/>
      </w:r>
      <w:r w:rsidRPr="008D6B3D">
        <w:rPr>
          <w:rFonts w:ascii="Times New Roman" w:hAnsi="Times New Roman"/>
          <w:sz w:val="24"/>
          <w:szCs w:val="24"/>
        </w:rPr>
        <w:t>, with permission of either the lower court or Court of Appeal. It is not necessary to seek permission from the lower court but it is usual to do so. Permission will only be granted by either court if either [Part 52.6]:</w:t>
      </w:r>
    </w:p>
    <w:p w14:paraId="1DF7D98B" w14:textId="77777777" w:rsidR="00E94324" w:rsidRPr="008D6B3D" w:rsidRDefault="00E94324" w:rsidP="00E94324">
      <w:pPr>
        <w:spacing w:line="360" w:lineRule="auto"/>
        <w:ind w:left="360"/>
        <w:rPr>
          <w:rFonts w:ascii="Times New Roman" w:hAnsi="Times New Roman"/>
          <w:sz w:val="24"/>
          <w:szCs w:val="24"/>
        </w:rPr>
      </w:pPr>
    </w:p>
    <w:p w14:paraId="1DF7D98C" w14:textId="77777777" w:rsidR="00E94324" w:rsidRPr="008D6B3D" w:rsidRDefault="00E94324" w:rsidP="006F53FC">
      <w:pPr>
        <w:numPr>
          <w:ilvl w:val="1"/>
          <w:numId w:val="31"/>
        </w:numPr>
        <w:spacing w:after="0" w:line="360" w:lineRule="auto"/>
        <w:rPr>
          <w:rFonts w:ascii="Times New Roman" w:hAnsi="Times New Roman"/>
          <w:sz w:val="24"/>
          <w:szCs w:val="24"/>
        </w:rPr>
      </w:pPr>
      <w:r w:rsidRPr="008D6B3D">
        <w:rPr>
          <w:rFonts w:ascii="Times New Roman" w:hAnsi="Times New Roman"/>
          <w:sz w:val="24"/>
          <w:szCs w:val="24"/>
        </w:rPr>
        <w:t xml:space="preserve">There is a real prospect of success or </w:t>
      </w:r>
    </w:p>
    <w:p w14:paraId="1DF7D98D" w14:textId="77777777" w:rsidR="00E94324" w:rsidRPr="008D6B3D" w:rsidRDefault="00E94324" w:rsidP="00E94324">
      <w:pPr>
        <w:spacing w:line="360" w:lineRule="auto"/>
        <w:ind w:left="1080"/>
        <w:rPr>
          <w:rFonts w:ascii="Times New Roman" w:hAnsi="Times New Roman"/>
          <w:sz w:val="24"/>
          <w:szCs w:val="24"/>
        </w:rPr>
      </w:pPr>
    </w:p>
    <w:p w14:paraId="1DF7D98E" w14:textId="77777777" w:rsidR="00E94324" w:rsidRPr="008D6B3D" w:rsidRDefault="00E94324" w:rsidP="006F53FC">
      <w:pPr>
        <w:numPr>
          <w:ilvl w:val="1"/>
          <w:numId w:val="31"/>
        </w:numPr>
        <w:spacing w:after="0" w:line="360" w:lineRule="auto"/>
        <w:rPr>
          <w:rFonts w:ascii="Times New Roman" w:hAnsi="Times New Roman"/>
          <w:sz w:val="24"/>
          <w:szCs w:val="24"/>
        </w:rPr>
      </w:pPr>
      <w:r w:rsidRPr="008D6B3D">
        <w:rPr>
          <w:rFonts w:ascii="Times New Roman" w:hAnsi="Times New Roman"/>
          <w:sz w:val="24"/>
          <w:szCs w:val="24"/>
        </w:rPr>
        <w:t xml:space="preserve">There is some other compelling reason why the appeal should be heard. This can lead to an appeal on a point of public importance even if the prospects of success are poor – </w:t>
      </w:r>
      <w:r w:rsidRPr="008D6B3D">
        <w:rPr>
          <w:rFonts w:ascii="Times New Roman" w:hAnsi="Times New Roman"/>
          <w:i/>
          <w:sz w:val="24"/>
          <w:szCs w:val="24"/>
        </w:rPr>
        <w:t>R (</w:t>
      </w:r>
      <w:proofErr w:type="spellStart"/>
      <w:r w:rsidRPr="008D6B3D">
        <w:rPr>
          <w:rFonts w:ascii="Times New Roman" w:hAnsi="Times New Roman"/>
          <w:i/>
          <w:sz w:val="24"/>
          <w:szCs w:val="24"/>
        </w:rPr>
        <w:t>Benabdelaziz</w:t>
      </w:r>
      <w:proofErr w:type="spellEnd"/>
      <w:r w:rsidRPr="008D6B3D">
        <w:rPr>
          <w:rFonts w:ascii="Times New Roman" w:hAnsi="Times New Roman"/>
          <w:i/>
          <w:sz w:val="24"/>
          <w:szCs w:val="24"/>
        </w:rPr>
        <w:t>) v Haringey LBC</w:t>
      </w:r>
      <w:r w:rsidRPr="008D6B3D">
        <w:rPr>
          <w:rFonts w:ascii="Times New Roman" w:hAnsi="Times New Roman"/>
          <w:sz w:val="24"/>
          <w:szCs w:val="24"/>
        </w:rPr>
        <w:t xml:space="preserve"> [2001] EWCA Civ. </w:t>
      </w:r>
    </w:p>
    <w:p w14:paraId="1DF7D98F" w14:textId="77777777" w:rsidR="00E94324" w:rsidRPr="008D6B3D" w:rsidRDefault="00E94324" w:rsidP="00E94324">
      <w:pPr>
        <w:spacing w:line="360" w:lineRule="auto"/>
        <w:ind w:left="1080"/>
        <w:rPr>
          <w:rFonts w:ascii="Times New Roman" w:hAnsi="Times New Roman"/>
          <w:sz w:val="24"/>
          <w:szCs w:val="24"/>
        </w:rPr>
      </w:pPr>
    </w:p>
    <w:p w14:paraId="1DF7D990"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Time for appealing runs from the date on which the decision is given and not the date on which the order is sealed [CPR 52.12]. </w:t>
      </w:r>
    </w:p>
    <w:p w14:paraId="1DF7D991" w14:textId="77777777" w:rsidR="00E94324" w:rsidRPr="008D6B3D" w:rsidRDefault="00E94324" w:rsidP="00E94324">
      <w:pPr>
        <w:spacing w:line="360" w:lineRule="auto"/>
        <w:ind w:left="360"/>
        <w:rPr>
          <w:rFonts w:ascii="Times New Roman" w:hAnsi="Times New Roman"/>
          <w:sz w:val="24"/>
          <w:szCs w:val="24"/>
        </w:rPr>
      </w:pPr>
    </w:p>
    <w:p w14:paraId="1DF7D992"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An application for permission to the Administrative Court is usually made when judgment is handed down. If time permits then it should be accompanied by draft grounds of appeal. An application for permission to the Court of Appeal is contained in the Notice of Appeal (N161) itself and must be accompanied by grounds and a skeleton argument in support. </w:t>
      </w:r>
    </w:p>
    <w:p w14:paraId="1DF7D993" w14:textId="77777777" w:rsidR="00E94324" w:rsidRPr="008D6B3D" w:rsidRDefault="00E94324" w:rsidP="00E94324">
      <w:pPr>
        <w:spacing w:line="360" w:lineRule="auto"/>
        <w:ind w:left="360"/>
        <w:rPr>
          <w:rFonts w:ascii="Times New Roman" w:hAnsi="Times New Roman"/>
          <w:sz w:val="24"/>
          <w:szCs w:val="24"/>
        </w:rPr>
      </w:pPr>
    </w:p>
    <w:p w14:paraId="1DF7D994"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The Appellant has 21 days to appeal but this time limit can be extended by the Administrative Court whether or not it actually grants permission provided the application is made within the 21 day period. Any application for an extension outside that period must be made to the Court of Appeal. </w:t>
      </w:r>
    </w:p>
    <w:p w14:paraId="1DF7D995" w14:textId="77777777" w:rsidR="00E94324" w:rsidRPr="008D6B3D" w:rsidRDefault="00E94324" w:rsidP="00E94324">
      <w:pPr>
        <w:spacing w:line="360" w:lineRule="auto"/>
        <w:rPr>
          <w:rFonts w:ascii="Times New Roman" w:hAnsi="Times New Roman"/>
          <w:sz w:val="24"/>
          <w:szCs w:val="24"/>
        </w:rPr>
      </w:pPr>
    </w:p>
    <w:p w14:paraId="1DF7D996" w14:textId="77777777" w:rsidR="00E94324" w:rsidRPr="00B50AFB" w:rsidRDefault="00E94324" w:rsidP="005F5903">
      <w:pPr>
        <w:keepNext/>
        <w:spacing w:line="360" w:lineRule="auto"/>
        <w:ind w:left="505"/>
        <w:rPr>
          <w:rFonts w:ascii="Times New Roman" w:hAnsi="Times New Roman"/>
          <w:i/>
          <w:sz w:val="24"/>
          <w:szCs w:val="24"/>
          <w:u w:val="single"/>
        </w:rPr>
      </w:pPr>
      <w:r w:rsidRPr="00B50AFB">
        <w:rPr>
          <w:rFonts w:ascii="Times New Roman" w:hAnsi="Times New Roman"/>
          <w:i/>
          <w:sz w:val="24"/>
          <w:szCs w:val="24"/>
          <w:u w:val="single"/>
        </w:rPr>
        <w:lastRenderedPageBreak/>
        <w:t xml:space="preserve">Criminal cases </w:t>
      </w:r>
    </w:p>
    <w:p w14:paraId="1DF7D997"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In the case of a criminal cause or matter an appeal lies to the Supreme Court (under the Administration of Justice Act 1960). It is a precondition of such an appeal that: </w:t>
      </w:r>
    </w:p>
    <w:p w14:paraId="1DF7D998" w14:textId="77777777" w:rsidR="00E94324" w:rsidRPr="008D6B3D" w:rsidRDefault="00E94324" w:rsidP="00E94324">
      <w:pPr>
        <w:spacing w:line="360" w:lineRule="auto"/>
        <w:ind w:left="360"/>
        <w:rPr>
          <w:rFonts w:ascii="Times New Roman" w:hAnsi="Times New Roman"/>
          <w:sz w:val="24"/>
          <w:szCs w:val="24"/>
        </w:rPr>
      </w:pPr>
    </w:p>
    <w:p w14:paraId="1DF7D999" w14:textId="77777777" w:rsidR="00E94324" w:rsidRPr="008D6B3D" w:rsidRDefault="00E94324" w:rsidP="006F53FC">
      <w:pPr>
        <w:numPr>
          <w:ilvl w:val="1"/>
          <w:numId w:val="31"/>
        </w:numPr>
        <w:spacing w:after="0" w:line="360" w:lineRule="auto"/>
        <w:rPr>
          <w:rFonts w:ascii="Times New Roman" w:hAnsi="Times New Roman"/>
          <w:sz w:val="24"/>
          <w:szCs w:val="24"/>
        </w:rPr>
      </w:pPr>
      <w:r w:rsidRPr="008D6B3D">
        <w:rPr>
          <w:rFonts w:ascii="Times New Roman" w:hAnsi="Times New Roman"/>
          <w:sz w:val="24"/>
          <w:szCs w:val="24"/>
        </w:rPr>
        <w:t xml:space="preserve">The High Court grants a certificate that the case raises a point of law of general public importance. Only the High Court can grant this. </w:t>
      </w:r>
    </w:p>
    <w:p w14:paraId="1DF7D99A" w14:textId="77777777" w:rsidR="00E94324" w:rsidRPr="008D6B3D" w:rsidRDefault="00E94324" w:rsidP="00E94324">
      <w:pPr>
        <w:spacing w:line="360" w:lineRule="auto"/>
        <w:ind w:left="1080"/>
        <w:rPr>
          <w:rFonts w:ascii="Times New Roman" w:hAnsi="Times New Roman"/>
          <w:sz w:val="24"/>
          <w:szCs w:val="24"/>
        </w:rPr>
      </w:pPr>
    </w:p>
    <w:p w14:paraId="1DF7D99B" w14:textId="77777777" w:rsidR="00E94324" w:rsidRPr="008D6B3D" w:rsidRDefault="00E94324" w:rsidP="006F53FC">
      <w:pPr>
        <w:numPr>
          <w:ilvl w:val="1"/>
          <w:numId w:val="31"/>
        </w:numPr>
        <w:spacing w:after="0" w:line="360" w:lineRule="auto"/>
        <w:rPr>
          <w:rFonts w:ascii="Times New Roman" w:hAnsi="Times New Roman"/>
          <w:sz w:val="24"/>
          <w:szCs w:val="24"/>
        </w:rPr>
      </w:pPr>
      <w:r w:rsidRPr="008D6B3D">
        <w:rPr>
          <w:rFonts w:ascii="Times New Roman" w:hAnsi="Times New Roman"/>
          <w:sz w:val="24"/>
          <w:szCs w:val="24"/>
        </w:rPr>
        <w:t>The High Court or the Supreme Court grants leave to appeal. An application must be made first to the High Court but in practice it is very rare that court to grant leave. An application for leave to appeal must be made to the Administrative Court within 28 days of the decision and must be accompanied by a draft of the question that the Court is being asked to certify. If that Court refuses permission then the Appellant must present a petition to the Supreme Court within 28 days.</w:t>
      </w:r>
    </w:p>
    <w:p w14:paraId="1DF7D99C" w14:textId="77777777" w:rsidR="00E94324" w:rsidRDefault="00E94324" w:rsidP="00E94324">
      <w:pPr>
        <w:pStyle w:val="ListParagraph"/>
        <w:rPr>
          <w:rFonts w:ascii="Times New Roman" w:hAnsi="Times New Roman"/>
          <w:sz w:val="24"/>
          <w:szCs w:val="24"/>
        </w:rPr>
      </w:pPr>
    </w:p>
    <w:p w14:paraId="1DF7D99D" w14:textId="77777777" w:rsidR="00B50AFB" w:rsidRPr="008D6B3D" w:rsidRDefault="00B50AFB" w:rsidP="00E94324">
      <w:pPr>
        <w:pStyle w:val="ListParagraph"/>
        <w:rPr>
          <w:rFonts w:ascii="Times New Roman" w:hAnsi="Times New Roman"/>
          <w:sz w:val="24"/>
          <w:szCs w:val="24"/>
        </w:rPr>
      </w:pPr>
    </w:p>
    <w:p w14:paraId="1DF7D99E" w14:textId="79ECFE2E" w:rsidR="00E94324" w:rsidRPr="005F5903" w:rsidRDefault="00E94324" w:rsidP="005F5903">
      <w:pPr>
        <w:pStyle w:val="ListParagraph"/>
        <w:numPr>
          <w:ilvl w:val="0"/>
          <w:numId w:val="30"/>
        </w:numPr>
        <w:spacing w:line="360" w:lineRule="auto"/>
        <w:jc w:val="center"/>
        <w:rPr>
          <w:rFonts w:ascii="Times New Roman" w:hAnsi="Times New Roman"/>
          <w:b/>
          <w:caps/>
          <w:sz w:val="24"/>
          <w:szCs w:val="24"/>
        </w:rPr>
      </w:pPr>
      <w:r w:rsidRPr="005F5903">
        <w:rPr>
          <w:rFonts w:ascii="Times New Roman" w:hAnsi="Times New Roman"/>
          <w:b/>
          <w:caps/>
          <w:sz w:val="24"/>
          <w:szCs w:val="24"/>
        </w:rPr>
        <w:t>Costs (ACG 23)</w:t>
      </w:r>
    </w:p>
    <w:p w14:paraId="1DF7D99F" w14:textId="77777777"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The CPR do</w:t>
      </w:r>
      <w:r w:rsidR="00B50AFB">
        <w:rPr>
          <w:rFonts w:ascii="Times New Roman" w:hAnsi="Times New Roman"/>
          <w:sz w:val="24"/>
          <w:szCs w:val="24"/>
        </w:rPr>
        <w:t>es</w:t>
      </w:r>
      <w:r w:rsidRPr="008D6B3D">
        <w:rPr>
          <w:rFonts w:ascii="Times New Roman" w:hAnsi="Times New Roman"/>
          <w:sz w:val="24"/>
          <w:szCs w:val="24"/>
        </w:rPr>
        <w:t xml:space="preserve"> not recognise a particular costs regime applicable to judicial review. Costs orders therefore have to be fitted within a framework mainly designed to cope with litigation between private parties. </w:t>
      </w:r>
    </w:p>
    <w:p w14:paraId="1DF7D9A0" w14:textId="77777777" w:rsidR="00E94324" w:rsidRPr="008D6B3D" w:rsidRDefault="00E94324" w:rsidP="00B50AFB">
      <w:pPr>
        <w:spacing w:line="360" w:lineRule="auto"/>
        <w:ind w:left="360"/>
        <w:jc w:val="both"/>
        <w:rPr>
          <w:rFonts w:ascii="Times New Roman" w:hAnsi="Times New Roman"/>
          <w:sz w:val="24"/>
          <w:szCs w:val="24"/>
        </w:rPr>
      </w:pPr>
    </w:p>
    <w:p w14:paraId="1DF7D9A1" w14:textId="77777777"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Costs are in the discretion of the Court (s. 52 of the Senior Courts Act 1981). Guidance is given in CPR Part 44.2 about how this discretion should be exercised. The general rule is that costs follow the event but the court may make a different order. Relevant factors include how far a party has succeeded and their conduct.</w:t>
      </w:r>
    </w:p>
    <w:p w14:paraId="1DF7D9A2" w14:textId="77777777" w:rsidR="00E94324" w:rsidRPr="008D6B3D" w:rsidRDefault="00E94324" w:rsidP="00B50AFB">
      <w:pPr>
        <w:spacing w:line="360" w:lineRule="auto"/>
        <w:ind w:left="360"/>
        <w:jc w:val="both"/>
        <w:rPr>
          <w:rFonts w:ascii="Times New Roman" w:hAnsi="Times New Roman"/>
          <w:sz w:val="24"/>
          <w:szCs w:val="24"/>
        </w:rPr>
      </w:pPr>
    </w:p>
    <w:p w14:paraId="1DF7D9A3" w14:textId="77777777"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For many judicial review hearings the court will want to conduct a summary assessment of costs PD 44 para 9. The Court will normally do so in any case lasting less than one day. A schedule of costs must be served not less than 24 hours before the hearing. The </w:t>
      </w:r>
      <w:r w:rsidRPr="008D6B3D">
        <w:rPr>
          <w:rFonts w:ascii="Times New Roman" w:hAnsi="Times New Roman"/>
          <w:sz w:val="24"/>
          <w:szCs w:val="24"/>
        </w:rPr>
        <w:lastRenderedPageBreak/>
        <w:t xml:space="preserve">court will not make a summary assessment of the costs of a publicly funded litigant but may so assess the costs payable by them. </w:t>
      </w:r>
    </w:p>
    <w:p w14:paraId="1DF7D9A4" w14:textId="77777777" w:rsidR="00E94324" w:rsidRPr="008D6B3D" w:rsidRDefault="00E94324" w:rsidP="00E94324">
      <w:pPr>
        <w:spacing w:line="360" w:lineRule="auto"/>
        <w:ind w:left="360"/>
        <w:rPr>
          <w:rFonts w:ascii="Times New Roman" w:hAnsi="Times New Roman"/>
          <w:sz w:val="24"/>
          <w:szCs w:val="24"/>
        </w:rPr>
      </w:pPr>
    </w:p>
    <w:p w14:paraId="1DF7D9A5" w14:textId="77777777" w:rsidR="00E94324" w:rsidRPr="008D6B3D" w:rsidRDefault="00E94324" w:rsidP="00E94324">
      <w:pPr>
        <w:spacing w:line="360" w:lineRule="auto"/>
        <w:ind w:firstLine="502"/>
        <w:rPr>
          <w:rFonts w:ascii="Times New Roman" w:hAnsi="Times New Roman"/>
          <w:sz w:val="24"/>
          <w:szCs w:val="24"/>
        </w:rPr>
      </w:pPr>
      <w:r w:rsidRPr="008D6B3D">
        <w:rPr>
          <w:rFonts w:ascii="Times New Roman" w:hAnsi="Times New Roman"/>
          <w:i/>
          <w:sz w:val="24"/>
          <w:szCs w:val="24"/>
        </w:rPr>
        <w:t>Public interest litigation</w:t>
      </w:r>
      <w:r w:rsidRPr="008D6B3D">
        <w:rPr>
          <w:rFonts w:ascii="Times New Roman" w:hAnsi="Times New Roman"/>
          <w:sz w:val="24"/>
          <w:szCs w:val="24"/>
        </w:rPr>
        <w:t xml:space="preserve"> </w:t>
      </w:r>
    </w:p>
    <w:p w14:paraId="1DF7D9A6" w14:textId="77777777" w:rsidR="00E94324" w:rsidRPr="008D6B3D" w:rsidRDefault="00E94324" w:rsidP="00B50AFB">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Where a Claimant has brought a claim concerning an issue of genuine public importance then that may be a reason not to award to a successful Defendant. </w:t>
      </w:r>
      <w:r w:rsidRPr="008D6B3D">
        <w:rPr>
          <w:rFonts w:ascii="Times New Roman" w:hAnsi="Times New Roman"/>
          <w:i/>
          <w:sz w:val="24"/>
          <w:szCs w:val="24"/>
        </w:rPr>
        <w:t>New Zealand Maori Council v AG of New Zealand</w:t>
      </w:r>
      <w:r w:rsidRPr="008D6B3D">
        <w:rPr>
          <w:rFonts w:ascii="Times New Roman" w:hAnsi="Times New Roman"/>
          <w:sz w:val="24"/>
          <w:szCs w:val="24"/>
        </w:rPr>
        <w:t xml:space="preserve"> [1994] 1 AC 466; </w:t>
      </w:r>
      <w:r w:rsidRPr="008D6B3D">
        <w:rPr>
          <w:rFonts w:ascii="Times New Roman" w:hAnsi="Times New Roman"/>
          <w:i/>
          <w:sz w:val="24"/>
          <w:szCs w:val="24"/>
        </w:rPr>
        <w:t>R (Friends of the Earth &amp; Greenpeace) v Secretary of State</w:t>
      </w:r>
      <w:r w:rsidRPr="008D6B3D">
        <w:rPr>
          <w:rFonts w:ascii="Times New Roman" w:hAnsi="Times New Roman"/>
          <w:sz w:val="24"/>
          <w:szCs w:val="24"/>
        </w:rPr>
        <w:t xml:space="preserve"> [2001] EWCA </w:t>
      </w:r>
      <w:proofErr w:type="spellStart"/>
      <w:r w:rsidRPr="008D6B3D">
        <w:rPr>
          <w:rFonts w:ascii="Times New Roman" w:hAnsi="Times New Roman"/>
          <w:sz w:val="24"/>
          <w:szCs w:val="24"/>
        </w:rPr>
        <w:t>Civ</w:t>
      </w:r>
      <w:proofErr w:type="spellEnd"/>
      <w:r w:rsidRPr="008D6B3D">
        <w:rPr>
          <w:rFonts w:ascii="Times New Roman" w:hAnsi="Times New Roman"/>
          <w:sz w:val="24"/>
          <w:szCs w:val="24"/>
        </w:rPr>
        <w:t xml:space="preserve"> 1950). The difficulty in predicting whether or not this will be the outcome after a trial led to the development of protective costs orders (now costs capping orders). </w:t>
      </w:r>
    </w:p>
    <w:p w14:paraId="1DF7D9A7" w14:textId="77777777" w:rsidR="00E94324" w:rsidRPr="008D6B3D" w:rsidRDefault="00E94324" w:rsidP="00B50AFB">
      <w:pPr>
        <w:spacing w:line="360" w:lineRule="auto"/>
        <w:ind w:left="360"/>
        <w:jc w:val="both"/>
        <w:rPr>
          <w:rFonts w:ascii="Times New Roman" w:hAnsi="Times New Roman"/>
          <w:sz w:val="24"/>
          <w:szCs w:val="24"/>
        </w:rPr>
      </w:pPr>
    </w:p>
    <w:p w14:paraId="1DF7D9A8" w14:textId="77777777" w:rsidR="00E94324" w:rsidRPr="008D6B3D" w:rsidRDefault="00E94324" w:rsidP="00B50AFB">
      <w:pPr>
        <w:numPr>
          <w:ilvl w:val="0"/>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rPr>
        <w:t xml:space="preserve">In other cases (for example, but not limited to those involving best interests declarations) no costs should be awarded to </w:t>
      </w:r>
      <w:r w:rsidRPr="008D6B3D">
        <w:rPr>
          <w:rFonts w:ascii="Times New Roman" w:hAnsi="Times New Roman"/>
          <w:sz w:val="24"/>
          <w:szCs w:val="24"/>
          <w:lang w:val="en-US"/>
        </w:rPr>
        <w:t>reflect “a proper recognition that a judicial resolution of the best interests issue</w:t>
      </w:r>
      <w:r w:rsidRPr="008D6B3D">
        <w:rPr>
          <w:rFonts w:ascii="Times New Roman" w:hAnsi="Times New Roman"/>
          <w:sz w:val="24"/>
          <w:szCs w:val="24"/>
        </w:rPr>
        <w:t xml:space="preserve"> </w:t>
      </w:r>
      <w:r w:rsidRPr="008D6B3D">
        <w:rPr>
          <w:rFonts w:ascii="Times New Roman" w:hAnsi="Times New Roman"/>
          <w:sz w:val="24"/>
          <w:szCs w:val="24"/>
          <w:lang w:val="en-US"/>
        </w:rPr>
        <w:t xml:space="preserve">between two parties with conflicting rights and duties was the only means of resolving it” – </w:t>
      </w:r>
      <w:r w:rsidRPr="008D6B3D">
        <w:rPr>
          <w:rFonts w:ascii="Times New Roman" w:hAnsi="Times New Roman"/>
          <w:i/>
          <w:sz w:val="24"/>
          <w:szCs w:val="24"/>
          <w:lang w:val="en-US"/>
        </w:rPr>
        <w:t>Wyatt v Portsmouth Hospital NHS Trust</w:t>
      </w:r>
      <w:r w:rsidRPr="008D6B3D">
        <w:rPr>
          <w:rFonts w:ascii="Times New Roman" w:hAnsi="Times New Roman"/>
          <w:sz w:val="24"/>
          <w:szCs w:val="24"/>
          <w:lang w:val="en-US"/>
        </w:rPr>
        <w:t xml:space="preserve"> [2006] EWCA Civ 526. The same considerations will not apply on appeal.  </w:t>
      </w:r>
    </w:p>
    <w:p w14:paraId="1DF7D9A9" w14:textId="77777777" w:rsidR="00E94324" w:rsidRPr="008D6B3D" w:rsidRDefault="00E94324" w:rsidP="00B50AFB">
      <w:pPr>
        <w:pStyle w:val="ListParagraph"/>
        <w:jc w:val="both"/>
        <w:rPr>
          <w:rFonts w:ascii="Times New Roman" w:hAnsi="Times New Roman"/>
          <w:sz w:val="24"/>
          <w:szCs w:val="24"/>
          <w:lang w:val="en-US"/>
        </w:rPr>
      </w:pPr>
    </w:p>
    <w:p w14:paraId="1DF7D9AA" w14:textId="77777777" w:rsidR="00E94324" w:rsidRPr="008D6B3D" w:rsidRDefault="00E94324" w:rsidP="00B50AFB">
      <w:pPr>
        <w:numPr>
          <w:ilvl w:val="0"/>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 xml:space="preserve">A claimant may be ordered to pay costs where they pursue a claim unnecessarily. In </w:t>
      </w:r>
      <w:r w:rsidRPr="008D6B3D">
        <w:rPr>
          <w:rFonts w:ascii="Times New Roman" w:hAnsi="Times New Roman"/>
          <w:i/>
          <w:sz w:val="24"/>
          <w:szCs w:val="24"/>
          <w:lang w:val="en-US"/>
        </w:rPr>
        <w:t>R (</w:t>
      </w:r>
      <w:proofErr w:type="spellStart"/>
      <w:r w:rsidRPr="008D6B3D">
        <w:rPr>
          <w:rFonts w:ascii="Times New Roman" w:hAnsi="Times New Roman"/>
          <w:i/>
          <w:sz w:val="24"/>
          <w:szCs w:val="24"/>
          <w:lang w:val="en-US"/>
        </w:rPr>
        <w:t>Khullar</w:t>
      </w:r>
      <w:proofErr w:type="spellEnd"/>
      <w:r w:rsidRPr="008D6B3D">
        <w:rPr>
          <w:rFonts w:ascii="Times New Roman" w:hAnsi="Times New Roman"/>
          <w:i/>
          <w:sz w:val="24"/>
          <w:szCs w:val="24"/>
          <w:lang w:val="en-US"/>
        </w:rPr>
        <w:t xml:space="preserve">) v (1) </w:t>
      </w:r>
      <w:proofErr w:type="spellStart"/>
      <w:r w:rsidRPr="008D6B3D">
        <w:rPr>
          <w:rFonts w:ascii="Times New Roman" w:hAnsi="Times New Roman"/>
          <w:i/>
          <w:sz w:val="24"/>
          <w:szCs w:val="24"/>
          <w:lang w:val="en-US"/>
        </w:rPr>
        <w:t>Feltham</w:t>
      </w:r>
      <w:proofErr w:type="spellEnd"/>
      <w:r w:rsidRPr="008D6B3D">
        <w:rPr>
          <w:rFonts w:ascii="Times New Roman" w:hAnsi="Times New Roman"/>
          <w:i/>
          <w:sz w:val="24"/>
          <w:szCs w:val="24"/>
          <w:lang w:val="en-US"/>
        </w:rPr>
        <w:t xml:space="preserve"> Magistrates Court, (2) Hounslow LBC </w:t>
      </w:r>
      <w:r w:rsidRPr="008D6B3D">
        <w:rPr>
          <w:rFonts w:ascii="Times New Roman" w:hAnsi="Times New Roman"/>
          <w:sz w:val="24"/>
          <w:szCs w:val="24"/>
          <w:lang w:val="en-US"/>
        </w:rPr>
        <w:t xml:space="preserve">OBD Phillip Mott QC 17 Apr 2013 a claimant brought proceedings to set aside a liability order for council tax. The order was set aside and the claimant was invited to withdraw his claim but did not do so. The authority was awarded its costs after the order had been set aside. </w:t>
      </w:r>
    </w:p>
    <w:p w14:paraId="1DF7D9AB" w14:textId="77777777" w:rsidR="00E94324" w:rsidRPr="008D6B3D" w:rsidRDefault="00E94324" w:rsidP="0068488D">
      <w:pPr>
        <w:spacing w:line="360" w:lineRule="auto"/>
        <w:ind w:left="360"/>
        <w:jc w:val="both"/>
        <w:rPr>
          <w:rFonts w:ascii="Times New Roman" w:hAnsi="Times New Roman"/>
          <w:sz w:val="24"/>
          <w:szCs w:val="24"/>
          <w:lang w:val="en-US"/>
        </w:rPr>
      </w:pPr>
    </w:p>
    <w:p w14:paraId="1DF7D9AC" w14:textId="77777777" w:rsidR="00E94324" w:rsidRPr="008D6B3D" w:rsidRDefault="00E94324" w:rsidP="0068488D">
      <w:pPr>
        <w:spacing w:line="360" w:lineRule="auto"/>
        <w:ind w:firstLine="502"/>
        <w:jc w:val="both"/>
        <w:rPr>
          <w:rFonts w:ascii="Times New Roman" w:hAnsi="Times New Roman"/>
          <w:sz w:val="24"/>
          <w:szCs w:val="24"/>
          <w:lang w:val="en-US"/>
        </w:rPr>
      </w:pPr>
      <w:r w:rsidRPr="008D6B3D">
        <w:rPr>
          <w:rFonts w:ascii="Times New Roman" w:hAnsi="Times New Roman"/>
          <w:i/>
          <w:sz w:val="24"/>
          <w:szCs w:val="24"/>
        </w:rPr>
        <w:t>Partial success</w:t>
      </w:r>
    </w:p>
    <w:p w14:paraId="1DF7D9AD" w14:textId="22521B4B" w:rsidR="00E94324" w:rsidRPr="008D6B3D" w:rsidRDefault="00E94324" w:rsidP="0068488D">
      <w:pPr>
        <w:numPr>
          <w:ilvl w:val="0"/>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rPr>
        <w:t xml:space="preserve">Orders the Court may make include those listed in CPR 44.2.6. These include an order that the paying party pay costs up to or from a certain date, or that they pay a proportion only of the costs, or that they pay the costs of a certain issue only. The court must avoid an </w:t>
      </w:r>
      <w:r w:rsidR="00994FE1">
        <w:rPr>
          <w:rFonts w:ascii="Times New Roman" w:hAnsi="Times New Roman"/>
          <w:sz w:val="24"/>
          <w:szCs w:val="24"/>
        </w:rPr>
        <w:t>‘issue’</w:t>
      </w:r>
      <w:r w:rsidRPr="008D6B3D">
        <w:rPr>
          <w:rFonts w:ascii="Times New Roman" w:hAnsi="Times New Roman"/>
          <w:sz w:val="24"/>
          <w:szCs w:val="24"/>
        </w:rPr>
        <w:t xml:space="preserve"> order if it can do so (CPR 44.3(7)).</w:t>
      </w:r>
      <w:r w:rsidRPr="008D6B3D">
        <w:rPr>
          <w:rFonts w:ascii="Times New Roman" w:hAnsi="Times New Roman"/>
          <w:sz w:val="24"/>
          <w:szCs w:val="24"/>
          <w:lang w:val="en-US"/>
        </w:rPr>
        <w:t xml:space="preserve"> </w:t>
      </w:r>
      <w:r w:rsidRPr="008D6B3D">
        <w:rPr>
          <w:rFonts w:ascii="Times New Roman" w:hAnsi="Times New Roman"/>
          <w:sz w:val="24"/>
          <w:szCs w:val="24"/>
        </w:rPr>
        <w:t xml:space="preserve">The Court should start by asking which party has been successful overall and then ask whether there is a good reason to make a different order from the normal one. </w:t>
      </w:r>
    </w:p>
    <w:p w14:paraId="1DF7D9AE" w14:textId="77777777" w:rsidR="00E94324" w:rsidRPr="008D6B3D" w:rsidRDefault="00E94324" w:rsidP="0068488D">
      <w:pPr>
        <w:spacing w:line="360" w:lineRule="auto"/>
        <w:ind w:left="360"/>
        <w:jc w:val="both"/>
        <w:rPr>
          <w:rFonts w:ascii="Times New Roman" w:hAnsi="Times New Roman"/>
          <w:sz w:val="24"/>
          <w:szCs w:val="24"/>
          <w:lang w:val="en-US"/>
        </w:rPr>
      </w:pPr>
    </w:p>
    <w:p w14:paraId="1DF7D9AF" w14:textId="1A37C721" w:rsidR="00E94324" w:rsidRPr="008D6B3D" w:rsidRDefault="00E94324" w:rsidP="0068488D">
      <w:pPr>
        <w:numPr>
          <w:ilvl w:val="1"/>
          <w:numId w:val="31"/>
        </w:numPr>
        <w:spacing w:after="0" w:line="360" w:lineRule="auto"/>
        <w:jc w:val="both"/>
        <w:rPr>
          <w:rFonts w:ascii="Times New Roman" w:hAnsi="Times New Roman"/>
          <w:sz w:val="24"/>
          <w:szCs w:val="24"/>
          <w:lang w:val="en-US"/>
        </w:rPr>
      </w:pPr>
      <w:r w:rsidRPr="008D6B3D">
        <w:rPr>
          <w:rFonts w:ascii="Times New Roman" w:hAnsi="Times New Roman"/>
          <w:i/>
          <w:sz w:val="24"/>
          <w:szCs w:val="24"/>
        </w:rPr>
        <w:t>R (Bateman) v Legal Services Commission</w:t>
      </w:r>
      <w:r w:rsidRPr="008D6B3D">
        <w:rPr>
          <w:rFonts w:ascii="Times New Roman" w:hAnsi="Times New Roman"/>
          <w:sz w:val="24"/>
          <w:szCs w:val="24"/>
        </w:rPr>
        <w:t xml:space="preserve"> [2001] EWHC Admin 797 – Claimants succeeded in quashing a decision of the LSC but were deprived of 25% and 15% of their costs respectively of the issues on which they failed. CPR 44.3 can </w:t>
      </w:r>
      <w:r w:rsidRPr="0068488D">
        <w:rPr>
          <w:rFonts w:ascii="Times New Roman" w:hAnsi="Times New Roman"/>
          <w:i/>
          <w:sz w:val="24"/>
        </w:rPr>
        <w:t>“properly and where appropriate should be applied in such a way as positively to encourage litigants to be selective as to the points they take and positively to discourage litigants taking a multiplicity of bad points</w:t>
      </w:r>
      <w:r w:rsidR="00994FE1">
        <w:rPr>
          <w:rFonts w:ascii="Times New Roman" w:hAnsi="Times New Roman"/>
          <w:i/>
          <w:sz w:val="24"/>
          <w:szCs w:val="24"/>
        </w:rPr>
        <w:t>”:</w:t>
      </w:r>
      <w:r w:rsidRPr="0068488D">
        <w:rPr>
          <w:rFonts w:ascii="Times New Roman" w:hAnsi="Times New Roman"/>
          <w:i/>
          <w:sz w:val="24"/>
        </w:rPr>
        <w:t xml:space="preserve"> </w:t>
      </w:r>
      <w:r w:rsidRPr="008D6B3D">
        <w:rPr>
          <w:rFonts w:ascii="Times New Roman" w:hAnsi="Times New Roman"/>
          <w:sz w:val="24"/>
          <w:szCs w:val="24"/>
        </w:rPr>
        <w:t xml:space="preserve">Munby J at </w:t>
      </w:r>
      <w:r w:rsidR="00994FE1">
        <w:rPr>
          <w:rFonts w:ascii="Times New Roman" w:hAnsi="Times New Roman"/>
          <w:sz w:val="24"/>
          <w:szCs w:val="24"/>
        </w:rPr>
        <w:t>[</w:t>
      </w:r>
      <w:r w:rsidRPr="008D6B3D">
        <w:rPr>
          <w:rFonts w:ascii="Times New Roman" w:hAnsi="Times New Roman"/>
          <w:sz w:val="24"/>
          <w:szCs w:val="24"/>
        </w:rPr>
        <w:t>18</w:t>
      </w:r>
      <w:r w:rsidRPr="008D6B3D">
        <w:rPr>
          <w:rFonts w:ascii="Times New Roman" w:hAnsi="Times New Roman"/>
          <w:sz w:val="24"/>
          <w:szCs w:val="24"/>
        </w:rPr>
        <w:footnoteReference w:id="10"/>
      </w:r>
      <w:r w:rsidR="00994FE1">
        <w:rPr>
          <w:rFonts w:ascii="Times New Roman" w:hAnsi="Times New Roman"/>
          <w:sz w:val="24"/>
          <w:szCs w:val="24"/>
        </w:rPr>
        <w:t>]</w:t>
      </w:r>
      <w:r w:rsidRPr="008D6B3D">
        <w:rPr>
          <w:rFonts w:ascii="Times New Roman" w:hAnsi="Times New Roman"/>
          <w:sz w:val="24"/>
          <w:szCs w:val="24"/>
        </w:rPr>
        <w:t xml:space="preserve">. </w:t>
      </w:r>
    </w:p>
    <w:p w14:paraId="1DF7D9B0" w14:textId="77777777" w:rsidR="00E94324" w:rsidRPr="008D6B3D" w:rsidRDefault="00E94324" w:rsidP="00E94324">
      <w:pPr>
        <w:spacing w:line="360" w:lineRule="auto"/>
        <w:ind w:left="360"/>
        <w:rPr>
          <w:rFonts w:ascii="Times New Roman" w:hAnsi="Times New Roman"/>
          <w:sz w:val="24"/>
          <w:szCs w:val="24"/>
          <w:lang w:val="en-US"/>
        </w:rPr>
      </w:pPr>
    </w:p>
    <w:p w14:paraId="1DF7D9B1" w14:textId="77777777" w:rsidR="00E94324" w:rsidRPr="008D6B3D" w:rsidRDefault="00E94324" w:rsidP="006F53FC">
      <w:pPr>
        <w:numPr>
          <w:ilvl w:val="1"/>
          <w:numId w:val="31"/>
        </w:numPr>
        <w:spacing w:after="0" w:line="360" w:lineRule="auto"/>
        <w:rPr>
          <w:rFonts w:ascii="Times New Roman" w:hAnsi="Times New Roman"/>
          <w:sz w:val="24"/>
          <w:szCs w:val="24"/>
          <w:lang w:val="en-US"/>
        </w:rPr>
      </w:pPr>
      <w:r w:rsidRPr="008D6B3D">
        <w:rPr>
          <w:rFonts w:ascii="Times New Roman" w:hAnsi="Times New Roman"/>
          <w:sz w:val="24"/>
          <w:szCs w:val="24"/>
        </w:rPr>
        <w:t>Where there is partial success then the Court generally makes a rough and ready assessment of the relevant proportions</w:t>
      </w:r>
      <w:r w:rsidRPr="008D6B3D">
        <w:rPr>
          <w:rFonts w:ascii="Times New Roman" w:hAnsi="Times New Roman"/>
          <w:sz w:val="24"/>
          <w:szCs w:val="24"/>
          <w:vertAlign w:val="superscript"/>
        </w:rPr>
        <w:footnoteReference w:id="11"/>
      </w:r>
      <w:r w:rsidRPr="008D6B3D">
        <w:rPr>
          <w:rFonts w:ascii="Times New Roman" w:hAnsi="Times New Roman"/>
          <w:sz w:val="24"/>
          <w:szCs w:val="24"/>
        </w:rPr>
        <w:t xml:space="preserve">. The default position is no Order where the proportions cannot be assessed (e.g. </w:t>
      </w:r>
      <w:r w:rsidRPr="008D6B3D">
        <w:rPr>
          <w:rFonts w:ascii="Times New Roman" w:hAnsi="Times New Roman"/>
          <w:i/>
          <w:sz w:val="24"/>
          <w:szCs w:val="24"/>
        </w:rPr>
        <w:t>Hackney LBC v (1) Burley Campbell (2) Lawrence Oliver Campbell</w:t>
      </w:r>
      <w:r w:rsidRPr="008D6B3D">
        <w:rPr>
          <w:rFonts w:ascii="Times New Roman" w:hAnsi="Times New Roman"/>
          <w:sz w:val="24"/>
          <w:szCs w:val="24"/>
        </w:rPr>
        <w:t xml:space="preserve"> [2005] EWCA </w:t>
      </w:r>
      <w:proofErr w:type="spellStart"/>
      <w:r w:rsidRPr="008D6B3D">
        <w:rPr>
          <w:rFonts w:ascii="Times New Roman" w:hAnsi="Times New Roman"/>
          <w:sz w:val="24"/>
          <w:szCs w:val="24"/>
        </w:rPr>
        <w:t>Civ</w:t>
      </w:r>
      <w:proofErr w:type="spellEnd"/>
      <w:r w:rsidRPr="008D6B3D">
        <w:rPr>
          <w:rFonts w:ascii="Times New Roman" w:hAnsi="Times New Roman"/>
          <w:sz w:val="24"/>
          <w:szCs w:val="24"/>
        </w:rPr>
        <w:t xml:space="preserve"> 613 – a possession action).  </w:t>
      </w:r>
    </w:p>
    <w:p w14:paraId="1DF7D9B2" w14:textId="77777777" w:rsidR="00E94324" w:rsidRPr="008D6B3D" w:rsidRDefault="00E94324" w:rsidP="00E94324">
      <w:pPr>
        <w:spacing w:line="360" w:lineRule="auto"/>
        <w:ind w:firstLine="502"/>
        <w:rPr>
          <w:rFonts w:ascii="Times New Roman" w:hAnsi="Times New Roman"/>
          <w:i/>
          <w:sz w:val="24"/>
          <w:szCs w:val="24"/>
        </w:rPr>
      </w:pPr>
    </w:p>
    <w:p w14:paraId="1DF7D9B3" w14:textId="77777777" w:rsidR="00E94324" w:rsidRPr="008D6B3D" w:rsidRDefault="00E94324" w:rsidP="00E94324">
      <w:pPr>
        <w:spacing w:line="360" w:lineRule="auto"/>
        <w:ind w:firstLine="502"/>
        <w:rPr>
          <w:rFonts w:ascii="Times New Roman" w:hAnsi="Times New Roman"/>
          <w:i/>
          <w:sz w:val="24"/>
          <w:szCs w:val="24"/>
          <w:lang w:val="en-US"/>
        </w:rPr>
      </w:pPr>
      <w:r w:rsidRPr="008D6B3D">
        <w:rPr>
          <w:rFonts w:ascii="Times New Roman" w:hAnsi="Times New Roman"/>
          <w:i/>
          <w:sz w:val="24"/>
          <w:szCs w:val="24"/>
        </w:rPr>
        <w:t xml:space="preserve">Costs as sanctions </w:t>
      </w:r>
    </w:p>
    <w:p w14:paraId="1DF7D9B4" w14:textId="77777777" w:rsidR="00E94324" w:rsidRPr="008D6B3D" w:rsidRDefault="00E94324" w:rsidP="006F53FC">
      <w:pPr>
        <w:numPr>
          <w:ilvl w:val="0"/>
          <w:numId w:val="31"/>
        </w:numPr>
        <w:spacing w:after="0" w:line="360" w:lineRule="auto"/>
        <w:rPr>
          <w:rFonts w:ascii="Times New Roman" w:hAnsi="Times New Roman"/>
          <w:sz w:val="24"/>
          <w:szCs w:val="24"/>
          <w:lang w:val="en-US"/>
        </w:rPr>
      </w:pPr>
      <w:r w:rsidRPr="008D6B3D">
        <w:rPr>
          <w:rFonts w:ascii="Times New Roman" w:hAnsi="Times New Roman"/>
          <w:sz w:val="24"/>
          <w:szCs w:val="24"/>
        </w:rPr>
        <w:t xml:space="preserve">The ordinary costs orders can be departed from because of a party’s conduct. The conduct does not have to causative of the loss (contrast wasted costs orders).  </w:t>
      </w:r>
    </w:p>
    <w:p w14:paraId="1DF7D9B5" w14:textId="77777777" w:rsidR="00E94324" w:rsidRPr="008D6B3D" w:rsidRDefault="00E94324" w:rsidP="00E94324">
      <w:pPr>
        <w:spacing w:line="360" w:lineRule="auto"/>
        <w:ind w:left="502"/>
        <w:rPr>
          <w:rFonts w:ascii="Times New Roman" w:hAnsi="Times New Roman"/>
          <w:sz w:val="24"/>
          <w:szCs w:val="24"/>
          <w:lang w:val="en-US"/>
        </w:rPr>
      </w:pPr>
    </w:p>
    <w:p w14:paraId="1DF7D9B6" w14:textId="77777777" w:rsidR="00E94324" w:rsidRPr="008D6B3D" w:rsidRDefault="00E94324" w:rsidP="006F53FC">
      <w:pPr>
        <w:numPr>
          <w:ilvl w:val="1"/>
          <w:numId w:val="31"/>
        </w:numPr>
        <w:spacing w:after="0" w:line="360" w:lineRule="auto"/>
        <w:rPr>
          <w:rFonts w:ascii="Times New Roman" w:hAnsi="Times New Roman"/>
          <w:sz w:val="24"/>
          <w:szCs w:val="24"/>
          <w:lang w:val="en-US"/>
        </w:rPr>
      </w:pPr>
      <w:r w:rsidRPr="008D6B3D">
        <w:rPr>
          <w:rFonts w:ascii="Times New Roman" w:hAnsi="Times New Roman"/>
          <w:i/>
          <w:sz w:val="24"/>
          <w:szCs w:val="24"/>
        </w:rPr>
        <w:t>Aegis Group PLC v Commissioners Inland Revenue</w:t>
      </w:r>
      <w:r w:rsidRPr="008D6B3D">
        <w:rPr>
          <w:rFonts w:ascii="Times New Roman" w:hAnsi="Times New Roman"/>
          <w:sz w:val="24"/>
          <w:szCs w:val="24"/>
        </w:rPr>
        <w:t xml:space="preserve"> [2005] EWCH 1468 Ch Park J. Late response to a judicial review pre-action protocol letter with no adequate explanation for the delay. Defendant recovered only 85% of their costs.</w:t>
      </w:r>
    </w:p>
    <w:p w14:paraId="1DF7D9B7" w14:textId="77777777" w:rsidR="00E94324" w:rsidRPr="008D6B3D" w:rsidRDefault="00E94324" w:rsidP="00E94324">
      <w:pPr>
        <w:spacing w:line="360" w:lineRule="auto"/>
        <w:ind w:left="1440"/>
        <w:rPr>
          <w:rFonts w:ascii="Times New Roman" w:hAnsi="Times New Roman"/>
          <w:sz w:val="24"/>
          <w:szCs w:val="24"/>
          <w:lang w:val="en-US"/>
        </w:rPr>
      </w:pPr>
    </w:p>
    <w:p w14:paraId="1DF7D9B8" w14:textId="77777777" w:rsidR="00E94324" w:rsidRPr="008D6B3D" w:rsidRDefault="00E94324" w:rsidP="006F53FC">
      <w:pPr>
        <w:numPr>
          <w:ilvl w:val="1"/>
          <w:numId w:val="31"/>
        </w:numPr>
        <w:spacing w:after="0" w:line="360" w:lineRule="auto"/>
        <w:rPr>
          <w:rFonts w:ascii="Times New Roman" w:hAnsi="Times New Roman"/>
          <w:sz w:val="24"/>
          <w:szCs w:val="24"/>
          <w:lang w:val="en-US"/>
        </w:rPr>
      </w:pPr>
      <w:r w:rsidRPr="008D6B3D">
        <w:rPr>
          <w:rFonts w:ascii="Times New Roman" w:hAnsi="Times New Roman"/>
          <w:i/>
          <w:sz w:val="24"/>
          <w:szCs w:val="24"/>
        </w:rPr>
        <w:t>R(B) v LB Lambeth</w:t>
      </w:r>
      <w:r w:rsidRPr="008D6B3D">
        <w:rPr>
          <w:rFonts w:ascii="Times New Roman" w:hAnsi="Times New Roman"/>
          <w:sz w:val="24"/>
          <w:szCs w:val="24"/>
        </w:rPr>
        <w:t xml:space="preserve"> [2006] EWHC 639 Munby J – failure to amend to reflect changed case. </w:t>
      </w:r>
    </w:p>
    <w:p w14:paraId="1DF7D9B9" w14:textId="77777777" w:rsidR="00E94324" w:rsidRPr="008D6B3D" w:rsidRDefault="00E94324" w:rsidP="00E94324">
      <w:pPr>
        <w:pStyle w:val="ListParagraph"/>
        <w:rPr>
          <w:rFonts w:ascii="Times New Roman" w:hAnsi="Times New Roman"/>
          <w:sz w:val="24"/>
          <w:szCs w:val="24"/>
          <w:lang w:val="en-US"/>
        </w:rPr>
      </w:pPr>
    </w:p>
    <w:p w14:paraId="1DF7D9BA" w14:textId="77777777" w:rsidR="00E94324" w:rsidRPr="008D6B3D" w:rsidRDefault="00E94324" w:rsidP="006F53FC">
      <w:pPr>
        <w:numPr>
          <w:ilvl w:val="1"/>
          <w:numId w:val="31"/>
        </w:numPr>
        <w:spacing w:after="0" w:line="360" w:lineRule="auto"/>
        <w:rPr>
          <w:rFonts w:ascii="Times New Roman" w:hAnsi="Times New Roman"/>
          <w:sz w:val="24"/>
          <w:szCs w:val="24"/>
          <w:lang w:val="en-US"/>
        </w:rPr>
      </w:pPr>
      <w:r w:rsidRPr="008D6B3D">
        <w:rPr>
          <w:rFonts w:ascii="Times New Roman" w:hAnsi="Times New Roman"/>
          <w:sz w:val="24"/>
          <w:szCs w:val="24"/>
          <w:lang w:val="en-US"/>
        </w:rPr>
        <w:lastRenderedPageBreak/>
        <w:t xml:space="preserve">However, there is no case where, because of conduct alone a successful defendant has had to pay all of the costs of an unsuccessful claimant – </w:t>
      </w:r>
      <w:r w:rsidRPr="008D6B3D">
        <w:rPr>
          <w:rFonts w:ascii="Times New Roman" w:hAnsi="Times New Roman"/>
          <w:i/>
          <w:sz w:val="24"/>
          <w:szCs w:val="24"/>
          <w:lang w:val="en-US"/>
        </w:rPr>
        <w:t xml:space="preserve">R (Royal Free London NHS </w:t>
      </w:r>
      <w:proofErr w:type="spellStart"/>
      <w:r w:rsidRPr="008D6B3D">
        <w:rPr>
          <w:rFonts w:ascii="Times New Roman" w:hAnsi="Times New Roman"/>
          <w:i/>
          <w:sz w:val="24"/>
          <w:szCs w:val="24"/>
          <w:lang w:val="en-US"/>
        </w:rPr>
        <w:t>Foudation</w:t>
      </w:r>
      <w:proofErr w:type="spellEnd"/>
      <w:r w:rsidRPr="008D6B3D">
        <w:rPr>
          <w:rFonts w:ascii="Times New Roman" w:hAnsi="Times New Roman"/>
          <w:i/>
          <w:sz w:val="24"/>
          <w:szCs w:val="24"/>
          <w:lang w:val="en-US"/>
        </w:rPr>
        <w:t xml:space="preserve"> Trust) v Secretary of State for Health </w:t>
      </w:r>
      <w:r w:rsidRPr="008D6B3D">
        <w:rPr>
          <w:rFonts w:ascii="Times New Roman" w:hAnsi="Times New Roman"/>
          <w:sz w:val="24"/>
          <w:szCs w:val="24"/>
          <w:lang w:val="en-US"/>
        </w:rPr>
        <w:t xml:space="preserve"> [2013] EWHC 4101 (Admin) Coulson J. </w:t>
      </w:r>
    </w:p>
    <w:p w14:paraId="1DF7D9BB" w14:textId="77777777" w:rsidR="00E94324" w:rsidRPr="008D6B3D" w:rsidRDefault="00E94324" w:rsidP="00E94324">
      <w:pPr>
        <w:spacing w:line="360" w:lineRule="auto"/>
        <w:rPr>
          <w:rFonts w:ascii="Times New Roman" w:hAnsi="Times New Roman"/>
          <w:sz w:val="24"/>
          <w:szCs w:val="24"/>
          <w:lang w:val="en-US"/>
        </w:rPr>
      </w:pPr>
    </w:p>
    <w:p w14:paraId="1DF7D9BC" w14:textId="68DEFE40" w:rsidR="00E94324" w:rsidRPr="008D6B3D" w:rsidRDefault="00E94324" w:rsidP="006F53FC">
      <w:pPr>
        <w:numPr>
          <w:ilvl w:val="0"/>
          <w:numId w:val="31"/>
        </w:numPr>
        <w:spacing w:after="0" w:line="360" w:lineRule="auto"/>
        <w:rPr>
          <w:rFonts w:ascii="Times New Roman" w:hAnsi="Times New Roman"/>
          <w:sz w:val="24"/>
          <w:szCs w:val="24"/>
          <w:lang w:val="en-US"/>
        </w:rPr>
      </w:pPr>
      <w:r w:rsidRPr="008D6B3D">
        <w:rPr>
          <w:rFonts w:ascii="Times New Roman" w:hAnsi="Times New Roman"/>
          <w:sz w:val="24"/>
          <w:szCs w:val="24"/>
        </w:rPr>
        <w:t>Costs can be awarded on an indemnity basis where there has been “unreasonable behaviour of such a high degree that it can be characterised as exceptional”</w:t>
      </w:r>
      <w:r w:rsidRPr="008D6B3D">
        <w:rPr>
          <w:rFonts w:ascii="Times New Roman" w:hAnsi="Times New Roman"/>
          <w:sz w:val="24"/>
          <w:szCs w:val="24"/>
          <w:vertAlign w:val="superscript"/>
        </w:rPr>
        <w:footnoteReference w:id="12"/>
      </w:r>
      <w:r w:rsidRPr="008D6B3D">
        <w:rPr>
          <w:rFonts w:ascii="Times New Roman" w:hAnsi="Times New Roman"/>
          <w:sz w:val="24"/>
          <w:szCs w:val="24"/>
        </w:rPr>
        <w:t xml:space="preserve">. Examples include taking “almost every possible point under the sun” – </w:t>
      </w:r>
      <w:r w:rsidRPr="008D6B3D">
        <w:rPr>
          <w:rFonts w:ascii="Times New Roman" w:hAnsi="Times New Roman"/>
          <w:i/>
          <w:sz w:val="24"/>
          <w:szCs w:val="24"/>
        </w:rPr>
        <w:t>R</w:t>
      </w:r>
      <w:r w:rsidRPr="008D6B3D">
        <w:rPr>
          <w:rFonts w:ascii="Times New Roman" w:hAnsi="Times New Roman"/>
          <w:sz w:val="24"/>
          <w:szCs w:val="24"/>
        </w:rPr>
        <w:t xml:space="preserve"> </w:t>
      </w:r>
      <w:r w:rsidRPr="008D6B3D">
        <w:rPr>
          <w:rFonts w:ascii="Times New Roman" w:hAnsi="Times New Roman"/>
          <w:i/>
          <w:sz w:val="24"/>
          <w:szCs w:val="24"/>
        </w:rPr>
        <w:t xml:space="preserve">v </w:t>
      </w:r>
      <w:proofErr w:type="spellStart"/>
      <w:r w:rsidRPr="008D6B3D">
        <w:rPr>
          <w:rFonts w:ascii="Times New Roman" w:hAnsi="Times New Roman"/>
          <w:i/>
          <w:sz w:val="24"/>
          <w:szCs w:val="24"/>
        </w:rPr>
        <w:t>Costwold</w:t>
      </w:r>
      <w:proofErr w:type="spellEnd"/>
      <w:r w:rsidRPr="008D6B3D">
        <w:rPr>
          <w:rFonts w:ascii="Times New Roman" w:hAnsi="Times New Roman"/>
          <w:i/>
          <w:sz w:val="24"/>
          <w:szCs w:val="24"/>
        </w:rPr>
        <w:t xml:space="preserve"> DC ex p </w:t>
      </w:r>
      <w:proofErr w:type="gramStart"/>
      <w:r w:rsidRPr="008D6B3D">
        <w:rPr>
          <w:rFonts w:ascii="Times New Roman" w:hAnsi="Times New Roman"/>
          <w:i/>
          <w:sz w:val="24"/>
          <w:szCs w:val="24"/>
        </w:rPr>
        <w:t>Kissel</w:t>
      </w:r>
      <w:r w:rsidRPr="008D6B3D">
        <w:rPr>
          <w:rFonts w:ascii="Times New Roman" w:hAnsi="Times New Roman"/>
          <w:sz w:val="24"/>
          <w:szCs w:val="24"/>
        </w:rPr>
        <w:t xml:space="preserve">  February</w:t>
      </w:r>
      <w:proofErr w:type="gramEnd"/>
      <w:r w:rsidRPr="008D6B3D">
        <w:rPr>
          <w:rFonts w:ascii="Times New Roman" w:hAnsi="Times New Roman"/>
          <w:sz w:val="24"/>
          <w:szCs w:val="24"/>
        </w:rPr>
        <w:t xml:space="preserve"> 28 1997 unreported, or failure to give proper disclosure – </w:t>
      </w:r>
      <w:r w:rsidRPr="008D6B3D">
        <w:rPr>
          <w:rFonts w:ascii="Times New Roman" w:hAnsi="Times New Roman"/>
          <w:i/>
          <w:sz w:val="24"/>
          <w:szCs w:val="24"/>
        </w:rPr>
        <w:t>R (Banks) v SSEFRA</w:t>
      </w:r>
      <w:r w:rsidRPr="008D6B3D">
        <w:rPr>
          <w:rFonts w:ascii="Times New Roman" w:hAnsi="Times New Roman"/>
          <w:sz w:val="24"/>
          <w:szCs w:val="24"/>
        </w:rPr>
        <w:t xml:space="preserve"> [2004] EWHC 1031 (Admin), </w:t>
      </w:r>
      <w:r w:rsidRPr="008D6B3D">
        <w:rPr>
          <w:rFonts w:ascii="Times New Roman" w:hAnsi="Times New Roman"/>
          <w:i/>
          <w:sz w:val="24"/>
          <w:szCs w:val="24"/>
        </w:rPr>
        <w:t xml:space="preserve">Al </w:t>
      </w:r>
      <w:proofErr w:type="spellStart"/>
      <w:r w:rsidRPr="008D6B3D">
        <w:rPr>
          <w:rFonts w:ascii="Times New Roman" w:hAnsi="Times New Roman"/>
          <w:i/>
          <w:sz w:val="24"/>
          <w:szCs w:val="24"/>
        </w:rPr>
        <w:t>Sweady</w:t>
      </w:r>
      <w:proofErr w:type="spellEnd"/>
      <w:r w:rsidRPr="008D6B3D">
        <w:rPr>
          <w:rFonts w:ascii="Times New Roman" w:hAnsi="Times New Roman"/>
          <w:i/>
          <w:sz w:val="24"/>
          <w:szCs w:val="24"/>
        </w:rPr>
        <w:t xml:space="preserve"> </w:t>
      </w:r>
      <w:r w:rsidRPr="008D6B3D">
        <w:rPr>
          <w:rFonts w:ascii="Times New Roman" w:hAnsi="Times New Roman"/>
          <w:sz w:val="24"/>
          <w:szCs w:val="24"/>
        </w:rPr>
        <w:t xml:space="preserve">(above) at </w:t>
      </w:r>
      <w:r w:rsidR="00994FE1">
        <w:rPr>
          <w:rFonts w:ascii="Times New Roman" w:hAnsi="Times New Roman"/>
          <w:sz w:val="24"/>
          <w:szCs w:val="24"/>
        </w:rPr>
        <w:t>[</w:t>
      </w:r>
      <w:r w:rsidRPr="008D6B3D">
        <w:rPr>
          <w:rFonts w:ascii="Times New Roman" w:hAnsi="Times New Roman"/>
          <w:sz w:val="24"/>
          <w:szCs w:val="24"/>
        </w:rPr>
        <w:t>13</w:t>
      </w:r>
      <w:r w:rsidR="00994FE1">
        <w:rPr>
          <w:rFonts w:ascii="Times New Roman" w:hAnsi="Times New Roman"/>
          <w:sz w:val="24"/>
          <w:szCs w:val="24"/>
        </w:rPr>
        <w:t>]</w:t>
      </w:r>
      <w:r w:rsidRPr="008D6B3D">
        <w:rPr>
          <w:rFonts w:ascii="Times New Roman" w:hAnsi="Times New Roman"/>
          <w:sz w:val="24"/>
          <w:szCs w:val="24"/>
        </w:rPr>
        <w:t xml:space="preserve"> (where the approach to disclosure was </w:t>
      </w:r>
      <w:r w:rsidRPr="0068488D">
        <w:rPr>
          <w:rFonts w:ascii="Times New Roman" w:hAnsi="Times New Roman"/>
          <w:i/>
          <w:sz w:val="24"/>
        </w:rPr>
        <w:t>“lamentable”).</w:t>
      </w:r>
      <w:r w:rsidRPr="008D6B3D">
        <w:rPr>
          <w:rFonts w:ascii="Times New Roman" w:hAnsi="Times New Roman"/>
          <w:sz w:val="24"/>
          <w:szCs w:val="24"/>
        </w:rPr>
        <w:t xml:space="preserve">  </w:t>
      </w:r>
    </w:p>
    <w:p w14:paraId="1DF7D9BD" w14:textId="77777777" w:rsidR="00E94324" w:rsidRPr="008D6B3D" w:rsidRDefault="00E94324" w:rsidP="00E94324">
      <w:pPr>
        <w:spacing w:line="360" w:lineRule="auto"/>
        <w:ind w:left="360"/>
        <w:rPr>
          <w:rFonts w:ascii="Times New Roman" w:hAnsi="Times New Roman"/>
          <w:sz w:val="24"/>
          <w:szCs w:val="24"/>
          <w:lang w:val="en-US"/>
        </w:rPr>
      </w:pPr>
    </w:p>
    <w:p w14:paraId="1DF7D9BE" w14:textId="77777777" w:rsidR="00E94324" w:rsidRPr="008D6B3D" w:rsidRDefault="00E94324" w:rsidP="0068488D">
      <w:pPr>
        <w:spacing w:line="360" w:lineRule="auto"/>
        <w:rPr>
          <w:rFonts w:ascii="Times New Roman" w:hAnsi="Times New Roman"/>
          <w:i/>
          <w:sz w:val="24"/>
          <w:szCs w:val="24"/>
          <w:lang w:val="en-US"/>
        </w:rPr>
      </w:pPr>
      <w:r w:rsidRPr="008D6B3D">
        <w:rPr>
          <w:rFonts w:ascii="Times New Roman" w:hAnsi="Times New Roman"/>
          <w:i/>
          <w:sz w:val="24"/>
          <w:szCs w:val="24"/>
        </w:rPr>
        <w:t xml:space="preserve">Where there has been no determination on the merits </w:t>
      </w:r>
    </w:p>
    <w:p w14:paraId="1DF7D9BF" w14:textId="4DCCBF1B" w:rsidR="00E94324" w:rsidRPr="008D6B3D" w:rsidRDefault="00E94324" w:rsidP="0068488D">
      <w:pPr>
        <w:numPr>
          <w:ilvl w:val="0"/>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rPr>
        <w:t xml:space="preserve">A practice has developed whereby the parties often agree the substantive issues but not costs. In the judicial review context the leading cases are now </w:t>
      </w:r>
      <w:r w:rsidRPr="008D6B3D">
        <w:rPr>
          <w:rFonts w:ascii="Times New Roman" w:hAnsi="Times New Roman"/>
          <w:i/>
          <w:sz w:val="24"/>
          <w:szCs w:val="24"/>
        </w:rPr>
        <w:t>R (</w:t>
      </w:r>
      <w:proofErr w:type="spellStart"/>
      <w:r w:rsidRPr="008D6B3D">
        <w:rPr>
          <w:rFonts w:ascii="Times New Roman" w:hAnsi="Times New Roman"/>
          <w:i/>
          <w:sz w:val="24"/>
          <w:szCs w:val="24"/>
        </w:rPr>
        <w:t>Bahta</w:t>
      </w:r>
      <w:proofErr w:type="spellEnd"/>
      <w:r w:rsidRPr="008D6B3D">
        <w:rPr>
          <w:rFonts w:ascii="Times New Roman" w:hAnsi="Times New Roman"/>
          <w:i/>
          <w:sz w:val="24"/>
          <w:szCs w:val="24"/>
        </w:rPr>
        <w:t xml:space="preserve">) v SSHD </w:t>
      </w:r>
      <w:r w:rsidRPr="008D6B3D">
        <w:rPr>
          <w:rFonts w:ascii="Times New Roman" w:hAnsi="Times New Roman"/>
          <w:sz w:val="24"/>
          <w:szCs w:val="24"/>
        </w:rPr>
        <w:t xml:space="preserve">[2011] CP Rep 43, </w:t>
      </w:r>
      <w:r w:rsidRPr="008D6B3D">
        <w:rPr>
          <w:rFonts w:ascii="Times New Roman" w:hAnsi="Times New Roman"/>
          <w:i/>
          <w:sz w:val="24"/>
          <w:szCs w:val="24"/>
        </w:rPr>
        <w:t>M v Croydon LBC</w:t>
      </w:r>
      <w:r w:rsidRPr="008D6B3D">
        <w:rPr>
          <w:rFonts w:ascii="Times New Roman" w:hAnsi="Times New Roman"/>
          <w:sz w:val="24"/>
          <w:szCs w:val="24"/>
        </w:rPr>
        <w:t xml:space="preserve"> [2012] 1 WLR 2607. They establish that public bodies are not in </w:t>
      </w:r>
      <w:proofErr w:type="gramStart"/>
      <w:r w:rsidRPr="008D6B3D">
        <w:rPr>
          <w:rFonts w:ascii="Times New Roman" w:hAnsi="Times New Roman"/>
          <w:sz w:val="24"/>
          <w:szCs w:val="24"/>
        </w:rPr>
        <w:t>an</w:t>
      </w:r>
      <w:proofErr w:type="gramEnd"/>
      <w:r w:rsidRPr="008D6B3D">
        <w:rPr>
          <w:rFonts w:ascii="Times New Roman" w:hAnsi="Times New Roman"/>
          <w:sz w:val="24"/>
          <w:szCs w:val="24"/>
        </w:rPr>
        <w:t xml:space="preserve"> special position allowing them to resist costs orders. Broadly the same principles apply on appeal from the Upper Tribunal (</w:t>
      </w:r>
      <w:r w:rsidRPr="008D6B3D">
        <w:rPr>
          <w:rFonts w:ascii="Times New Roman" w:hAnsi="Times New Roman"/>
          <w:i/>
          <w:sz w:val="24"/>
          <w:szCs w:val="24"/>
        </w:rPr>
        <w:t>AL (Albania) v SSHD</w:t>
      </w:r>
      <w:r w:rsidRPr="008D6B3D">
        <w:rPr>
          <w:rFonts w:ascii="Times New Roman" w:hAnsi="Times New Roman"/>
          <w:sz w:val="24"/>
          <w:szCs w:val="24"/>
        </w:rPr>
        <w:t xml:space="preserve"> [2012]</w:t>
      </w:r>
      <w:r w:rsidRPr="008D6B3D">
        <w:rPr>
          <w:rFonts w:ascii="Times New Roman" w:hAnsi="Times New Roman"/>
          <w:i/>
          <w:sz w:val="24"/>
          <w:szCs w:val="24"/>
        </w:rPr>
        <w:t xml:space="preserve"> </w:t>
      </w:r>
      <w:r w:rsidRPr="008D6B3D">
        <w:rPr>
          <w:rFonts w:ascii="Times New Roman" w:hAnsi="Times New Roman"/>
          <w:sz w:val="24"/>
          <w:szCs w:val="24"/>
        </w:rPr>
        <w:t xml:space="preserve">1 WLR 2898. The principles derived from those cases can be summarised as: </w:t>
      </w:r>
    </w:p>
    <w:p w14:paraId="1DF7D9C0" w14:textId="77777777" w:rsidR="00E94324" w:rsidRPr="008D6B3D" w:rsidRDefault="00E94324" w:rsidP="00E94324">
      <w:pPr>
        <w:spacing w:line="360" w:lineRule="auto"/>
        <w:ind w:left="502"/>
        <w:rPr>
          <w:rFonts w:ascii="Times New Roman" w:hAnsi="Times New Roman"/>
          <w:sz w:val="24"/>
          <w:szCs w:val="24"/>
          <w:lang w:val="en-US"/>
        </w:rPr>
      </w:pPr>
    </w:p>
    <w:p w14:paraId="1DF7D9C1" w14:textId="45B65049" w:rsidR="00E94324" w:rsidRPr="008D6B3D" w:rsidRDefault="00E94324" w:rsidP="006F53FC">
      <w:pPr>
        <w:numPr>
          <w:ilvl w:val="1"/>
          <w:numId w:val="31"/>
        </w:numPr>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Category 1: Where a claimant obtains all the relief sought by them then that triggers the </w:t>
      </w:r>
      <w:r w:rsidR="00994FE1">
        <w:rPr>
          <w:rFonts w:ascii="Times New Roman" w:hAnsi="Times New Roman"/>
          <w:sz w:val="24"/>
          <w:szCs w:val="24"/>
          <w:lang w:val="en-US"/>
        </w:rPr>
        <w:t>‘</w:t>
      </w:r>
      <w:r w:rsidRPr="008D6B3D">
        <w:rPr>
          <w:rFonts w:ascii="Times New Roman" w:hAnsi="Times New Roman"/>
          <w:sz w:val="24"/>
          <w:szCs w:val="24"/>
          <w:lang w:val="en-US"/>
        </w:rPr>
        <w:t xml:space="preserve">loser </w:t>
      </w:r>
      <w:r w:rsidR="00994FE1">
        <w:rPr>
          <w:rFonts w:ascii="Times New Roman" w:hAnsi="Times New Roman"/>
          <w:sz w:val="24"/>
          <w:szCs w:val="24"/>
          <w:lang w:val="en-US"/>
        </w:rPr>
        <w:t>pays’</w:t>
      </w:r>
      <w:r w:rsidRPr="008D6B3D">
        <w:rPr>
          <w:rFonts w:ascii="Times New Roman" w:hAnsi="Times New Roman"/>
          <w:sz w:val="24"/>
          <w:szCs w:val="24"/>
          <w:lang w:val="en-US"/>
        </w:rPr>
        <w:t xml:space="preserve"> principle and there is no reason to depart from that approach because the success was achieved by consent rather than a contested hearing (</w:t>
      </w:r>
      <w:r w:rsidRPr="008D6B3D">
        <w:rPr>
          <w:rFonts w:ascii="Times New Roman" w:hAnsi="Times New Roman"/>
          <w:i/>
          <w:sz w:val="24"/>
          <w:szCs w:val="24"/>
          <w:lang w:val="en-US"/>
        </w:rPr>
        <w:t xml:space="preserve">M </w:t>
      </w:r>
      <w:r w:rsidRPr="008D6B3D">
        <w:rPr>
          <w:rFonts w:ascii="Times New Roman" w:hAnsi="Times New Roman"/>
          <w:sz w:val="24"/>
          <w:szCs w:val="24"/>
          <w:lang w:val="en-US"/>
        </w:rPr>
        <w:t xml:space="preserve">at </w:t>
      </w:r>
      <w:r w:rsidR="00994FE1">
        <w:rPr>
          <w:rFonts w:ascii="Times New Roman" w:hAnsi="Times New Roman"/>
          <w:sz w:val="24"/>
          <w:szCs w:val="24"/>
          <w:lang w:val="en-US"/>
        </w:rPr>
        <w:t>[</w:t>
      </w:r>
      <w:r w:rsidRPr="008D6B3D">
        <w:rPr>
          <w:rFonts w:ascii="Times New Roman" w:hAnsi="Times New Roman"/>
          <w:sz w:val="24"/>
          <w:szCs w:val="24"/>
          <w:lang w:val="en-US"/>
        </w:rPr>
        <w:t>49</w:t>
      </w:r>
      <w:r w:rsidR="00994FE1">
        <w:rPr>
          <w:rFonts w:ascii="Times New Roman" w:hAnsi="Times New Roman"/>
          <w:sz w:val="24"/>
          <w:szCs w:val="24"/>
          <w:lang w:val="en-US"/>
        </w:rPr>
        <w:t>]</w:t>
      </w:r>
      <w:r w:rsidRPr="008D6B3D">
        <w:rPr>
          <w:rFonts w:ascii="Times New Roman" w:hAnsi="Times New Roman"/>
          <w:sz w:val="24"/>
          <w:szCs w:val="24"/>
          <w:lang w:val="en-US"/>
        </w:rPr>
        <w:t xml:space="preserve">, </w:t>
      </w:r>
      <w:r w:rsidR="00994FE1">
        <w:rPr>
          <w:rFonts w:ascii="Times New Roman" w:hAnsi="Times New Roman"/>
          <w:sz w:val="24"/>
          <w:szCs w:val="24"/>
          <w:lang w:val="en-US"/>
        </w:rPr>
        <w:t>[</w:t>
      </w:r>
      <w:r w:rsidRPr="008D6B3D">
        <w:rPr>
          <w:rFonts w:ascii="Times New Roman" w:hAnsi="Times New Roman"/>
          <w:sz w:val="24"/>
          <w:szCs w:val="24"/>
          <w:lang w:val="en-US"/>
        </w:rPr>
        <w:t>61</w:t>
      </w:r>
      <w:r w:rsidR="00994FE1">
        <w:rPr>
          <w:rFonts w:ascii="Times New Roman" w:hAnsi="Times New Roman"/>
          <w:sz w:val="24"/>
          <w:szCs w:val="24"/>
          <w:lang w:val="en-US"/>
        </w:rPr>
        <w:t>]</w:t>
      </w:r>
      <w:r w:rsidRPr="008D6B3D">
        <w:rPr>
          <w:rFonts w:ascii="Times New Roman" w:hAnsi="Times New Roman"/>
          <w:sz w:val="24"/>
          <w:szCs w:val="24"/>
          <w:lang w:val="en-US"/>
        </w:rPr>
        <w:t xml:space="preserve">, </w:t>
      </w:r>
      <w:proofErr w:type="spellStart"/>
      <w:r w:rsidRPr="008D6B3D">
        <w:rPr>
          <w:rFonts w:ascii="Times New Roman" w:hAnsi="Times New Roman"/>
          <w:i/>
          <w:sz w:val="24"/>
          <w:szCs w:val="24"/>
          <w:lang w:val="en-US"/>
        </w:rPr>
        <w:t>Emezie</w:t>
      </w:r>
      <w:proofErr w:type="spellEnd"/>
      <w:r w:rsidRPr="008D6B3D">
        <w:rPr>
          <w:rFonts w:ascii="Times New Roman" w:hAnsi="Times New Roman"/>
          <w:i/>
          <w:sz w:val="24"/>
          <w:szCs w:val="24"/>
          <w:lang w:val="en-US"/>
        </w:rPr>
        <w:t xml:space="preserve"> v SSHD</w:t>
      </w:r>
      <w:r w:rsidRPr="008D6B3D">
        <w:rPr>
          <w:rFonts w:ascii="Times New Roman" w:hAnsi="Times New Roman"/>
          <w:sz w:val="24"/>
          <w:szCs w:val="24"/>
          <w:lang w:val="en-US"/>
        </w:rPr>
        <w:t xml:space="preserve"> [2013] 5 Costs LR 685). </w:t>
      </w:r>
    </w:p>
    <w:p w14:paraId="1DF7D9C2" w14:textId="77777777" w:rsidR="00E94324" w:rsidRPr="008D6B3D" w:rsidRDefault="00E94324" w:rsidP="00E94324">
      <w:pPr>
        <w:spacing w:line="360" w:lineRule="auto"/>
        <w:ind w:left="1440"/>
        <w:rPr>
          <w:rFonts w:ascii="Times New Roman" w:hAnsi="Times New Roman"/>
          <w:sz w:val="24"/>
          <w:szCs w:val="24"/>
          <w:lang w:val="en-US"/>
        </w:rPr>
      </w:pPr>
    </w:p>
    <w:p w14:paraId="1DF7D9C3" w14:textId="35185E55" w:rsidR="00E94324" w:rsidRPr="008D6B3D" w:rsidRDefault="00E94324" w:rsidP="006F53FC">
      <w:pPr>
        <w:numPr>
          <w:ilvl w:val="1"/>
          <w:numId w:val="31"/>
        </w:numPr>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Category 2: If the Claimant gets only part of what they sought then </w:t>
      </w:r>
      <w:r w:rsidRPr="0068488D">
        <w:rPr>
          <w:rFonts w:ascii="Times New Roman" w:hAnsi="Times New Roman"/>
          <w:i/>
          <w:sz w:val="24"/>
          <w:lang w:val="en-US"/>
        </w:rPr>
        <w:t>“</w:t>
      </w:r>
      <w:r w:rsidRPr="0068488D">
        <w:rPr>
          <w:rFonts w:ascii="Times New Roman" w:hAnsi="Times New Roman"/>
          <w:i/>
          <w:sz w:val="24"/>
        </w:rPr>
        <w:t xml:space="preserve">the court will often decide to make no order for costs, unless it can without much effort decide that one of the parties has clearly won, or has won to a sufficient extent to </w:t>
      </w:r>
      <w:r w:rsidRPr="0068488D">
        <w:rPr>
          <w:rFonts w:ascii="Times New Roman" w:hAnsi="Times New Roman"/>
          <w:i/>
          <w:sz w:val="24"/>
        </w:rPr>
        <w:lastRenderedPageBreak/>
        <w:t>justify some order for costs in its favour”.</w:t>
      </w:r>
      <w:r w:rsidRPr="008D6B3D">
        <w:rPr>
          <w:rFonts w:ascii="Times New Roman" w:hAnsi="Times New Roman"/>
          <w:sz w:val="24"/>
          <w:szCs w:val="24"/>
        </w:rPr>
        <w:t xml:space="preserve"> In that case the court may make a partial costs order (</w:t>
      </w:r>
      <w:r w:rsidRPr="008D6B3D">
        <w:rPr>
          <w:rFonts w:ascii="Times New Roman" w:hAnsi="Times New Roman"/>
          <w:i/>
          <w:sz w:val="24"/>
          <w:szCs w:val="24"/>
        </w:rPr>
        <w:t>M</w:t>
      </w:r>
      <w:r w:rsidRPr="008D6B3D">
        <w:rPr>
          <w:rFonts w:ascii="Times New Roman" w:hAnsi="Times New Roman"/>
          <w:sz w:val="24"/>
          <w:szCs w:val="24"/>
        </w:rPr>
        <w:t xml:space="preserve"> at </w:t>
      </w:r>
      <w:r w:rsidR="00994FE1">
        <w:rPr>
          <w:rFonts w:ascii="Times New Roman" w:hAnsi="Times New Roman"/>
          <w:sz w:val="24"/>
          <w:szCs w:val="24"/>
        </w:rPr>
        <w:t>[</w:t>
      </w:r>
      <w:r w:rsidRPr="008D6B3D">
        <w:rPr>
          <w:rFonts w:ascii="Times New Roman" w:hAnsi="Times New Roman"/>
          <w:sz w:val="24"/>
          <w:szCs w:val="24"/>
        </w:rPr>
        <w:t>50</w:t>
      </w:r>
      <w:r w:rsidR="00994FE1">
        <w:rPr>
          <w:rFonts w:ascii="Times New Roman" w:hAnsi="Times New Roman"/>
          <w:sz w:val="24"/>
          <w:szCs w:val="24"/>
        </w:rPr>
        <w:t>]</w:t>
      </w:r>
      <w:r w:rsidRPr="008D6B3D">
        <w:rPr>
          <w:rFonts w:ascii="Times New Roman" w:hAnsi="Times New Roman"/>
          <w:sz w:val="24"/>
          <w:szCs w:val="24"/>
        </w:rPr>
        <w:t xml:space="preserve">, </w:t>
      </w:r>
      <w:r w:rsidR="00994FE1">
        <w:rPr>
          <w:rFonts w:ascii="Times New Roman" w:hAnsi="Times New Roman"/>
          <w:sz w:val="24"/>
          <w:szCs w:val="24"/>
        </w:rPr>
        <w:t>[</w:t>
      </w:r>
      <w:r w:rsidRPr="008D6B3D">
        <w:rPr>
          <w:rFonts w:ascii="Times New Roman" w:hAnsi="Times New Roman"/>
          <w:sz w:val="24"/>
          <w:szCs w:val="24"/>
        </w:rPr>
        <w:t>62</w:t>
      </w:r>
      <w:r w:rsidR="00994FE1">
        <w:rPr>
          <w:rFonts w:ascii="Times New Roman" w:hAnsi="Times New Roman"/>
          <w:sz w:val="24"/>
          <w:szCs w:val="24"/>
        </w:rPr>
        <w:t>]</w:t>
      </w:r>
      <w:r w:rsidRPr="008D6B3D">
        <w:rPr>
          <w:rFonts w:ascii="Times New Roman" w:hAnsi="Times New Roman"/>
          <w:sz w:val="24"/>
          <w:szCs w:val="24"/>
        </w:rPr>
        <w:t xml:space="preserve">). </w:t>
      </w:r>
    </w:p>
    <w:p w14:paraId="1DF7D9C4" w14:textId="77777777" w:rsidR="00E94324" w:rsidRPr="008D6B3D" w:rsidRDefault="00E94324" w:rsidP="00E94324">
      <w:pPr>
        <w:pStyle w:val="ListParagraph"/>
        <w:rPr>
          <w:rFonts w:ascii="Times New Roman" w:hAnsi="Times New Roman"/>
          <w:sz w:val="24"/>
          <w:szCs w:val="24"/>
        </w:rPr>
      </w:pPr>
    </w:p>
    <w:p w14:paraId="1DF7D9C5" w14:textId="738F141F" w:rsidR="00E94324" w:rsidRPr="008D6B3D" w:rsidRDefault="00E94324" w:rsidP="0068488D">
      <w:pPr>
        <w:numPr>
          <w:ilvl w:val="1"/>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 xml:space="preserve">Category 3: </w:t>
      </w:r>
      <w:r w:rsidRPr="008D6B3D">
        <w:rPr>
          <w:rFonts w:ascii="Times New Roman" w:hAnsi="Times New Roman"/>
          <w:sz w:val="24"/>
          <w:szCs w:val="24"/>
        </w:rPr>
        <w:t xml:space="preserve">If the settlement does not accord with the relief sought then normally there will be no order unless the court can form a clear view about which party has succeeded. If one party would clearly have won if the case had fought then that may assist the conclusion that the settlement represents </w:t>
      </w:r>
      <w:r w:rsidR="00B23327">
        <w:rPr>
          <w:rFonts w:ascii="Times New Roman" w:hAnsi="Times New Roman"/>
          <w:sz w:val="24"/>
          <w:szCs w:val="24"/>
        </w:rPr>
        <w:t>‘win’</w:t>
      </w:r>
      <w:r w:rsidRPr="008D6B3D">
        <w:rPr>
          <w:rFonts w:ascii="Times New Roman" w:hAnsi="Times New Roman"/>
          <w:sz w:val="24"/>
          <w:szCs w:val="24"/>
        </w:rPr>
        <w:t xml:space="preserve"> for them </w:t>
      </w:r>
      <w:r w:rsidRPr="008D6B3D">
        <w:rPr>
          <w:rFonts w:ascii="Times New Roman" w:hAnsi="Times New Roman"/>
          <w:i/>
          <w:sz w:val="24"/>
          <w:szCs w:val="24"/>
        </w:rPr>
        <w:t xml:space="preserve">(M </w:t>
      </w:r>
      <w:r w:rsidRPr="008D6B3D">
        <w:rPr>
          <w:rFonts w:ascii="Times New Roman" w:hAnsi="Times New Roman"/>
          <w:sz w:val="24"/>
          <w:szCs w:val="24"/>
        </w:rPr>
        <w:t xml:space="preserve">at </w:t>
      </w:r>
      <w:r w:rsidR="00B23327">
        <w:rPr>
          <w:rFonts w:ascii="Times New Roman" w:hAnsi="Times New Roman"/>
          <w:sz w:val="24"/>
          <w:szCs w:val="24"/>
        </w:rPr>
        <w:t>[</w:t>
      </w:r>
      <w:r w:rsidRPr="008D6B3D">
        <w:rPr>
          <w:rFonts w:ascii="Times New Roman" w:hAnsi="Times New Roman"/>
          <w:sz w:val="24"/>
          <w:szCs w:val="24"/>
        </w:rPr>
        <w:t>51</w:t>
      </w:r>
      <w:r w:rsidR="00B23327">
        <w:rPr>
          <w:rFonts w:ascii="Times New Roman" w:hAnsi="Times New Roman"/>
          <w:sz w:val="24"/>
          <w:szCs w:val="24"/>
        </w:rPr>
        <w:t>]</w:t>
      </w:r>
      <w:r w:rsidRPr="008D6B3D">
        <w:rPr>
          <w:rFonts w:ascii="Times New Roman" w:hAnsi="Times New Roman"/>
          <w:sz w:val="24"/>
          <w:szCs w:val="24"/>
        </w:rPr>
        <w:t xml:space="preserve">, </w:t>
      </w:r>
      <w:r w:rsidR="00B23327">
        <w:rPr>
          <w:rFonts w:ascii="Times New Roman" w:hAnsi="Times New Roman"/>
          <w:sz w:val="24"/>
          <w:szCs w:val="24"/>
        </w:rPr>
        <w:t>[</w:t>
      </w:r>
      <w:r w:rsidRPr="008D6B3D">
        <w:rPr>
          <w:rFonts w:ascii="Times New Roman" w:hAnsi="Times New Roman"/>
          <w:sz w:val="24"/>
          <w:szCs w:val="24"/>
        </w:rPr>
        <w:t>63</w:t>
      </w:r>
      <w:r w:rsidR="00B23327">
        <w:rPr>
          <w:rFonts w:ascii="Times New Roman" w:hAnsi="Times New Roman"/>
          <w:sz w:val="24"/>
          <w:szCs w:val="24"/>
        </w:rPr>
        <w:t>]</w:t>
      </w:r>
      <w:r w:rsidRPr="008D6B3D">
        <w:rPr>
          <w:rStyle w:val="FootnoteReference"/>
          <w:rFonts w:ascii="Times New Roman" w:hAnsi="Times New Roman"/>
          <w:szCs w:val="24"/>
        </w:rPr>
        <w:footnoteReference w:id="13"/>
      </w:r>
      <w:r w:rsidRPr="008D6B3D">
        <w:rPr>
          <w:rFonts w:ascii="Times New Roman" w:hAnsi="Times New Roman"/>
          <w:sz w:val="24"/>
          <w:szCs w:val="24"/>
        </w:rPr>
        <w:t xml:space="preserve">). The same principle applies where intervention by a third party has made the claim academic. In </w:t>
      </w:r>
      <w:r w:rsidRPr="008D6B3D">
        <w:rPr>
          <w:rFonts w:ascii="Times New Roman" w:hAnsi="Times New Roman"/>
          <w:i/>
          <w:sz w:val="24"/>
          <w:szCs w:val="24"/>
        </w:rPr>
        <w:t>R (</w:t>
      </w:r>
      <w:proofErr w:type="spellStart"/>
      <w:r w:rsidRPr="008D6B3D">
        <w:rPr>
          <w:rFonts w:ascii="Times New Roman" w:hAnsi="Times New Roman"/>
          <w:i/>
          <w:sz w:val="24"/>
          <w:szCs w:val="24"/>
        </w:rPr>
        <w:t>Naureen</w:t>
      </w:r>
      <w:proofErr w:type="spellEnd"/>
      <w:r w:rsidRPr="008D6B3D">
        <w:rPr>
          <w:rFonts w:ascii="Times New Roman" w:hAnsi="Times New Roman"/>
          <w:i/>
          <w:sz w:val="24"/>
          <w:szCs w:val="24"/>
        </w:rPr>
        <w:t>, Hayat) v Salford CC</w:t>
      </w:r>
      <w:r w:rsidRPr="008D6B3D">
        <w:rPr>
          <w:rFonts w:ascii="Times New Roman" w:hAnsi="Times New Roman"/>
          <w:sz w:val="24"/>
          <w:szCs w:val="24"/>
        </w:rPr>
        <w:t xml:space="preserve"> [2012] EWCA 1795 the challenge was against the local authority in respect of a refusal to accommodate but the claim became academic when one of the claimants was given exceptional leave to remain and so was entitled to accommodation. Costs were refused because it was not clear who would have won or lost. It did not matter that the Claimants had succeeded in obtaining an interim injunction because that did not mean that they had succeeded in the action. But contrast </w:t>
      </w:r>
      <w:r w:rsidRPr="008D6B3D">
        <w:rPr>
          <w:rFonts w:ascii="Times New Roman" w:hAnsi="Times New Roman"/>
          <w:i/>
          <w:sz w:val="24"/>
          <w:szCs w:val="24"/>
        </w:rPr>
        <w:t xml:space="preserve">R (Dempsey) v Sutton LBC </w:t>
      </w:r>
      <w:r w:rsidRPr="008D6B3D">
        <w:rPr>
          <w:rFonts w:ascii="Times New Roman" w:hAnsi="Times New Roman"/>
          <w:sz w:val="24"/>
          <w:szCs w:val="24"/>
        </w:rPr>
        <w:t xml:space="preserve">22 Feb 2013 CA where judicial review proceedings were started in an emergency when the authority had failed to provide an assessment and the claimant obtained interim relief. Accommodation later became available but she was still entitled to her costs in view of the way that the authority had handled the matter. </w:t>
      </w:r>
      <w:r w:rsidRPr="008D6B3D">
        <w:rPr>
          <w:rFonts w:ascii="Times New Roman" w:hAnsi="Times New Roman"/>
          <w:i/>
          <w:sz w:val="24"/>
          <w:szCs w:val="24"/>
        </w:rPr>
        <w:t xml:space="preserve"> </w:t>
      </w:r>
    </w:p>
    <w:p w14:paraId="1DF7D9C6" w14:textId="77777777" w:rsidR="00E94324" w:rsidRPr="008D6B3D" w:rsidRDefault="00E94324" w:rsidP="00E94324">
      <w:pPr>
        <w:pStyle w:val="ListParagraph"/>
        <w:rPr>
          <w:rFonts w:ascii="Times New Roman" w:hAnsi="Times New Roman"/>
          <w:sz w:val="24"/>
          <w:szCs w:val="24"/>
          <w:lang w:val="en-US"/>
        </w:rPr>
      </w:pPr>
    </w:p>
    <w:p w14:paraId="1DF7D9C7" w14:textId="57A79168" w:rsidR="00E94324" w:rsidRPr="008D6B3D" w:rsidRDefault="00E94324" w:rsidP="006F53FC">
      <w:pPr>
        <w:numPr>
          <w:ilvl w:val="1"/>
          <w:numId w:val="31"/>
        </w:numPr>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The fact that one party is in receipt of legal aid is irrelevant either way– </w:t>
      </w:r>
      <w:proofErr w:type="spellStart"/>
      <w:r w:rsidRPr="008D6B3D">
        <w:rPr>
          <w:rFonts w:ascii="Times New Roman" w:hAnsi="Times New Roman"/>
          <w:i/>
          <w:sz w:val="24"/>
          <w:szCs w:val="24"/>
          <w:lang w:val="en-US"/>
        </w:rPr>
        <w:t>Bahta</w:t>
      </w:r>
      <w:proofErr w:type="spellEnd"/>
      <w:r w:rsidRPr="008D6B3D">
        <w:rPr>
          <w:rFonts w:ascii="Times New Roman" w:hAnsi="Times New Roman"/>
          <w:i/>
          <w:sz w:val="24"/>
          <w:szCs w:val="24"/>
          <w:lang w:val="en-US"/>
        </w:rPr>
        <w:t xml:space="preserve"> </w:t>
      </w:r>
      <w:r w:rsidRPr="008D6B3D">
        <w:rPr>
          <w:rFonts w:ascii="Times New Roman" w:hAnsi="Times New Roman"/>
          <w:sz w:val="24"/>
          <w:szCs w:val="24"/>
          <w:lang w:val="en-US"/>
        </w:rPr>
        <w:t>at</w:t>
      </w:r>
      <w:r w:rsidRPr="008D6B3D">
        <w:rPr>
          <w:rFonts w:ascii="Times New Roman" w:hAnsi="Times New Roman"/>
          <w:i/>
          <w:sz w:val="24"/>
          <w:szCs w:val="24"/>
          <w:lang w:val="en-US"/>
        </w:rPr>
        <w:t xml:space="preserve"> </w:t>
      </w:r>
      <w:r w:rsidR="00B23327">
        <w:rPr>
          <w:rFonts w:ascii="Times New Roman" w:hAnsi="Times New Roman"/>
          <w:sz w:val="24"/>
          <w:szCs w:val="24"/>
          <w:lang w:val="en-US"/>
        </w:rPr>
        <w:t>[</w:t>
      </w:r>
      <w:r w:rsidRPr="008D6B3D">
        <w:rPr>
          <w:rFonts w:ascii="Times New Roman" w:hAnsi="Times New Roman"/>
          <w:sz w:val="24"/>
          <w:szCs w:val="24"/>
          <w:lang w:val="en-US"/>
        </w:rPr>
        <w:t>61</w:t>
      </w:r>
      <w:r w:rsidR="00B23327">
        <w:rPr>
          <w:rFonts w:ascii="Times New Roman" w:hAnsi="Times New Roman"/>
          <w:sz w:val="24"/>
          <w:szCs w:val="24"/>
          <w:lang w:val="en-US"/>
        </w:rPr>
        <w:t>]</w:t>
      </w:r>
      <w:r w:rsidRPr="008D6B3D">
        <w:rPr>
          <w:rFonts w:ascii="Times New Roman" w:hAnsi="Times New Roman"/>
          <w:sz w:val="24"/>
          <w:szCs w:val="24"/>
          <w:lang w:val="en-US"/>
        </w:rPr>
        <w:t>-</w:t>
      </w:r>
      <w:r w:rsidR="00B23327">
        <w:rPr>
          <w:rFonts w:ascii="Times New Roman" w:hAnsi="Times New Roman"/>
          <w:sz w:val="24"/>
          <w:szCs w:val="24"/>
          <w:lang w:val="en-US"/>
        </w:rPr>
        <w:t>[6</w:t>
      </w:r>
      <w:r w:rsidRPr="008D6B3D">
        <w:rPr>
          <w:rFonts w:ascii="Times New Roman" w:hAnsi="Times New Roman"/>
          <w:sz w:val="24"/>
          <w:szCs w:val="24"/>
          <w:lang w:val="en-US"/>
        </w:rPr>
        <w:t>2</w:t>
      </w:r>
      <w:r w:rsidR="00B23327">
        <w:rPr>
          <w:rFonts w:ascii="Times New Roman" w:hAnsi="Times New Roman"/>
          <w:sz w:val="24"/>
          <w:szCs w:val="24"/>
          <w:lang w:val="en-US"/>
        </w:rPr>
        <w:t>]</w:t>
      </w:r>
      <w:r w:rsidRPr="008D6B3D">
        <w:rPr>
          <w:rFonts w:ascii="Times New Roman" w:hAnsi="Times New Roman"/>
          <w:sz w:val="24"/>
          <w:szCs w:val="24"/>
          <w:lang w:val="en-US"/>
        </w:rPr>
        <w:t>.</w:t>
      </w:r>
    </w:p>
    <w:p w14:paraId="1DF7D9C8" w14:textId="77777777" w:rsidR="00E94324" w:rsidRPr="008D6B3D" w:rsidRDefault="00E94324" w:rsidP="00E94324">
      <w:pPr>
        <w:pStyle w:val="ListParagraph"/>
        <w:rPr>
          <w:rFonts w:ascii="Times New Roman" w:hAnsi="Times New Roman"/>
          <w:sz w:val="24"/>
          <w:szCs w:val="24"/>
          <w:lang w:val="en-US"/>
        </w:rPr>
      </w:pPr>
    </w:p>
    <w:p w14:paraId="1DF7D9C9" w14:textId="232A5979" w:rsidR="00E94324" w:rsidRPr="008D6B3D" w:rsidRDefault="00E94324" w:rsidP="006F53FC">
      <w:pPr>
        <w:numPr>
          <w:ilvl w:val="1"/>
          <w:numId w:val="31"/>
        </w:numPr>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The burden lies on the paying party to show that there should be a departure from the general rule </w:t>
      </w:r>
      <w:r w:rsidR="00F56F2A">
        <w:rPr>
          <w:rFonts w:ascii="Times New Roman" w:hAnsi="Times New Roman"/>
          <w:sz w:val="24"/>
          <w:szCs w:val="24"/>
          <w:lang w:val="en-US"/>
        </w:rPr>
        <w:t>(</w:t>
      </w:r>
      <w:proofErr w:type="spellStart"/>
      <w:r w:rsidRPr="008D6B3D">
        <w:rPr>
          <w:rFonts w:ascii="Times New Roman" w:hAnsi="Times New Roman"/>
          <w:i/>
          <w:sz w:val="24"/>
          <w:szCs w:val="24"/>
          <w:lang w:val="en-US"/>
        </w:rPr>
        <w:t>Bahta</w:t>
      </w:r>
      <w:proofErr w:type="spellEnd"/>
      <w:r w:rsidR="00F56F2A">
        <w:rPr>
          <w:rFonts w:ascii="Times New Roman" w:hAnsi="Times New Roman"/>
          <w:i/>
          <w:sz w:val="24"/>
          <w:szCs w:val="24"/>
          <w:lang w:val="en-US"/>
        </w:rPr>
        <w:t>,</w:t>
      </w:r>
      <w:r w:rsidRPr="008D6B3D">
        <w:rPr>
          <w:rFonts w:ascii="Times New Roman" w:hAnsi="Times New Roman"/>
          <w:i/>
          <w:sz w:val="24"/>
          <w:szCs w:val="24"/>
          <w:lang w:val="en-US"/>
        </w:rPr>
        <w:t xml:space="preserve"> </w:t>
      </w:r>
      <w:r w:rsidR="00F56F2A">
        <w:rPr>
          <w:rFonts w:ascii="Times New Roman" w:hAnsi="Times New Roman"/>
          <w:sz w:val="24"/>
          <w:szCs w:val="24"/>
          <w:lang w:val="en-US"/>
        </w:rPr>
        <w:t>[</w:t>
      </w:r>
      <w:r w:rsidRPr="008D6B3D">
        <w:rPr>
          <w:rFonts w:ascii="Times New Roman" w:hAnsi="Times New Roman"/>
          <w:sz w:val="24"/>
          <w:szCs w:val="24"/>
          <w:lang w:val="en-US"/>
        </w:rPr>
        <w:t>65</w:t>
      </w:r>
      <w:r w:rsidR="00F56F2A">
        <w:rPr>
          <w:rFonts w:ascii="Times New Roman" w:hAnsi="Times New Roman"/>
          <w:sz w:val="24"/>
          <w:szCs w:val="24"/>
          <w:lang w:val="en-US"/>
        </w:rPr>
        <w:t>])</w:t>
      </w:r>
      <w:r w:rsidRPr="008D6B3D">
        <w:rPr>
          <w:rFonts w:ascii="Times New Roman" w:hAnsi="Times New Roman"/>
          <w:sz w:val="24"/>
          <w:szCs w:val="24"/>
          <w:lang w:val="en-US"/>
        </w:rPr>
        <w:t xml:space="preserve">. </w:t>
      </w:r>
    </w:p>
    <w:p w14:paraId="1DF7D9CA" w14:textId="77777777" w:rsidR="00E94324" w:rsidRPr="008D6B3D" w:rsidRDefault="00E94324" w:rsidP="00E94324">
      <w:pPr>
        <w:pStyle w:val="ListParagraph"/>
        <w:rPr>
          <w:rFonts w:ascii="Times New Roman" w:hAnsi="Times New Roman"/>
          <w:sz w:val="24"/>
          <w:szCs w:val="24"/>
          <w:lang w:val="en-US"/>
        </w:rPr>
      </w:pPr>
    </w:p>
    <w:p w14:paraId="1DF7D9CB" w14:textId="77777777" w:rsidR="00E94324" w:rsidRPr="008D6B3D" w:rsidRDefault="00E94324" w:rsidP="006F53FC">
      <w:pPr>
        <w:numPr>
          <w:ilvl w:val="1"/>
          <w:numId w:val="31"/>
        </w:numPr>
        <w:spacing w:after="0" w:line="360" w:lineRule="auto"/>
        <w:rPr>
          <w:rFonts w:ascii="Times New Roman" w:hAnsi="Times New Roman"/>
          <w:sz w:val="24"/>
          <w:szCs w:val="24"/>
          <w:lang w:val="en-US"/>
        </w:rPr>
      </w:pPr>
      <w:r w:rsidRPr="008D6B3D">
        <w:rPr>
          <w:rFonts w:ascii="Times New Roman" w:hAnsi="Times New Roman"/>
          <w:sz w:val="24"/>
          <w:szCs w:val="24"/>
          <w:lang w:val="en-US"/>
        </w:rPr>
        <w:lastRenderedPageBreak/>
        <w:t xml:space="preserve">The following are not generally reasons to depart from the general rule. </w:t>
      </w:r>
    </w:p>
    <w:p w14:paraId="1DF7D9CC" w14:textId="77777777" w:rsidR="00E94324" w:rsidRPr="008D6B3D" w:rsidRDefault="00E94324" w:rsidP="00E94324">
      <w:pPr>
        <w:pStyle w:val="ListParagraph"/>
        <w:rPr>
          <w:rFonts w:ascii="Times New Roman" w:hAnsi="Times New Roman"/>
          <w:sz w:val="24"/>
          <w:szCs w:val="24"/>
          <w:lang w:val="en-US"/>
        </w:rPr>
      </w:pPr>
    </w:p>
    <w:p w14:paraId="1DF7D9CD" w14:textId="639CA5D0" w:rsidR="00E94324" w:rsidRPr="008D6B3D" w:rsidRDefault="00E94324" w:rsidP="006F53FC">
      <w:pPr>
        <w:numPr>
          <w:ilvl w:val="2"/>
          <w:numId w:val="31"/>
        </w:numPr>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The Defendant could not, for resource reasons address the claim before issue (see </w:t>
      </w:r>
      <w:proofErr w:type="spellStart"/>
      <w:r w:rsidRPr="008D6B3D">
        <w:rPr>
          <w:rFonts w:ascii="Times New Roman" w:hAnsi="Times New Roman"/>
          <w:i/>
          <w:sz w:val="24"/>
          <w:szCs w:val="24"/>
          <w:lang w:val="en-US"/>
        </w:rPr>
        <w:t>Bahta</w:t>
      </w:r>
      <w:proofErr w:type="spellEnd"/>
      <w:r w:rsidRPr="008D6B3D">
        <w:rPr>
          <w:rFonts w:ascii="Times New Roman" w:hAnsi="Times New Roman"/>
          <w:sz w:val="24"/>
          <w:szCs w:val="24"/>
          <w:lang w:val="en-US"/>
        </w:rPr>
        <w:t xml:space="preserve"> at </w:t>
      </w:r>
      <w:r w:rsidR="00F56F2A">
        <w:rPr>
          <w:rFonts w:ascii="Times New Roman" w:hAnsi="Times New Roman"/>
          <w:sz w:val="24"/>
          <w:szCs w:val="24"/>
          <w:lang w:val="en-US"/>
        </w:rPr>
        <w:t>[</w:t>
      </w:r>
      <w:r w:rsidRPr="008D6B3D">
        <w:rPr>
          <w:rFonts w:ascii="Times New Roman" w:hAnsi="Times New Roman"/>
          <w:sz w:val="24"/>
          <w:szCs w:val="24"/>
          <w:lang w:val="en-US"/>
        </w:rPr>
        <w:t>59</w:t>
      </w:r>
      <w:r w:rsidR="00F56F2A">
        <w:rPr>
          <w:rFonts w:ascii="Times New Roman" w:hAnsi="Times New Roman"/>
          <w:sz w:val="24"/>
          <w:szCs w:val="24"/>
          <w:lang w:val="en-US"/>
        </w:rPr>
        <w:t>]</w:t>
      </w:r>
      <w:r w:rsidRPr="008D6B3D">
        <w:rPr>
          <w:rFonts w:ascii="Times New Roman" w:hAnsi="Times New Roman"/>
          <w:sz w:val="24"/>
          <w:szCs w:val="24"/>
          <w:lang w:val="en-US"/>
        </w:rPr>
        <w:t>-</w:t>
      </w:r>
      <w:r w:rsidR="00F56F2A">
        <w:rPr>
          <w:rFonts w:ascii="Times New Roman" w:hAnsi="Times New Roman"/>
          <w:sz w:val="24"/>
          <w:szCs w:val="24"/>
          <w:lang w:val="en-US"/>
        </w:rPr>
        <w:t>[</w:t>
      </w:r>
      <w:r w:rsidRPr="008D6B3D">
        <w:rPr>
          <w:rFonts w:ascii="Times New Roman" w:hAnsi="Times New Roman"/>
          <w:sz w:val="24"/>
          <w:szCs w:val="24"/>
          <w:lang w:val="en-US"/>
        </w:rPr>
        <w:t>60</w:t>
      </w:r>
      <w:r w:rsidR="00F56F2A">
        <w:rPr>
          <w:rFonts w:ascii="Times New Roman" w:hAnsi="Times New Roman"/>
          <w:sz w:val="24"/>
          <w:szCs w:val="24"/>
          <w:lang w:val="en-US"/>
        </w:rPr>
        <w:t>]</w:t>
      </w:r>
      <w:r w:rsidRPr="008D6B3D">
        <w:rPr>
          <w:rFonts w:ascii="Times New Roman" w:hAnsi="Times New Roman"/>
          <w:sz w:val="24"/>
          <w:szCs w:val="24"/>
          <w:lang w:val="en-US"/>
        </w:rPr>
        <w:t xml:space="preserve"> and </w:t>
      </w:r>
      <w:proofErr w:type="spellStart"/>
      <w:r w:rsidRPr="008D6B3D">
        <w:rPr>
          <w:rFonts w:ascii="Times New Roman" w:hAnsi="Times New Roman"/>
          <w:i/>
          <w:sz w:val="24"/>
          <w:szCs w:val="24"/>
          <w:lang w:val="en-US"/>
        </w:rPr>
        <w:t xml:space="preserve">M </w:t>
      </w:r>
      <w:r w:rsidRPr="0068488D">
        <w:rPr>
          <w:rFonts w:ascii="Times New Roman" w:hAnsi="Times New Roman"/>
          <w:sz w:val="24"/>
          <w:lang w:val="en-US"/>
        </w:rPr>
        <w:t>at</w:t>
      </w:r>
      <w:proofErr w:type="spellEnd"/>
      <w:r w:rsidRPr="0068488D">
        <w:rPr>
          <w:rFonts w:ascii="Times New Roman" w:hAnsi="Times New Roman"/>
          <w:sz w:val="24"/>
          <w:lang w:val="en-US"/>
        </w:rPr>
        <w:t xml:space="preserve"> </w:t>
      </w:r>
      <w:r w:rsidR="00F56F2A">
        <w:rPr>
          <w:rFonts w:ascii="Times New Roman" w:hAnsi="Times New Roman"/>
          <w:sz w:val="24"/>
          <w:szCs w:val="24"/>
          <w:lang w:val="en-US"/>
        </w:rPr>
        <w:t>[</w:t>
      </w:r>
      <w:r w:rsidRPr="0068488D">
        <w:rPr>
          <w:rFonts w:ascii="Times New Roman" w:hAnsi="Times New Roman"/>
          <w:sz w:val="24"/>
          <w:lang w:val="en-US"/>
        </w:rPr>
        <w:t>54</w:t>
      </w:r>
      <w:r w:rsidR="00F56F2A">
        <w:rPr>
          <w:rFonts w:ascii="Times New Roman" w:hAnsi="Times New Roman"/>
          <w:sz w:val="24"/>
          <w:szCs w:val="24"/>
          <w:lang w:val="en-US"/>
        </w:rPr>
        <w:t>]</w:t>
      </w:r>
      <w:r w:rsidRPr="008D6B3D">
        <w:rPr>
          <w:rFonts w:ascii="Times New Roman" w:hAnsi="Times New Roman"/>
          <w:sz w:val="24"/>
          <w:szCs w:val="24"/>
          <w:lang w:val="en-US"/>
        </w:rPr>
        <w:t>)</w:t>
      </w:r>
      <w:r w:rsidRPr="008D6B3D">
        <w:rPr>
          <w:rFonts w:ascii="Times New Roman" w:hAnsi="Times New Roman"/>
          <w:i/>
          <w:sz w:val="24"/>
          <w:szCs w:val="24"/>
          <w:lang w:val="en-US"/>
        </w:rPr>
        <w:t>.</w:t>
      </w:r>
    </w:p>
    <w:p w14:paraId="1DF7D9CE" w14:textId="0B920B3C" w:rsidR="00E94324" w:rsidRPr="008D6B3D" w:rsidRDefault="00E94324" w:rsidP="006F53FC">
      <w:pPr>
        <w:numPr>
          <w:ilvl w:val="2"/>
          <w:numId w:val="31"/>
        </w:numPr>
        <w:spacing w:after="0" w:line="360" w:lineRule="auto"/>
        <w:rPr>
          <w:rFonts w:ascii="Times New Roman" w:hAnsi="Times New Roman"/>
          <w:sz w:val="24"/>
          <w:szCs w:val="24"/>
          <w:lang w:val="en-US"/>
        </w:rPr>
      </w:pPr>
      <w:r w:rsidRPr="008D6B3D">
        <w:rPr>
          <w:rFonts w:ascii="Times New Roman" w:hAnsi="Times New Roman"/>
          <w:sz w:val="24"/>
          <w:szCs w:val="24"/>
          <w:lang w:val="en-US"/>
        </w:rPr>
        <w:t>The claim was settled because it was not proportionate to fight the case – the response to this is that the D ought to make up its mind before issue (</w:t>
      </w:r>
      <w:r w:rsidRPr="008D6B3D">
        <w:rPr>
          <w:rFonts w:ascii="Times New Roman" w:hAnsi="Times New Roman"/>
          <w:i/>
          <w:sz w:val="24"/>
          <w:szCs w:val="24"/>
          <w:lang w:val="en-US"/>
        </w:rPr>
        <w:t>M</w:t>
      </w:r>
      <w:r w:rsidRPr="008D6B3D">
        <w:rPr>
          <w:rFonts w:ascii="Times New Roman" w:hAnsi="Times New Roman"/>
          <w:sz w:val="24"/>
          <w:szCs w:val="24"/>
          <w:lang w:val="en-US"/>
        </w:rPr>
        <w:t xml:space="preserve"> at </w:t>
      </w:r>
      <w:r w:rsidR="00902959">
        <w:rPr>
          <w:rFonts w:ascii="Times New Roman" w:hAnsi="Times New Roman"/>
          <w:sz w:val="24"/>
          <w:szCs w:val="24"/>
          <w:lang w:val="en-US"/>
        </w:rPr>
        <w:t>[</w:t>
      </w:r>
      <w:r w:rsidRPr="008D6B3D">
        <w:rPr>
          <w:rFonts w:ascii="Times New Roman" w:hAnsi="Times New Roman"/>
          <w:sz w:val="24"/>
          <w:szCs w:val="24"/>
          <w:lang w:val="en-US"/>
        </w:rPr>
        <w:t>55</w:t>
      </w:r>
      <w:r w:rsidR="00902959">
        <w:rPr>
          <w:rFonts w:ascii="Times New Roman" w:hAnsi="Times New Roman"/>
          <w:sz w:val="24"/>
          <w:szCs w:val="24"/>
          <w:lang w:val="en-US"/>
        </w:rPr>
        <w:t>]</w:t>
      </w:r>
      <w:r w:rsidRPr="008D6B3D">
        <w:rPr>
          <w:rFonts w:ascii="Times New Roman" w:hAnsi="Times New Roman"/>
          <w:sz w:val="24"/>
          <w:szCs w:val="24"/>
          <w:lang w:val="en-US"/>
        </w:rPr>
        <w:t xml:space="preserve">). </w:t>
      </w:r>
    </w:p>
    <w:p w14:paraId="1DF7D9CF" w14:textId="7CC5BB22" w:rsidR="00E94324" w:rsidRPr="008D6B3D" w:rsidRDefault="00E94324" w:rsidP="006F53FC">
      <w:pPr>
        <w:numPr>
          <w:ilvl w:val="2"/>
          <w:numId w:val="31"/>
        </w:numPr>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The claim was settled for </w:t>
      </w:r>
      <w:r w:rsidRPr="0068488D">
        <w:rPr>
          <w:rFonts w:ascii="Times New Roman" w:hAnsi="Times New Roman"/>
          <w:i/>
          <w:sz w:val="24"/>
          <w:lang w:val="en-US"/>
        </w:rPr>
        <w:t>“pragmatic reasons”.</w:t>
      </w:r>
      <w:r w:rsidRPr="008D6B3D">
        <w:rPr>
          <w:rFonts w:ascii="Times New Roman" w:hAnsi="Times New Roman"/>
          <w:sz w:val="24"/>
          <w:szCs w:val="24"/>
          <w:lang w:val="en-US"/>
        </w:rPr>
        <w:t xml:space="preserve"> If a D wishes to rely on this then they must fully spell out what the reasons are and why they justify a different order – </w:t>
      </w:r>
      <w:proofErr w:type="spellStart"/>
      <w:r w:rsidRPr="008D6B3D">
        <w:rPr>
          <w:rFonts w:ascii="Times New Roman" w:hAnsi="Times New Roman"/>
          <w:i/>
          <w:sz w:val="24"/>
          <w:szCs w:val="24"/>
          <w:lang w:val="en-US"/>
        </w:rPr>
        <w:t>Bahta</w:t>
      </w:r>
      <w:proofErr w:type="spellEnd"/>
      <w:r w:rsidRPr="008D6B3D">
        <w:rPr>
          <w:rFonts w:ascii="Times New Roman" w:hAnsi="Times New Roman"/>
          <w:sz w:val="24"/>
          <w:szCs w:val="24"/>
          <w:lang w:val="en-US"/>
        </w:rPr>
        <w:t xml:space="preserve"> at </w:t>
      </w:r>
      <w:r w:rsidR="00902959">
        <w:rPr>
          <w:rFonts w:ascii="Times New Roman" w:hAnsi="Times New Roman"/>
          <w:sz w:val="24"/>
          <w:szCs w:val="24"/>
          <w:lang w:val="en-US"/>
        </w:rPr>
        <w:t>[</w:t>
      </w:r>
      <w:r w:rsidRPr="008D6B3D">
        <w:rPr>
          <w:rFonts w:ascii="Times New Roman" w:hAnsi="Times New Roman"/>
          <w:sz w:val="24"/>
          <w:szCs w:val="24"/>
          <w:lang w:val="en-US"/>
        </w:rPr>
        <w:t>63</w:t>
      </w:r>
      <w:r w:rsidR="00902959">
        <w:rPr>
          <w:rFonts w:ascii="Times New Roman" w:hAnsi="Times New Roman"/>
          <w:sz w:val="24"/>
          <w:szCs w:val="24"/>
          <w:lang w:val="en-US"/>
        </w:rPr>
        <w:t>].</w:t>
      </w:r>
    </w:p>
    <w:p w14:paraId="1DF7D9D0" w14:textId="77777777" w:rsidR="00E94324" w:rsidRPr="008D6B3D" w:rsidRDefault="00E94324" w:rsidP="00E94324">
      <w:pPr>
        <w:spacing w:line="360" w:lineRule="auto"/>
        <w:ind w:left="2340"/>
        <w:rPr>
          <w:rFonts w:ascii="Times New Roman" w:hAnsi="Times New Roman"/>
          <w:sz w:val="24"/>
          <w:szCs w:val="24"/>
          <w:lang w:val="en-US"/>
        </w:rPr>
      </w:pPr>
    </w:p>
    <w:p w14:paraId="1DF7D9D1" w14:textId="77777777" w:rsidR="00E94324" w:rsidRPr="008D6B3D" w:rsidRDefault="00E94324" w:rsidP="006F53FC">
      <w:pPr>
        <w:numPr>
          <w:ilvl w:val="1"/>
          <w:numId w:val="31"/>
        </w:numPr>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The following might justify a different order, particularly that the C should not get all of their costs: </w:t>
      </w:r>
    </w:p>
    <w:p w14:paraId="1DF7D9D2" w14:textId="77777777" w:rsidR="00E94324" w:rsidRPr="008D6B3D" w:rsidRDefault="00E94324" w:rsidP="00E94324">
      <w:pPr>
        <w:spacing w:line="360" w:lineRule="auto"/>
        <w:ind w:left="1440"/>
        <w:rPr>
          <w:rFonts w:ascii="Times New Roman" w:hAnsi="Times New Roman"/>
          <w:sz w:val="24"/>
          <w:szCs w:val="24"/>
          <w:lang w:val="en-US"/>
        </w:rPr>
      </w:pPr>
    </w:p>
    <w:p w14:paraId="1DF7D9D3" w14:textId="184B9C0F" w:rsidR="00E94324" w:rsidRPr="008D6B3D" w:rsidRDefault="00E94324" w:rsidP="0068488D">
      <w:pPr>
        <w:numPr>
          <w:ilvl w:val="2"/>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There was either no pre-action protocol letter or it was not clear (</w:t>
      </w:r>
      <w:r w:rsidRPr="0068488D">
        <w:rPr>
          <w:rFonts w:ascii="Times New Roman" w:hAnsi="Times New Roman"/>
          <w:i/>
          <w:sz w:val="24"/>
          <w:lang w:val="en-US"/>
        </w:rPr>
        <w:t>M</w:t>
      </w:r>
      <w:r w:rsidRPr="008D6B3D">
        <w:rPr>
          <w:rFonts w:ascii="Times New Roman" w:hAnsi="Times New Roman"/>
          <w:sz w:val="24"/>
          <w:szCs w:val="24"/>
          <w:lang w:val="en-US"/>
        </w:rPr>
        <w:t xml:space="preserve"> at </w:t>
      </w:r>
      <w:r w:rsidR="00902959">
        <w:rPr>
          <w:rFonts w:ascii="Times New Roman" w:hAnsi="Times New Roman"/>
          <w:sz w:val="24"/>
          <w:szCs w:val="24"/>
          <w:lang w:val="en-US"/>
        </w:rPr>
        <w:t>[</w:t>
      </w:r>
      <w:r w:rsidRPr="008D6B3D">
        <w:rPr>
          <w:rFonts w:ascii="Times New Roman" w:hAnsi="Times New Roman"/>
          <w:sz w:val="24"/>
          <w:szCs w:val="24"/>
          <w:lang w:val="en-US"/>
        </w:rPr>
        <w:t>57</w:t>
      </w:r>
      <w:r w:rsidR="00902959">
        <w:rPr>
          <w:rFonts w:ascii="Times New Roman" w:hAnsi="Times New Roman"/>
          <w:sz w:val="24"/>
          <w:szCs w:val="24"/>
          <w:lang w:val="en-US"/>
        </w:rPr>
        <w:t>]</w:t>
      </w:r>
      <w:r w:rsidRPr="008D6B3D">
        <w:rPr>
          <w:rFonts w:ascii="Times New Roman" w:hAnsi="Times New Roman"/>
          <w:sz w:val="24"/>
          <w:szCs w:val="24"/>
          <w:lang w:val="en-US"/>
        </w:rPr>
        <w:t xml:space="preserve">). But if the claimant has achieved success in this sense then that may outweigh an earlier failure to comply with the pre-action protocol provided that was not causally significant - </w:t>
      </w:r>
      <w:r w:rsidRPr="008D6B3D">
        <w:rPr>
          <w:rFonts w:ascii="Times New Roman" w:hAnsi="Times New Roman"/>
          <w:i/>
          <w:sz w:val="24"/>
          <w:szCs w:val="24"/>
          <w:lang w:val="en-US"/>
        </w:rPr>
        <w:t xml:space="preserve"> KR v SSHD </w:t>
      </w:r>
      <w:r w:rsidRPr="008D6B3D">
        <w:rPr>
          <w:rFonts w:ascii="Times New Roman" w:hAnsi="Times New Roman"/>
          <w:sz w:val="24"/>
          <w:szCs w:val="24"/>
          <w:lang w:val="en-US"/>
        </w:rPr>
        <w:t xml:space="preserve"> [2012] EWCA Civ 1555.</w:t>
      </w:r>
    </w:p>
    <w:p w14:paraId="7CD78696" w14:textId="77777777" w:rsidR="00902959" w:rsidRPr="008D6B3D" w:rsidRDefault="00902959" w:rsidP="00902959">
      <w:pPr>
        <w:spacing w:after="0" w:line="360" w:lineRule="auto"/>
        <w:ind w:left="2160"/>
        <w:jc w:val="both"/>
        <w:rPr>
          <w:rFonts w:ascii="Times New Roman" w:hAnsi="Times New Roman"/>
          <w:sz w:val="24"/>
          <w:szCs w:val="24"/>
          <w:lang w:val="en-US"/>
        </w:rPr>
      </w:pPr>
    </w:p>
    <w:p w14:paraId="1DF7D9D4" w14:textId="77777777" w:rsidR="00E94324" w:rsidRPr="008D6B3D" w:rsidRDefault="00E94324" w:rsidP="0068488D">
      <w:pPr>
        <w:numPr>
          <w:ilvl w:val="2"/>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 xml:space="preserve">Poor and inefficient conduct of the litigation. In </w:t>
      </w:r>
      <w:r w:rsidRPr="008D6B3D">
        <w:rPr>
          <w:rFonts w:ascii="Times New Roman" w:hAnsi="Times New Roman"/>
          <w:i/>
          <w:sz w:val="24"/>
          <w:szCs w:val="24"/>
          <w:lang w:val="en-US"/>
        </w:rPr>
        <w:t>R (</w:t>
      </w:r>
      <w:proofErr w:type="spellStart"/>
      <w:r w:rsidRPr="008D6B3D">
        <w:rPr>
          <w:rFonts w:ascii="Times New Roman" w:hAnsi="Times New Roman"/>
          <w:i/>
          <w:sz w:val="24"/>
          <w:szCs w:val="24"/>
          <w:lang w:val="en-US"/>
        </w:rPr>
        <w:t>Srinvasans</w:t>
      </w:r>
      <w:proofErr w:type="spellEnd"/>
      <w:r w:rsidRPr="008D6B3D">
        <w:rPr>
          <w:rFonts w:ascii="Times New Roman" w:hAnsi="Times New Roman"/>
          <w:i/>
          <w:sz w:val="24"/>
          <w:szCs w:val="24"/>
          <w:lang w:val="en-US"/>
        </w:rPr>
        <w:t xml:space="preserve"> Solicitors) v Croydon County Court</w:t>
      </w:r>
      <w:r w:rsidRPr="008D6B3D">
        <w:rPr>
          <w:rFonts w:ascii="Times New Roman" w:hAnsi="Times New Roman"/>
          <w:sz w:val="24"/>
          <w:szCs w:val="24"/>
          <w:lang w:val="en-US"/>
        </w:rPr>
        <w:t xml:space="preserve"> [2013] EWCA Civ 249 an order of the County Court was quashed when it lacked jurisdiction (the matter could only be brought in the High Court). But the claimant firm had not succeeded on its whole claim and it had failed to raise points at the right time and had abandoned others. The judge was entitled to make no order.  </w:t>
      </w:r>
    </w:p>
    <w:p w14:paraId="735323D2" w14:textId="77777777" w:rsidR="00902959" w:rsidRDefault="00902959" w:rsidP="00902959">
      <w:pPr>
        <w:spacing w:after="0" w:line="360" w:lineRule="auto"/>
        <w:ind w:left="2160"/>
        <w:jc w:val="both"/>
        <w:rPr>
          <w:rFonts w:ascii="Times New Roman" w:hAnsi="Times New Roman"/>
          <w:sz w:val="24"/>
          <w:szCs w:val="24"/>
          <w:lang w:val="en-US"/>
        </w:rPr>
      </w:pPr>
    </w:p>
    <w:p w14:paraId="1DF7D9D5" w14:textId="72C5C83D" w:rsidR="00E94324" w:rsidRPr="008D6B3D" w:rsidRDefault="00E94324" w:rsidP="0068488D">
      <w:pPr>
        <w:numPr>
          <w:ilvl w:val="2"/>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 xml:space="preserve">There has been a relevant change in the law or other circumstances changing whether it is reasonable to bring or defend the claim – </w:t>
      </w:r>
      <w:r w:rsidRPr="008D6B3D">
        <w:rPr>
          <w:rFonts w:ascii="Times New Roman" w:hAnsi="Times New Roman"/>
          <w:i/>
          <w:sz w:val="24"/>
          <w:szCs w:val="24"/>
          <w:lang w:val="en-US"/>
        </w:rPr>
        <w:t xml:space="preserve">M </w:t>
      </w:r>
      <w:r w:rsidRPr="008D6B3D">
        <w:rPr>
          <w:rFonts w:ascii="Times New Roman" w:hAnsi="Times New Roman"/>
          <w:sz w:val="24"/>
          <w:szCs w:val="24"/>
          <w:lang w:val="en-US"/>
        </w:rPr>
        <w:t xml:space="preserve">at </w:t>
      </w:r>
      <w:r w:rsidR="00902959">
        <w:rPr>
          <w:rFonts w:ascii="Times New Roman" w:hAnsi="Times New Roman"/>
          <w:sz w:val="24"/>
          <w:szCs w:val="24"/>
          <w:lang w:val="en-US"/>
        </w:rPr>
        <w:t>[</w:t>
      </w:r>
      <w:r w:rsidRPr="008D6B3D">
        <w:rPr>
          <w:rFonts w:ascii="Times New Roman" w:hAnsi="Times New Roman"/>
          <w:sz w:val="24"/>
          <w:szCs w:val="24"/>
          <w:lang w:val="en-US"/>
        </w:rPr>
        <w:t>56</w:t>
      </w:r>
      <w:r w:rsidR="00902959">
        <w:rPr>
          <w:rFonts w:ascii="Times New Roman" w:hAnsi="Times New Roman"/>
          <w:sz w:val="24"/>
          <w:szCs w:val="24"/>
          <w:lang w:val="en-US"/>
        </w:rPr>
        <w:t>]</w:t>
      </w:r>
      <w:r w:rsidRPr="008D6B3D">
        <w:rPr>
          <w:rFonts w:ascii="Times New Roman" w:hAnsi="Times New Roman"/>
          <w:sz w:val="24"/>
          <w:szCs w:val="24"/>
          <w:lang w:val="en-US"/>
        </w:rPr>
        <w:t xml:space="preserve">. </w:t>
      </w:r>
    </w:p>
    <w:p w14:paraId="1DF7D9D6" w14:textId="77777777" w:rsidR="00E94324" w:rsidRPr="008D6B3D" w:rsidRDefault="00E94324" w:rsidP="0068488D">
      <w:pPr>
        <w:autoSpaceDE w:val="0"/>
        <w:autoSpaceDN w:val="0"/>
        <w:adjustRightInd w:val="0"/>
        <w:spacing w:line="360" w:lineRule="auto"/>
        <w:jc w:val="both"/>
        <w:rPr>
          <w:rFonts w:ascii="Times New Roman" w:hAnsi="Times New Roman"/>
          <w:sz w:val="24"/>
          <w:szCs w:val="24"/>
          <w:lang w:val="en-US"/>
        </w:rPr>
      </w:pPr>
    </w:p>
    <w:p w14:paraId="1DF7D9D7" w14:textId="77777777" w:rsidR="00E94324" w:rsidRPr="008D6B3D" w:rsidRDefault="00E94324" w:rsidP="0068488D">
      <w:pPr>
        <w:numPr>
          <w:ilvl w:val="0"/>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lastRenderedPageBreak/>
        <w:t xml:space="preserve">These developments go some way to giving effect to The Final Report of the Review of Civil Litigation Costs conducted by Sir Rupert Jackson recommended that where the Claimant has complied with the protocol then if the Defendant settled after issue by conceding any material part of the claim then the normal order should be that the Defendant pays the Claimant’s costs. </w:t>
      </w:r>
    </w:p>
    <w:p w14:paraId="1DF7D9D8" w14:textId="77777777" w:rsidR="00E94324" w:rsidRPr="008D6B3D" w:rsidRDefault="00E94324" w:rsidP="0068488D">
      <w:pPr>
        <w:autoSpaceDE w:val="0"/>
        <w:autoSpaceDN w:val="0"/>
        <w:adjustRightInd w:val="0"/>
        <w:spacing w:line="360" w:lineRule="auto"/>
        <w:ind w:left="502"/>
        <w:jc w:val="both"/>
        <w:rPr>
          <w:rFonts w:ascii="Times New Roman" w:hAnsi="Times New Roman"/>
          <w:sz w:val="24"/>
          <w:szCs w:val="24"/>
          <w:lang w:val="en-US"/>
        </w:rPr>
      </w:pPr>
    </w:p>
    <w:p w14:paraId="1DF7D9D9" w14:textId="77777777" w:rsidR="00E94324" w:rsidRPr="008D6B3D" w:rsidRDefault="00E94324" w:rsidP="006F53FC">
      <w:pPr>
        <w:numPr>
          <w:ilvl w:val="0"/>
          <w:numId w:val="31"/>
        </w:numPr>
        <w:autoSpaceDE w:val="0"/>
        <w:autoSpaceDN w:val="0"/>
        <w:adjustRightInd w:val="0"/>
        <w:spacing w:after="0" w:line="360" w:lineRule="auto"/>
        <w:rPr>
          <w:rFonts w:ascii="Times New Roman" w:hAnsi="Times New Roman"/>
          <w:sz w:val="24"/>
          <w:szCs w:val="24"/>
          <w:lang w:val="en-US"/>
        </w:rPr>
      </w:pPr>
      <w:r w:rsidRPr="008D6B3D">
        <w:rPr>
          <w:rFonts w:ascii="Times New Roman" w:hAnsi="Times New Roman"/>
          <w:sz w:val="24"/>
          <w:szCs w:val="24"/>
          <w:lang w:val="en-US"/>
        </w:rPr>
        <w:t xml:space="preserve">Applications for costs must follow the guidance at </w:t>
      </w:r>
      <w:hyperlink r:id="rId12" w:history="1">
        <w:r w:rsidRPr="008D6B3D">
          <w:rPr>
            <w:rStyle w:val="Hyperlink"/>
            <w:rFonts w:ascii="Times New Roman" w:hAnsi="Times New Roman"/>
            <w:szCs w:val="24"/>
            <w:lang w:val="en-US"/>
          </w:rPr>
          <w:t>https://www.justice.gov.uk/downloads/courts/administrative-court/aco-costs-guidance-dec-13.pdf</w:t>
        </w:r>
      </w:hyperlink>
      <w:r w:rsidRPr="008D6B3D">
        <w:rPr>
          <w:rFonts w:ascii="Times New Roman" w:hAnsi="Times New Roman"/>
          <w:sz w:val="24"/>
          <w:szCs w:val="24"/>
          <w:lang w:val="en-US"/>
        </w:rPr>
        <w:t xml:space="preserve">. and see ACG 23.5. Note in particular: </w:t>
      </w:r>
    </w:p>
    <w:p w14:paraId="1DF7D9DA" w14:textId="77777777" w:rsidR="00E94324" w:rsidRPr="008D6B3D" w:rsidRDefault="00E94324" w:rsidP="00E94324">
      <w:pPr>
        <w:pStyle w:val="ListParagraph"/>
        <w:rPr>
          <w:rFonts w:ascii="Times New Roman" w:hAnsi="Times New Roman"/>
          <w:sz w:val="24"/>
          <w:szCs w:val="24"/>
          <w:lang w:val="en-US"/>
        </w:rPr>
      </w:pPr>
    </w:p>
    <w:p w14:paraId="1DF7D9DB" w14:textId="77777777" w:rsidR="00E94324" w:rsidRPr="008D6B3D" w:rsidRDefault="00E94324" w:rsidP="0068488D">
      <w:pPr>
        <w:numPr>
          <w:ilvl w:val="1"/>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 xml:space="preserve">The guidance suggests a timetable for submissions which ought to be incorporated in any order settling a case on terms. The D starts by showing cause as to why they ought not to pay costs within 28 days. C responds in 14 days and D has 7 days to reply. The submissions must address the following points: </w:t>
      </w:r>
    </w:p>
    <w:p w14:paraId="1DF7D9DC" w14:textId="77777777" w:rsidR="00E94324" w:rsidRPr="008D6B3D" w:rsidRDefault="00E94324" w:rsidP="0068488D">
      <w:pPr>
        <w:numPr>
          <w:ilvl w:val="1"/>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Submissions must:</w:t>
      </w:r>
    </w:p>
    <w:p w14:paraId="1DF7D9DD" w14:textId="77777777" w:rsidR="00E94324" w:rsidRPr="008D6B3D" w:rsidRDefault="00E94324" w:rsidP="0068488D">
      <w:pPr>
        <w:numPr>
          <w:ilvl w:val="2"/>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eastAsia="en-GB"/>
        </w:rPr>
        <w:t>confirm that the parties have used reasonable endeavours to negotiate a</w:t>
      </w:r>
      <w:r w:rsidRPr="008D6B3D">
        <w:rPr>
          <w:rFonts w:ascii="Times New Roman" w:hAnsi="Times New Roman"/>
          <w:sz w:val="24"/>
          <w:szCs w:val="24"/>
          <w:lang w:val="en-US"/>
        </w:rPr>
        <w:t xml:space="preserve"> </w:t>
      </w:r>
      <w:r w:rsidRPr="008D6B3D">
        <w:rPr>
          <w:rFonts w:ascii="Times New Roman" w:hAnsi="Times New Roman"/>
          <w:sz w:val="24"/>
          <w:szCs w:val="24"/>
          <w:lang w:eastAsia="en-GB"/>
        </w:rPr>
        <w:t>costs settlement;</w:t>
      </w:r>
    </w:p>
    <w:p w14:paraId="1DF7D9DE" w14:textId="77777777" w:rsidR="00E94324" w:rsidRPr="008D6B3D" w:rsidRDefault="00E94324" w:rsidP="0068488D">
      <w:pPr>
        <w:numPr>
          <w:ilvl w:val="2"/>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eastAsia="en-GB"/>
        </w:rPr>
        <w:t>identify what issues or reasons prevented the parties agreeing costs</w:t>
      </w:r>
      <w:r w:rsidRPr="008D6B3D">
        <w:rPr>
          <w:rFonts w:ascii="Times New Roman" w:hAnsi="Times New Roman"/>
          <w:sz w:val="24"/>
          <w:szCs w:val="24"/>
          <w:lang w:val="en-US"/>
        </w:rPr>
        <w:t xml:space="preserve"> </w:t>
      </w:r>
      <w:r w:rsidRPr="008D6B3D">
        <w:rPr>
          <w:rFonts w:ascii="Times New Roman" w:hAnsi="Times New Roman"/>
          <w:sz w:val="24"/>
          <w:szCs w:val="24"/>
          <w:lang w:eastAsia="en-GB"/>
        </w:rPr>
        <w:t>liability;</w:t>
      </w:r>
    </w:p>
    <w:p w14:paraId="1DF7D9DF" w14:textId="77777777" w:rsidR="00E94324" w:rsidRPr="008D6B3D" w:rsidRDefault="00E94324" w:rsidP="0068488D">
      <w:pPr>
        <w:numPr>
          <w:ilvl w:val="2"/>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eastAsia="en-GB"/>
        </w:rPr>
        <w:t>state the approximate amount of costs likely to be involved in the case;</w:t>
      </w:r>
    </w:p>
    <w:p w14:paraId="1DF7D9E0" w14:textId="77777777" w:rsidR="00E94324" w:rsidRPr="008D6B3D" w:rsidRDefault="00E94324" w:rsidP="0068488D">
      <w:pPr>
        <w:numPr>
          <w:ilvl w:val="2"/>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eastAsia="en-GB"/>
        </w:rPr>
        <w:t>identify the extent to which the parties complied with the pre-action</w:t>
      </w:r>
      <w:r w:rsidRPr="008D6B3D">
        <w:rPr>
          <w:rFonts w:ascii="Times New Roman" w:hAnsi="Times New Roman"/>
          <w:sz w:val="24"/>
          <w:szCs w:val="24"/>
          <w:lang w:val="en-US"/>
        </w:rPr>
        <w:t xml:space="preserve"> </w:t>
      </w:r>
      <w:r w:rsidRPr="008D6B3D">
        <w:rPr>
          <w:rFonts w:ascii="Times New Roman" w:hAnsi="Times New Roman"/>
          <w:sz w:val="24"/>
          <w:szCs w:val="24"/>
          <w:lang w:eastAsia="en-GB"/>
        </w:rPr>
        <w:t xml:space="preserve">protocol; </w:t>
      </w:r>
    </w:p>
    <w:p w14:paraId="1DF7D9E1" w14:textId="77777777" w:rsidR="00E94324" w:rsidRPr="008D6B3D" w:rsidRDefault="00E94324" w:rsidP="0068488D">
      <w:pPr>
        <w:numPr>
          <w:ilvl w:val="2"/>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eastAsia="en-GB"/>
        </w:rPr>
        <w:t>state the relief the claimant (</w:t>
      </w:r>
      <w:proofErr w:type="spellStart"/>
      <w:r w:rsidRPr="008D6B3D">
        <w:rPr>
          <w:rFonts w:ascii="Times New Roman" w:hAnsi="Times New Roman"/>
          <w:sz w:val="24"/>
          <w:szCs w:val="24"/>
          <w:lang w:eastAsia="en-GB"/>
        </w:rPr>
        <w:t>i</w:t>
      </w:r>
      <w:proofErr w:type="spellEnd"/>
      <w:r w:rsidRPr="008D6B3D">
        <w:rPr>
          <w:rFonts w:ascii="Times New Roman" w:hAnsi="Times New Roman"/>
          <w:sz w:val="24"/>
          <w:szCs w:val="24"/>
          <w:lang w:eastAsia="en-GB"/>
        </w:rPr>
        <w:t>) sought in the claim form and (ii) obtained;</w:t>
      </w:r>
    </w:p>
    <w:p w14:paraId="1DF7D9E2" w14:textId="77777777" w:rsidR="00E94324" w:rsidRPr="008D6B3D" w:rsidRDefault="00E94324" w:rsidP="0068488D">
      <w:pPr>
        <w:numPr>
          <w:ilvl w:val="2"/>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eastAsia="en-GB"/>
        </w:rPr>
        <w:t>address specifically how the claim and the basis of its settlement fit the</w:t>
      </w:r>
      <w:r w:rsidRPr="008D6B3D">
        <w:rPr>
          <w:rFonts w:ascii="Times New Roman" w:hAnsi="Times New Roman"/>
          <w:sz w:val="24"/>
          <w:szCs w:val="24"/>
          <w:lang w:val="en-US"/>
        </w:rPr>
        <w:t xml:space="preserve"> </w:t>
      </w:r>
      <w:r w:rsidRPr="008D6B3D">
        <w:rPr>
          <w:rFonts w:ascii="Times New Roman" w:hAnsi="Times New Roman"/>
          <w:sz w:val="24"/>
          <w:szCs w:val="24"/>
          <w:lang w:eastAsia="en-GB"/>
        </w:rPr>
        <w:t xml:space="preserve">principles in </w:t>
      </w:r>
      <w:r w:rsidRPr="008D6B3D">
        <w:rPr>
          <w:rFonts w:ascii="Times New Roman" w:hAnsi="Times New Roman"/>
          <w:i/>
          <w:iCs/>
          <w:sz w:val="24"/>
          <w:szCs w:val="24"/>
          <w:lang w:eastAsia="en-GB"/>
        </w:rPr>
        <w:t xml:space="preserve">M v Croydon, </w:t>
      </w:r>
      <w:r w:rsidRPr="008D6B3D">
        <w:rPr>
          <w:rFonts w:ascii="Times New Roman" w:hAnsi="Times New Roman"/>
          <w:sz w:val="24"/>
          <w:szCs w:val="24"/>
          <w:lang w:eastAsia="en-GB"/>
        </w:rPr>
        <w:t>including the significance and effect of any</w:t>
      </w:r>
      <w:r w:rsidRPr="008D6B3D">
        <w:rPr>
          <w:rFonts w:ascii="Times New Roman" w:hAnsi="Times New Roman"/>
          <w:sz w:val="24"/>
          <w:szCs w:val="24"/>
          <w:lang w:val="en-US"/>
        </w:rPr>
        <w:t xml:space="preserve"> </w:t>
      </w:r>
      <w:r w:rsidRPr="008D6B3D">
        <w:rPr>
          <w:rFonts w:ascii="Times New Roman" w:hAnsi="Times New Roman"/>
          <w:sz w:val="24"/>
          <w:szCs w:val="24"/>
          <w:lang w:eastAsia="en-GB"/>
        </w:rPr>
        <w:t>action or offer by the defendant in relation to the claim.</w:t>
      </w:r>
    </w:p>
    <w:p w14:paraId="1DF7D9E3" w14:textId="77777777" w:rsidR="00E94324" w:rsidRPr="008D6B3D" w:rsidRDefault="00E94324" w:rsidP="0068488D">
      <w:pPr>
        <w:numPr>
          <w:ilvl w:val="1"/>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eastAsia="en-GB"/>
        </w:rPr>
        <w:t xml:space="preserve">Submissions should not normally exceed 2 A4 pages </w:t>
      </w:r>
      <w:r w:rsidRPr="0068488D">
        <w:rPr>
          <w:rFonts w:ascii="Times New Roman" w:hAnsi="Times New Roman"/>
          <w:i/>
          <w:sz w:val="24"/>
        </w:rPr>
        <w:t>“of a normal print size”</w:t>
      </w:r>
      <w:r w:rsidRPr="008D6B3D">
        <w:rPr>
          <w:rFonts w:ascii="Times New Roman" w:hAnsi="Times New Roman"/>
          <w:sz w:val="24"/>
          <w:szCs w:val="24"/>
          <w:lang w:eastAsia="en-GB"/>
        </w:rPr>
        <w:t xml:space="preserve"> and should attach the relevant correspondence</w:t>
      </w:r>
    </w:p>
    <w:p w14:paraId="1DF7D9E4" w14:textId="77777777" w:rsidR="00E94324" w:rsidRPr="008D6B3D" w:rsidRDefault="00E94324" w:rsidP="0068488D">
      <w:pPr>
        <w:autoSpaceDE w:val="0"/>
        <w:autoSpaceDN w:val="0"/>
        <w:adjustRightInd w:val="0"/>
        <w:spacing w:line="360" w:lineRule="auto"/>
        <w:ind w:left="502"/>
        <w:jc w:val="both"/>
        <w:rPr>
          <w:rFonts w:ascii="Times New Roman" w:hAnsi="Times New Roman"/>
          <w:sz w:val="24"/>
          <w:szCs w:val="24"/>
          <w:lang w:val="en-US"/>
        </w:rPr>
      </w:pPr>
    </w:p>
    <w:p w14:paraId="1DF7D9E5" w14:textId="77777777" w:rsidR="00E94324" w:rsidRPr="008D6B3D" w:rsidRDefault="00E94324" w:rsidP="005F5903">
      <w:pPr>
        <w:keepNext/>
        <w:spacing w:line="360" w:lineRule="auto"/>
        <w:rPr>
          <w:rFonts w:ascii="Times New Roman" w:hAnsi="Times New Roman"/>
          <w:i/>
          <w:sz w:val="24"/>
          <w:szCs w:val="24"/>
        </w:rPr>
      </w:pPr>
      <w:r w:rsidRPr="008D6B3D">
        <w:rPr>
          <w:rFonts w:ascii="Times New Roman" w:hAnsi="Times New Roman"/>
          <w:i/>
          <w:sz w:val="24"/>
          <w:szCs w:val="24"/>
        </w:rPr>
        <w:lastRenderedPageBreak/>
        <w:t xml:space="preserve">Multiple parties </w:t>
      </w:r>
    </w:p>
    <w:p w14:paraId="1DF7D9E6" w14:textId="77777777" w:rsidR="00E94324" w:rsidRPr="008D6B3D" w:rsidRDefault="00E94324" w:rsidP="0068488D">
      <w:pPr>
        <w:numPr>
          <w:ilvl w:val="0"/>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The normal rule is that the Claimant will not be required to pay more than one set of costs even where there are two or more Defendants</w:t>
      </w:r>
      <w:r w:rsidRPr="0068488D">
        <w:rPr>
          <w:rStyle w:val="FootnoteReference"/>
          <w:rFonts w:ascii="Times New Roman" w:hAnsi="Times New Roman"/>
          <w:sz w:val="24"/>
          <w:lang w:val="en-US"/>
        </w:rPr>
        <w:footnoteReference w:id="14"/>
      </w:r>
      <w:r w:rsidRPr="008D6B3D">
        <w:rPr>
          <w:rFonts w:ascii="Times New Roman" w:hAnsi="Times New Roman"/>
          <w:sz w:val="24"/>
          <w:szCs w:val="24"/>
          <w:lang w:val="en-US"/>
        </w:rPr>
        <w:t xml:space="preserve">. However, the court may order 2 or more sets of costs where a second Defendant or the interested party attends in support of a special interest or where they have to defend particular allegations against them – </w:t>
      </w:r>
      <w:r w:rsidRPr="008D6B3D">
        <w:rPr>
          <w:rFonts w:ascii="Times New Roman" w:hAnsi="Times New Roman"/>
          <w:bCs/>
          <w:i/>
          <w:sz w:val="24"/>
          <w:szCs w:val="24"/>
        </w:rPr>
        <w:t>R v Secretary Of State For Health, Ex Parte John Smeaton (On Behalf Of The Society For The Protection Of Unborn Children &amp; (1) Schering Health Care Ltd (2) Family Planning Association (Interested Parties)</w:t>
      </w:r>
      <w:r w:rsidRPr="008D6B3D">
        <w:rPr>
          <w:rFonts w:ascii="Times New Roman" w:hAnsi="Times New Roman"/>
          <w:bCs/>
          <w:sz w:val="24"/>
          <w:szCs w:val="24"/>
        </w:rPr>
        <w:t xml:space="preserve"> </w:t>
      </w:r>
      <w:r w:rsidRPr="008D6B3D">
        <w:rPr>
          <w:rFonts w:ascii="Times New Roman" w:hAnsi="Times New Roman"/>
          <w:sz w:val="24"/>
          <w:szCs w:val="24"/>
        </w:rPr>
        <w:t xml:space="preserve">[2002] EWHC 886 (Admin), [2002] 2 FLR 142, </w:t>
      </w:r>
      <w:r w:rsidRPr="008D6B3D">
        <w:rPr>
          <w:rFonts w:ascii="Times New Roman" w:hAnsi="Times New Roman"/>
          <w:bCs/>
          <w:i/>
          <w:kern w:val="36"/>
          <w:sz w:val="24"/>
          <w:szCs w:val="24"/>
        </w:rPr>
        <w:t>R. (on the application of Stamford Chamber of Trade and Commerce) v Secretary of State for Communities and Local Government (Costs)</w:t>
      </w:r>
      <w:r w:rsidRPr="008D6B3D">
        <w:rPr>
          <w:rFonts w:ascii="Times New Roman" w:hAnsi="Times New Roman"/>
          <w:bCs/>
          <w:kern w:val="36"/>
          <w:sz w:val="24"/>
          <w:szCs w:val="24"/>
        </w:rPr>
        <w:t xml:space="preserve"> [2009] EWHC 1126 (Admin) (where there were two separate decisions under challenge) </w:t>
      </w:r>
    </w:p>
    <w:p w14:paraId="1DF7D9E7" w14:textId="77777777" w:rsidR="00E94324" w:rsidRPr="008D6B3D" w:rsidRDefault="00E94324" w:rsidP="00E94324">
      <w:pPr>
        <w:autoSpaceDE w:val="0"/>
        <w:autoSpaceDN w:val="0"/>
        <w:adjustRightInd w:val="0"/>
        <w:spacing w:line="360" w:lineRule="auto"/>
        <w:rPr>
          <w:rFonts w:ascii="Times New Roman" w:hAnsi="Times New Roman"/>
          <w:sz w:val="24"/>
          <w:szCs w:val="24"/>
          <w:lang w:val="en-US"/>
        </w:rPr>
      </w:pPr>
    </w:p>
    <w:p w14:paraId="1DF7D9E8" w14:textId="77777777" w:rsidR="00E94324" w:rsidRPr="008D6B3D" w:rsidRDefault="00E94324" w:rsidP="0068488D">
      <w:pPr>
        <w:autoSpaceDE w:val="0"/>
        <w:autoSpaceDN w:val="0"/>
        <w:adjustRightInd w:val="0"/>
        <w:spacing w:line="360" w:lineRule="auto"/>
        <w:rPr>
          <w:rFonts w:ascii="Times New Roman" w:hAnsi="Times New Roman"/>
          <w:i/>
          <w:sz w:val="24"/>
          <w:szCs w:val="24"/>
          <w:lang w:val="en-US"/>
        </w:rPr>
      </w:pPr>
      <w:r w:rsidRPr="008D6B3D">
        <w:rPr>
          <w:rFonts w:ascii="Times New Roman" w:hAnsi="Times New Roman"/>
          <w:i/>
          <w:sz w:val="24"/>
          <w:szCs w:val="24"/>
          <w:lang w:val="en-US"/>
        </w:rPr>
        <w:t xml:space="preserve">Particular Parties </w:t>
      </w:r>
    </w:p>
    <w:p w14:paraId="1DF7D9E9" w14:textId="77777777" w:rsidR="00E94324" w:rsidRPr="008D6B3D" w:rsidRDefault="00E94324" w:rsidP="0068488D">
      <w:pPr>
        <w:numPr>
          <w:ilvl w:val="0"/>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Costs will not generally be awarded against a Tribunal or similar neutral party who does not appear or otherwise play an active role in the proceedings.</w:t>
      </w:r>
    </w:p>
    <w:p w14:paraId="1DF7D9EA" w14:textId="77777777" w:rsidR="00E94324" w:rsidRPr="008D6B3D" w:rsidRDefault="00E94324" w:rsidP="0068488D">
      <w:pPr>
        <w:autoSpaceDE w:val="0"/>
        <w:autoSpaceDN w:val="0"/>
        <w:adjustRightInd w:val="0"/>
        <w:spacing w:line="360" w:lineRule="auto"/>
        <w:jc w:val="both"/>
        <w:rPr>
          <w:rFonts w:ascii="Times New Roman" w:hAnsi="Times New Roman"/>
          <w:sz w:val="24"/>
          <w:szCs w:val="24"/>
          <w:lang w:val="en-US"/>
        </w:rPr>
      </w:pPr>
    </w:p>
    <w:p w14:paraId="1DF7D9EB" w14:textId="77777777" w:rsidR="00E94324" w:rsidRPr="008D6B3D" w:rsidRDefault="00E94324" w:rsidP="0068488D">
      <w:pPr>
        <w:numPr>
          <w:ilvl w:val="0"/>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 xml:space="preserve">The traditional approach is to treat such a party as neutral where they attend simply to “assist the court on questions of jurisdiction, procedure, specialist case law and  the like” (But see </w:t>
      </w:r>
      <w:r w:rsidRPr="008D6B3D">
        <w:rPr>
          <w:rFonts w:ascii="Times New Roman" w:hAnsi="Times New Roman"/>
          <w:i/>
          <w:sz w:val="24"/>
          <w:szCs w:val="24"/>
          <w:lang w:val="en-US"/>
        </w:rPr>
        <w:t xml:space="preserve">R (Davies) v Birmingham Coroner </w:t>
      </w:r>
      <w:r w:rsidRPr="008D6B3D">
        <w:rPr>
          <w:rFonts w:ascii="Times New Roman" w:hAnsi="Times New Roman"/>
          <w:sz w:val="24"/>
          <w:szCs w:val="24"/>
          <w:lang w:val="en-US"/>
        </w:rPr>
        <w:t xml:space="preserve">[2004] EWCA Civ 207, [2004] 3 All ER 543 for exceptions where this is the only way to compensate a litigant who has succeed in showing an error of law). </w:t>
      </w:r>
    </w:p>
    <w:p w14:paraId="1DF7D9EC" w14:textId="77777777" w:rsidR="00E94324" w:rsidRPr="008D6B3D" w:rsidRDefault="00E94324" w:rsidP="0068488D">
      <w:pPr>
        <w:autoSpaceDE w:val="0"/>
        <w:autoSpaceDN w:val="0"/>
        <w:adjustRightInd w:val="0"/>
        <w:spacing w:line="360" w:lineRule="auto"/>
        <w:ind w:left="360"/>
        <w:jc w:val="both"/>
        <w:rPr>
          <w:rFonts w:ascii="Times New Roman" w:hAnsi="Times New Roman"/>
          <w:sz w:val="24"/>
          <w:szCs w:val="24"/>
          <w:lang w:val="en-US"/>
        </w:rPr>
      </w:pPr>
    </w:p>
    <w:p w14:paraId="1DF7D9ED" w14:textId="77777777" w:rsidR="00E94324" w:rsidRPr="008D6B3D" w:rsidRDefault="00E94324" w:rsidP="0068488D">
      <w:pPr>
        <w:numPr>
          <w:ilvl w:val="0"/>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 xml:space="preserve">If the Tribunal appears actively to defend the case then they are treated as an ordinary party subject to usual costs rules.  </w:t>
      </w:r>
    </w:p>
    <w:p w14:paraId="1DF7D9EE" w14:textId="77777777" w:rsidR="00E94324" w:rsidRPr="008D6B3D" w:rsidRDefault="00E94324" w:rsidP="0068488D">
      <w:pPr>
        <w:autoSpaceDE w:val="0"/>
        <w:autoSpaceDN w:val="0"/>
        <w:adjustRightInd w:val="0"/>
        <w:spacing w:line="360" w:lineRule="auto"/>
        <w:jc w:val="both"/>
        <w:rPr>
          <w:rFonts w:ascii="Times New Roman" w:hAnsi="Times New Roman"/>
          <w:sz w:val="24"/>
          <w:szCs w:val="24"/>
          <w:lang w:val="en-US"/>
        </w:rPr>
      </w:pPr>
    </w:p>
    <w:p w14:paraId="1DF7D9EF" w14:textId="77777777" w:rsidR="00E94324" w:rsidRPr="008D6B3D" w:rsidRDefault="00E94324" w:rsidP="0068488D">
      <w:pPr>
        <w:numPr>
          <w:ilvl w:val="0"/>
          <w:numId w:val="31"/>
        </w:numPr>
        <w:autoSpaceDE w:val="0"/>
        <w:autoSpaceDN w:val="0"/>
        <w:adjustRightInd w:val="0"/>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lastRenderedPageBreak/>
        <w:t xml:space="preserve">Even a </w:t>
      </w:r>
      <w:proofErr w:type="spellStart"/>
      <w:r w:rsidRPr="008D6B3D">
        <w:rPr>
          <w:rFonts w:ascii="Times New Roman" w:hAnsi="Times New Roman"/>
          <w:sz w:val="24"/>
          <w:szCs w:val="24"/>
          <w:lang w:val="en-US"/>
        </w:rPr>
        <w:t>non appearing</w:t>
      </w:r>
      <w:proofErr w:type="spellEnd"/>
      <w:r w:rsidRPr="008D6B3D">
        <w:rPr>
          <w:rFonts w:ascii="Times New Roman" w:hAnsi="Times New Roman"/>
          <w:sz w:val="24"/>
          <w:szCs w:val="24"/>
          <w:lang w:val="en-US"/>
        </w:rPr>
        <w:t xml:space="preserve"> tribunal can be made to pay costs where there has been serious default, failure to follow elementary principles or an unreasonable failure to sign a consent order </w:t>
      </w:r>
      <w:r w:rsidRPr="008D6B3D">
        <w:rPr>
          <w:rFonts w:ascii="Times New Roman" w:hAnsi="Times New Roman"/>
          <w:i/>
          <w:sz w:val="24"/>
          <w:szCs w:val="24"/>
          <w:lang w:val="en-US"/>
        </w:rPr>
        <w:t>e.g. R v Lincoln JJ ex p Count</w:t>
      </w:r>
      <w:r w:rsidRPr="008D6B3D">
        <w:rPr>
          <w:rFonts w:ascii="Times New Roman" w:hAnsi="Times New Roman"/>
          <w:sz w:val="24"/>
          <w:szCs w:val="24"/>
        </w:rPr>
        <w:t xml:space="preserve"> (1996) 8 Admin LR 233, </w:t>
      </w:r>
      <w:r w:rsidRPr="008D6B3D">
        <w:rPr>
          <w:rFonts w:ascii="Times New Roman" w:hAnsi="Times New Roman"/>
          <w:i/>
          <w:sz w:val="24"/>
          <w:szCs w:val="24"/>
        </w:rPr>
        <w:t xml:space="preserve">R v Stafford JJ ex p Johnson </w:t>
      </w:r>
      <w:r w:rsidRPr="008D6B3D">
        <w:rPr>
          <w:rFonts w:ascii="Times New Roman" w:hAnsi="Times New Roman"/>
          <w:sz w:val="24"/>
          <w:szCs w:val="24"/>
        </w:rPr>
        <w:t xml:space="preserve">[1995] COD 352, </w:t>
      </w:r>
      <w:r w:rsidRPr="008D6B3D">
        <w:rPr>
          <w:rFonts w:ascii="Times New Roman" w:hAnsi="Times New Roman"/>
          <w:i/>
          <w:sz w:val="24"/>
          <w:szCs w:val="24"/>
        </w:rPr>
        <w:t>R v Stoke on Trent JJ ex p Booth</w:t>
      </w:r>
      <w:r w:rsidRPr="008D6B3D">
        <w:rPr>
          <w:rFonts w:ascii="Times New Roman" w:hAnsi="Times New Roman"/>
          <w:sz w:val="24"/>
          <w:szCs w:val="24"/>
        </w:rPr>
        <w:t xml:space="preserve"> Independent 9 Feb 1996. </w:t>
      </w:r>
    </w:p>
    <w:p w14:paraId="1DF7D9F0" w14:textId="77777777" w:rsidR="00E94324" w:rsidRPr="008D6B3D" w:rsidRDefault="00E94324" w:rsidP="00E94324">
      <w:pPr>
        <w:spacing w:line="360" w:lineRule="auto"/>
        <w:rPr>
          <w:rFonts w:ascii="Times New Roman" w:hAnsi="Times New Roman"/>
          <w:sz w:val="24"/>
          <w:szCs w:val="24"/>
          <w:lang w:val="en-US"/>
        </w:rPr>
      </w:pPr>
    </w:p>
    <w:p w14:paraId="1DF7D9F1" w14:textId="77777777" w:rsidR="00E94324" w:rsidRPr="008D6B3D" w:rsidRDefault="00E94324" w:rsidP="0068488D">
      <w:pPr>
        <w:spacing w:line="360" w:lineRule="auto"/>
        <w:rPr>
          <w:rFonts w:ascii="Times New Roman" w:hAnsi="Times New Roman"/>
          <w:i/>
          <w:sz w:val="24"/>
          <w:szCs w:val="24"/>
          <w:lang w:val="en-US"/>
        </w:rPr>
      </w:pPr>
      <w:r w:rsidRPr="008D6B3D">
        <w:rPr>
          <w:rFonts w:ascii="Times New Roman" w:hAnsi="Times New Roman"/>
          <w:i/>
          <w:sz w:val="24"/>
          <w:szCs w:val="24"/>
        </w:rPr>
        <w:t xml:space="preserve">Costs against Third Parties </w:t>
      </w:r>
    </w:p>
    <w:p w14:paraId="1DF7D9F2" w14:textId="77777777" w:rsidR="00E94324" w:rsidRPr="008D6B3D" w:rsidRDefault="00E94324" w:rsidP="0068488D">
      <w:pPr>
        <w:numPr>
          <w:ilvl w:val="0"/>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rPr>
        <w:t xml:space="preserve">Under s. 51 of the Senior Courts Act 1981 the Court has power to award costs against a non-party. This is an exceptional power but will ordinarily be exercised where the third party has controlled the proceedings or hopes to benefit from them so as to be the real litigant </w:t>
      </w:r>
      <w:r w:rsidRPr="008D6B3D">
        <w:rPr>
          <w:rFonts w:ascii="Times New Roman" w:hAnsi="Times New Roman"/>
          <w:i/>
          <w:sz w:val="24"/>
          <w:szCs w:val="24"/>
        </w:rPr>
        <w:t>Dymocks Franchise Systems (NSW) Pty Ltd v Todd</w:t>
      </w:r>
      <w:r w:rsidRPr="008D6B3D">
        <w:rPr>
          <w:rFonts w:ascii="Times New Roman" w:hAnsi="Times New Roman"/>
          <w:sz w:val="24"/>
          <w:szCs w:val="24"/>
        </w:rPr>
        <w:t xml:space="preserve"> [2004] UKPC 39, [2004] 1 WLR 2807. </w:t>
      </w:r>
    </w:p>
    <w:p w14:paraId="1DF7D9F3" w14:textId="77777777" w:rsidR="00E94324" w:rsidRPr="008D6B3D" w:rsidRDefault="00E94324" w:rsidP="0068488D">
      <w:pPr>
        <w:spacing w:line="360" w:lineRule="auto"/>
        <w:ind w:left="360"/>
        <w:jc w:val="both"/>
        <w:rPr>
          <w:rFonts w:ascii="Times New Roman" w:hAnsi="Times New Roman"/>
          <w:sz w:val="24"/>
          <w:szCs w:val="24"/>
          <w:lang w:val="en-US"/>
        </w:rPr>
      </w:pPr>
    </w:p>
    <w:p w14:paraId="1DF7D9F4" w14:textId="77777777" w:rsidR="00E94324" w:rsidRPr="008D6B3D" w:rsidRDefault="00E94324" w:rsidP="0068488D">
      <w:pPr>
        <w:numPr>
          <w:ilvl w:val="0"/>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rPr>
        <w:t xml:space="preserve">Can a third party costs orders be made against individual officers or employees of the Defendant? </w:t>
      </w:r>
    </w:p>
    <w:p w14:paraId="1DF7D9F5" w14:textId="77777777" w:rsidR="00E94324" w:rsidRPr="008D6B3D" w:rsidRDefault="00E94324" w:rsidP="0068488D">
      <w:pPr>
        <w:spacing w:line="360" w:lineRule="auto"/>
        <w:ind w:left="360"/>
        <w:jc w:val="both"/>
        <w:rPr>
          <w:rFonts w:ascii="Times New Roman" w:hAnsi="Times New Roman"/>
          <w:sz w:val="24"/>
          <w:szCs w:val="24"/>
          <w:lang w:val="en-US"/>
        </w:rPr>
      </w:pPr>
    </w:p>
    <w:p w14:paraId="1DF7D9F6" w14:textId="77777777" w:rsidR="00E94324" w:rsidRPr="008D6B3D" w:rsidRDefault="00E94324" w:rsidP="0068488D">
      <w:pPr>
        <w:numPr>
          <w:ilvl w:val="1"/>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rPr>
        <w:t xml:space="preserve">In </w:t>
      </w:r>
      <w:r w:rsidRPr="0068488D">
        <w:rPr>
          <w:rFonts w:ascii="Times New Roman" w:hAnsi="Times New Roman"/>
          <w:i/>
          <w:sz w:val="24"/>
        </w:rPr>
        <w:t>R v Lambeth LBC ex p Wilson</w:t>
      </w:r>
      <w:r w:rsidRPr="008D6B3D">
        <w:rPr>
          <w:rFonts w:ascii="Times New Roman" w:hAnsi="Times New Roman"/>
          <w:sz w:val="24"/>
          <w:szCs w:val="24"/>
        </w:rPr>
        <w:t xml:space="preserve"> (1998) 30 HLR 64 QBD it was held that there was jurisdiction to make an order under s. 51 of the SCA but that absent fraud, it would be difficult to think of a case where that would be appropriate. </w:t>
      </w:r>
    </w:p>
    <w:p w14:paraId="1DF7D9F7" w14:textId="77777777" w:rsidR="00E94324" w:rsidRPr="008D6B3D" w:rsidRDefault="00E94324" w:rsidP="0068488D">
      <w:pPr>
        <w:spacing w:line="360" w:lineRule="auto"/>
        <w:ind w:left="360"/>
        <w:jc w:val="both"/>
        <w:rPr>
          <w:rFonts w:ascii="Times New Roman" w:hAnsi="Times New Roman"/>
          <w:sz w:val="24"/>
          <w:szCs w:val="24"/>
          <w:lang w:val="en-US"/>
        </w:rPr>
      </w:pPr>
    </w:p>
    <w:p w14:paraId="1DF7D9F8" w14:textId="3CD471E8" w:rsidR="00E94324" w:rsidRPr="008D6B3D" w:rsidRDefault="00E94324" w:rsidP="0068488D">
      <w:pPr>
        <w:numPr>
          <w:ilvl w:val="1"/>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rPr>
        <w:t xml:space="preserve">But in </w:t>
      </w:r>
      <w:r w:rsidRPr="0068488D">
        <w:rPr>
          <w:rFonts w:ascii="Times New Roman" w:hAnsi="Times New Roman"/>
          <w:i/>
          <w:sz w:val="24"/>
        </w:rPr>
        <w:t xml:space="preserve">Phillips &amp; </w:t>
      </w:r>
      <w:proofErr w:type="spellStart"/>
      <w:r w:rsidRPr="0068488D">
        <w:rPr>
          <w:rFonts w:ascii="Times New Roman" w:hAnsi="Times New Roman"/>
          <w:i/>
          <w:sz w:val="24"/>
        </w:rPr>
        <w:t>Ors</w:t>
      </w:r>
      <w:proofErr w:type="spellEnd"/>
      <w:r w:rsidRPr="0068488D">
        <w:rPr>
          <w:rFonts w:ascii="Times New Roman" w:hAnsi="Times New Roman"/>
          <w:i/>
          <w:sz w:val="24"/>
        </w:rPr>
        <w:t xml:space="preserve"> v </w:t>
      </w:r>
      <w:proofErr w:type="spellStart"/>
      <w:r w:rsidRPr="0068488D">
        <w:rPr>
          <w:rFonts w:ascii="Times New Roman" w:hAnsi="Times New Roman"/>
          <w:i/>
          <w:sz w:val="24"/>
        </w:rPr>
        <w:t>Symes</w:t>
      </w:r>
      <w:proofErr w:type="spellEnd"/>
      <w:r w:rsidRPr="0068488D">
        <w:rPr>
          <w:rFonts w:ascii="Times New Roman" w:hAnsi="Times New Roman"/>
          <w:i/>
          <w:sz w:val="24"/>
        </w:rPr>
        <w:t xml:space="preserve"> &amp; </w:t>
      </w:r>
      <w:proofErr w:type="spellStart"/>
      <w:r w:rsidRPr="0068488D">
        <w:rPr>
          <w:rFonts w:ascii="Times New Roman" w:hAnsi="Times New Roman"/>
          <w:i/>
          <w:sz w:val="24"/>
        </w:rPr>
        <w:t>Ors</w:t>
      </w:r>
      <w:proofErr w:type="spellEnd"/>
      <w:r w:rsidRPr="008D6B3D">
        <w:rPr>
          <w:rFonts w:ascii="Times New Roman" w:hAnsi="Times New Roman"/>
          <w:sz w:val="24"/>
          <w:szCs w:val="24"/>
        </w:rPr>
        <w:t xml:space="preserve"> [2004] EWHC 2330 (Ch), an expert witness was joined to proceedings for the purposes of considering a third party costs order (as required under CPR 48.2). Peter Smith J held that in an appropriate case </w:t>
      </w:r>
      <w:r w:rsidRPr="0068488D">
        <w:rPr>
          <w:rFonts w:ascii="Times New Roman" w:hAnsi="Times New Roman"/>
          <w:i/>
          <w:sz w:val="24"/>
        </w:rPr>
        <w:t>“a third party costs order can be brought against somebody who was a witness and as a result of the manner in which he gave evidence as a witness</w:t>
      </w:r>
      <w:r w:rsidRPr="004709E9">
        <w:rPr>
          <w:rFonts w:ascii="Times New Roman" w:hAnsi="Times New Roman"/>
          <w:i/>
          <w:sz w:val="24"/>
          <w:szCs w:val="24"/>
        </w:rPr>
        <w:t>”</w:t>
      </w:r>
      <w:r w:rsidR="004709E9" w:rsidRPr="004709E9">
        <w:rPr>
          <w:rFonts w:ascii="Times New Roman" w:hAnsi="Times New Roman"/>
          <w:i/>
          <w:sz w:val="24"/>
          <w:szCs w:val="24"/>
        </w:rPr>
        <w:t>:</w:t>
      </w:r>
      <w:r w:rsidRPr="008D6B3D">
        <w:rPr>
          <w:rFonts w:ascii="Times New Roman" w:hAnsi="Times New Roman"/>
          <w:sz w:val="24"/>
          <w:szCs w:val="24"/>
        </w:rPr>
        <w:t xml:space="preserve"> [63]. An Order was made against a laboratory in </w:t>
      </w:r>
      <w:r w:rsidRPr="008D6B3D">
        <w:rPr>
          <w:rFonts w:ascii="Times New Roman" w:hAnsi="Times New Roman"/>
          <w:i/>
          <w:sz w:val="24"/>
          <w:szCs w:val="24"/>
        </w:rPr>
        <w:t xml:space="preserve">X Local Authority v </w:t>
      </w:r>
      <w:proofErr w:type="spellStart"/>
      <w:r w:rsidRPr="008D6B3D">
        <w:rPr>
          <w:rFonts w:ascii="Times New Roman" w:hAnsi="Times New Roman"/>
          <w:i/>
          <w:sz w:val="24"/>
          <w:szCs w:val="24"/>
        </w:rPr>
        <w:t>Trimega</w:t>
      </w:r>
      <w:proofErr w:type="spellEnd"/>
      <w:r w:rsidRPr="008D6B3D">
        <w:rPr>
          <w:rFonts w:ascii="Times New Roman" w:hAnsi="Times New Roman"/>
          <w:i/>
          <w:sz w:val="24"/>
          <w:szCs w:val="24"/>
        </w:rPr>
        <w:t xml:space="preserve"> </w:t>
      </w:r>
      <w:r w:rsidR="004709E9">
        <w:rPr>
          <w:rFonts w:ascii="Times New Roman" w:hAnsi="Times New Roman"/>
          <w:i/>
          <w:sz w:val="24"/>
          <w:szCs w:val="24"/>
        </w:rPr>
        <w:t>Laboratori</w:t>
      </w:r>
      <w:r w:rsidRPr="004709E9">
        <w:rPr>
          <w:rFonts w:ascii="Times New Roman" w:hAnsi="Times New Roman"/>
          <w:i/>
          <w:sz w:val="24"/>
          <w:szCs w:val="24"/>
        </w:rPr>
        <w:t>es</w:t>
      </w:r>
      <w:r w:rsidRPr="008D6B3D">
        <w:rPr>
          <w:rFonts w:ascii="Times New Roman" w:hAnsi="Times New Roman"/>
          <w:i/>
          <w:sz w:val="24"/>
          <w:szCs w:val="24"/>
        </w:rPr>
        <w:t xml:space="preserve"> </w:t>
      </w:r>
      <w:r w:rsidRPr="0068488D">
        <w:rPr>
          <w:rFonts w:ascii="Times New Roman" w:hAnsi="Times New Roman"/>
          <w:i/>
          <w:sz w:val="24"/>
        </w:rPr>
        <w:t>Ltd</w:t>
      </w:r>
      <w:r w:rsidRPr="008D6B3D">
        <w:rPr>
          <w:rFonts w:ascii="Times New Roman" w:hAnsi="Times New Roman"/>
          <w:sz w:val="24"/>
          <w:szCs w:val="24"/>
        </w:rPr>
        <w:t xml:space="preserve"> [2014] 2 FLR 232.  </w:t>
      </w:r>
    </w:p>
    <w:p w14:paraId="1DF7D9F9" w14:textId="77777777" w:rsidR="00E94324" w:rsidRPr="008D6B3D" w:rsidRDefault="00E94324" w:rsidP="00E94324">
      <w:pPr>
        <w:spacing w:line="360" w:lineRule="auto"/>
        <w:ind w:left="360"/>
        <w:rPr>
          <w:rFonts w:ascii="Times New Roman" w:hAnsi="Times New Roman"/>
          <w:sz w:val="24"/>
          <w:szCs w:val="24"/>
        </w:rPr>
      </w:pPr>
    </w:p>
    <w:p w14:paraId="1DF7D9FA" w14:textId="77777777" w:rsidR="00E94324" w:rsidRPr="008D6B3D" w:rsidRDefault="00E94324" w:rsidP="005F5903">
      <w:pPr>
        <w:keepNext/>
        <w:spacing w:line="360" w:lineRule="auto"/>
        <w:rPr>
          <w:rFonts w:ascii="Times New Roman" w:hAnsi="Times New Roman"/>
          <w:i/>
          <w:sz w:val="24"/>
          <w:szCs w:val="24"/>
        </w:rPr>
      </w:pPr>
      <w:r w:rsidRPr="008D6B3D">
        <w:rPr>
          <w:rFonts w:ascii="Times New Roman" w:hAnsi="Times New Roman"/>
          <w:i/>
          <w:sz w:val="24"/>
          <w:szCs w:val="24"/>
        </w:rPr>
        <w:lastRenderedPageBreak/>
        <w:t xml:space="preserve">Costs and Legal Aid </w:t>
      </w:r>
    </w:p>
    <w:p w14:paraId="1DF7D9FB" w14:textId="77777777" w:rsidR="00E94324" w:rsidRPr="00B50AFB" w:rsidRDefault="00E94324" w:rsidP="0068488D">
      <w:pPr>
        <w:spacing w:line="360" w:lineRule="auto"/>
        <w:rPr>
          <w:rFonts w:ascii="Times New Roman" w:hAnsi="Times New Roman"/>
          <w:i/>
          <w:sz w:val="24"/>
          <w:szCs w:val="24"/>
          <w:u w:val="single"/>
          <w:lang w:val="en-US"/>
        </w:rPr>
      </w:pPr>
      <w:r w:rsidRPr="00B50AFB">
        <w:rPr>
          <w:rFonts w:ascii="Times New Roman" w:hAnsi="Times New Roman"/>
          <w:i/>
          <w:sz w:val="24"/>
          <w:szCs w:val="24"/>
          <w:u w:val="single"/>
        </w:rPr>
        <w:t xml:space="preserve">Costs in favour of a successful publicly funded litigant </w:t>
      </w:r>
    </w:p>
    <w:p w14:paraId="1DF7D9FC" w14:textId="77777777" w:rsidR="00E94324" w:rsidRPr="008D6B3D" w:rsidRDefault="00E94324" w:rsidP="0068488D">
      <w:pPr>
        <w:numPr>
          <w:ilvl w:val="0"/>
          <w:numId w:val="31"/>
        </w:numPr>
        <w:spacing w:after="0" w:line="360" w:lineRule="auto"/>
        <w:jc w:val="both"/>
        <w:rPr>
          <w:rFonts w:ascii="Times New Roman" w:hAnsi="Times New Roman"/>
          <w:sz w:val="24"/>
          <w:szCs w:val="24"/>
          <w:lang w:val="en-US"/>
        </w:rPr>
      </w:pPr>
      <w:r w:rsidRPr="008D6B3D">
        <w:rPr>
          <w:rFonts w:ascii="Times New Roman" w:hAnsi="Times New Roman"/>
          <w:sz w:val="24"/>
          <w:szCs w:val="24"/>
          <w:lang w:val="en-US"/>
        </w:rPr>
        <w:t xml:space="preserve">The fact that a party is in receipt of public funding is not to be taken into account in deciding whether and what costs order to make – </w:t>
      </w:r>
      <w:r w:rsidRPr="008D6B3D">
        <w:rPr>
          <w:rFonts w:ascii="Times New Roman" w:hAnsi="Times New Roman"/>
          <w:sz w:val="24"/>
          <w:szCs w:val="24"/>
        </w:rPr>
        <w:t xml:space="preserve">s. 30 LASPO (Legal Aid Sentencing and Punishment of Offenders Act 2012). </w:t>
      </w:r>
    </w:p>
    <w:p w14:paraId="1DF7D9FD" w14:textId="77777777" w:rsidR="00E94324" w:rsidRPr="008D6B3D" w:rsidRDefault="00E94324" w:rsidP="0068488D">
      <w:pPr>
        <w:spacing w:line="360" w:lineRule="auto"/>
        <w:ind w:left="502"/>
        <w:jc w:val="both"/>
        <w:rPr>
          <w:rFonts w:ascii="Times New Roman" w:hAnsi="Times New Roman"/>
          <w:sz w:val="24"/>
          <w:szCs w:val="24"/>
          <w:lang w:val="en-US"/>
        </w:rPr>
      </w:pPr>
    </w:p>
    <w:p w14:paraId="1DF7D9FE"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lang w:val="en-US"/>
        </w:rPr>
        <w:t xml:space="preserve">However, an </w:t>
      </w:r>
      <w:r w:rsidRPr="008D6B3D">
        <w:rPr>
          <w:rFonts w:ascii="Times New Roman" w:hAnsi="Times New Roman"/>
          <w:i/>
          <w:sz w:val="24"/>
          <w:szCs w:val="24"/>
          <w:lang w:val="en-US"/>
        </w:rPr>
        <w:t xml:space="preserve">inter </w:t>
      </w:r>
      <w:proofErr w:type="spellStart"/>
      <w:r w:rsidRPr="008D6B3D">
        <w:rPr>
          <w:rFonts w:ascii="Times New Roman" w:hAnsi="Times New Roman"/>
          <w:i/>
          <w:sz w:val="24"/>
          <w:szCs w:val="24"/>
          <w:lang w:val="en-US"/>
        </w:rPr>
        <w:t>partes</w:t>
      </w:r>
      <w:proofErr w:type="spellEnd"/>
      <w:r w:rsidRPr="008D6B3D">
        <w:rPr>
          <w:rFonts w:ascii="Times New Roman" w:hAnsi="Times New Roman"/>
          <w:sz w:val="24"/>
          <w:szCs w:val="24"/>
          <w:lang w:val="en-US"/>
        </w:rPr>
        <w:t xml:space="preserve"> costs order makes a substantial difference to the amount of costs payable. Where costs are recovered from the opposing party then legal aid practitioners may recover at their ordinary private paying rates and are not restricted to non-commercial legal aid rates. </w:t>
      </w:r>
      <w:r w:rsidRPr="008D6B3D">
        <w:rPr>
          <w:rFonts w:ascii="Times New Roman" w:hAnsi="Times New Roman"/>
          <w:sz w:val="24"/>
          <w:szCs w:val="24"/>
        </w:rPr>
        <w:t xml:space="preserve">The indemnity principle, which restricts the paying party’s liability to the amount that the receiving party is obliged to pay, does not apply (Civil Legal Aid (Costs) Regulations 2013 Reg 21). </w:t>
      </w:r>
    </w:p>
    <w:p w14:paraId="1DF7D9FF" w14:textId="77777777" w:rsidR="00E94324" w:rsidRPr="008D6B3D" w:rsidRDefault="00E94324" w:rsidP="00E94324">
      <w:pPr>
        <w:pStyle w:val="ListParagraph"/>
        <w:rPr>
          <w:rFonts w:ascii="Times New Roman" w:hAnsi="Times New Roman"/>
          <w:sz w:val="24"/>
          <w:szCs w:val="24"/>
        </w:rPr>
      </w:pPr>
    </w:p>
    <w:p w14:paraId="1DF7DA01" w14:textId="77777777" w:rsidR="00E94324" w:rsidRPr="00B50AFB" w:rsidRDefault="00E94324" w:rsidP="0068488D">
      <w:pPr>
        <w:spacing w:line="360" w:lineRule="auto"/>
        <w:rPr>
          <w:rFonts w:ascii="Times New Roman" w:hAnsi="Times New Roman"/>
          <w:i/>
          <w:sz w:val="24"/>
          <w:szCs w:val="24"/>
          <w:u w:val="single"/>
        </w:rPr>
      </w:pPr>
      <w:r w:rsidRPr="00B50AFB">
        <w:rPr>
          <w:rFonts w:ascii="Times New Roman" w:hAnsi="Times New Roman"/>
          <w:i/>
          <w:sz w:val="24"/>
          <w:szCs w:val="24"/>
          <w:u w:val="single"/>
        </w:rPr>
        <w:t>Costs against an unsuccessful publicly funded litigant</w:t>
      </w:r>
    </w:p>
    <w:p w14:paraId="1DF7DA02" w14:textId="77777777" w:rsidR="00E94324" w:rsidRPr="008D6B3D" w:rsidRDefault="00E94324" w:rsidP="006F53FC">
      <w:pPr>
        <w:numPr>
          <w:ilvl w:val="0"/>
          <w:numId w:val="31"/>
        </w:numPr>
        <w:spacing w:after="0" w:line="360" w:lineRule="auto"/>
        <w:rPr>
          <w:rFonts w:ascii="Times New Roman" w:hAnsi="Times New Roman"/>
          <w:sz w:val="24"/>
          <w:szCs w:val="24"/>
        </w:rPr>
      </w:pPr>
      <w:r w:rsidRPr="008D6B3D">
        <w:rPr>
          <w:rFonts w:ascii="Times New Roman" w:hAnsi="Times New Roman"/>
          <w:sz w:val="24"/>
          <w:szCs w:val="24"/>
        </w:rPr>
        <w:t xml:space="preserve">An unsuccessful publicly funded litigant is entitled to costs protection in that they can only be required to pay more than the amount </w:t>
      </w:r>
      <w:r w:rsidRPr="0068488D">
        <w:rPr>
          <w:rFonts w:ascii="Times New Roman" w:hAnsi="Times New Roman"/>
          <w:i/>
          <w:sz w:val="24"/>
        </w:rPr>
        <w:t>“which is a reasonable one</w:t>
      </w:r>
      <w:r w:rsidRPr="008D6B3D">
        <w:rPr>
          <w:rFonts w:ascii="Times New Roman" w:hAnsi="Times New Roman"/>
          <w:sz w:val="24"/>
          <w:szCs w:val="24"/>
        </w:rPr>
        <w:t xml:space="preserve">” for them to pay having regard to their means and their conduct in relation to the dispute (LASPO s. 26). </w:t>
      </w:r>
    </w:p>
    <w:p w14:paraId="1DF7DA03" w14:textId="77777777" w:rsidR="00E94324" w:rsidRPr="008D6B3D" w:rsidRDefault="00E94324" w:rsidP="00E94324">
      <w:pPr>
        <w:spacing w:line="360" w:lineRule="auto"/>
        <w:ind w:left="360"/>
        <w:rPr>
          <w:rFonts w:ascii="Times New Roman" w:hAnsi="Times New Roman"/>
          <w:sz w:val="24"/>
          <w:szCs w:val="24"/>
        </w:rPr>
      </w:pPr>
    </w:p>
    <w:p w14:paraId="1DF7DA04" w14:textId="77777777" w:rsidR="00E94324" w:rsidRPr="008D6B3D"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The procedure for determining what is a reasonable amount to pay is specified in the Civil Legal Aid (Costs) Regulations 2013 and see </w:t>
      </w:r>
      <w:r w:rsidRPr="008D6B3D">
        <w:rPr>
          <w:rFonts w:ascii="Times New Roman" w:hAnsi="Times New Roman"/>
          <w:i/>
          <w:sz w:val="24"/>
          <w:szCs w:val="24"/>
        </w:rPr>
        <w:t>Wyatt v Portsmouth NHS Trust</w:t>
      </w:r>
      <w:r w:rsidRPr="008D6B3D">
        <w:rPr>
          <w:rFonts w:ascii="Times New Roman" w:hAnsi="Times New Roman"/>
          <w:sz w:val="24"/>
          <w:szCs w:val="24"/>
        </w:rPr>
        <w:t xml:space="preserve"> [2006] EWCA </w:t>
      </w:r>
      <w:proofErr w:type="spellStart"/>
      <w:r w:rsidRPr="008D6B3D">
        <w:rPr>
          <w:rFonts w:ascii="Times New Roman" w:hAnsi="Times New Roman"/>
          <w:sz w:val="24"/>
          <w:szCs w:val="24"/>
        </w:rPr>
        <w:t>Civ</w:t>
      </w:r>
      <w:proofErr w:type="spellEnd"/>
      <w:r w:rsidRPr="008D6B3D">
        <w:rPr>
          <w:rFonts w:ascii="Times New Roman" w:hAnsi="Times New Roman"/>
          <w:sz w:val="24"/>
          <w:szCs w:val="24"/>
        </w:rPr>
        <w:t xml:space="preserve"> 529 and in the SCCO Guide 2006 Section 25 for a discussion of the predecessor Regulations. </w:t>
      </w:r>
    </w:p>
    <w:p w14:paraId="1DF7DA05" w14:textId="77777777" w:rsidR="00E94324" w:rsidRPr="008D6B3D" w:rsidRDefault="00E94324" w:rsidP="00E94324">
      <w:pPr>
        <w:spacing w:line="360" w:lineRule="auto"/>
        <w:ind w:left="360"/>
        <w:rPr>
          <w:rFonts w:ascii="Times New Roman" w:hAnsi="Times New Roman"/>
          <w:sz w:val="24"/>
          <w:szCs w:val="24"/>
        </w:rPr>
      </w:pPr>
    </w:p>
    <w:p w14:paraId="1DF7DA06" w14:textId="77777777" w:rsidR="00E94324" w:rsidRPr="008D6B3D" w:rsidRDefault="00E94324" w:rsidP="0068488D">
      <w:pPr>
        <w:numPr>
          <w:ilvl w:val="1"/>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The Court first considers what order it would make in the absence of costs protection and whether that would have been for summary or detailed assessment – Reg 15(1). </w:t>
      </w:r>
    </w:p>
    <w:p w14:paraId="1DF7DA07" w14:textId="77777777" w:rsidR="00E94324" w:rsidRPr="008D6B3D" w:rsidRDefault="00E94324" w:rsidP="0068488D">
      <w:pPr>
        <w:spacing w:line="360" w:lineRule="auto"/>
        <w:ind w:left="360"/>
        <w:jc w:val="both"/>
        <w:rPr>
          <w:rFonts w:ascii="Times New Roman" w:hAnsi="Times New Roman"/>
          <w:sz w:val="24"/>
          <w:szCs w:val="24"/>
        </w:rPr>
      </w:pPr>
    </w:p>
    <w:p w14:paraId="1DF7DA08" w14:textId="77777777" w:rsidR="00E94324" w:rsidRPr="008D6B3D" w:rsidRDefault="00E94324" w:rsidP="0068488D">
      <w:pPr>
        <w:numPr>
          <w:ilvl w:val="1"/>
          <w:numId w:val="31"/>
        </w:numPr>
        <w:spacing w:after="0" w:line="360" w:lineRule="auto"/>
        <w:jc w:val="both"/>
        <w:rPr>
          <w:rFonts w:ascii="Times New Roman" w:hAnsi="Times New Roman"/>
          <w:sz w:val="24"/>
          <w:szCs w:val="24"/>
        </w:rPr>
      </w:pPr>
      <w:r w:rsidRPr="008D6B3D">
        <w:rPr>
          <w:rFonts w:ascii="Times New Roman" w:hAnsi="Times New Roman"/>
          <w:sz w:val="24"/>
          <w:szCs w:val="24"/>
        </w:rPr>
        <w:lastRenderedPageBreak/>
        <w:t xml:space="preserve">If the trial court considers that it has sufficient information to decide what </w:t>
      </w:r>
      <w:proofErr w:type="gramStart"/>
      <w:r w:rsidRPr="008D6B3D">
        <w:rPr>
          <w:rFonts w:ascii="Times New Roman" w:hAnsi="Times New Roman"/>
          <w:sz w:val="24"/>
          <w:szCs w:val="24"/>
        </w:rPr>
        <w:t>is a reasonable amount to pay then it</w:t>
      </w:r>
      <w:proofErr w:type="gramEnd"/>
      <w:r w:rsidRPr="008D6B3D">
        <w:rPr>
          <w:rFonts w:ascii="Times New Roman" w:hAnsi="Times New Roman"/>
          <w:sz w:val="24"/>
          <w:szCs w:val="24"/>
        </w:rPr>
        <w:t xml:space="preserve"> will specify the amount but only if satisfied that the actual costs that would be ordered would be at least that amount 15(2) or (3). In </w:t>
      </w:r>
      <w:r w:rsidRPr="0068488D">
        <w:rPr>
          <w:rFonts w:ascii="Times New Roman" w:hAnsi="Times New Roman"/>
          <w:i/>
          <w:sz w:val="24"/>
        </w:rPr>
        <w:t>Wyatt</w:t>
      </w:r>
      <w:r w:rsidRPr="008D6B3D">
        <w:rPr>
          <w:rFonts w:ascii="Times New Roman" w:hAnsi="Times New Roman"/>
          <w:sz w:val="24"/>
          <w:szCs w:val="24"/>
        </w:rPr>
        <w:t xml:space="preserve"> the Court specified that the amount payable was nil. </w:t>
      </w:r>
    </w:p>
    <w:p w14:paraId="1DF7DA09" w14:textId="77777777" w:rsidR="00E94324" w:rsidRPr="008D6B3D" w:rsidRDefault="00E94324" w:rsidP="0068488D">
      <w:pPr>
        <w:spacing w:line="360" w:lineRule="auto"/>
        <w:ind w:left="360"/>
        <w:jc w:val="both"/>
        <w:rPr>
          <w:rFonts w:ascii="Times New Roman" w:hAnsi="Times New Roman"/>
          <w:sz w:val="24"/>
          <w:szCs w:val="24"/>
        </w:rPr>
      </w:pPr>
    </w:p>
    <w:p w14:paraId="1DF7DA0A" w14:textId="77777777" w:rsidR="00E94324" w:rsidRPr="008D6B3D" w:rsidRDefault="00E94324" w:rsidP="0068488D">
      <w:pPr>
        <w:numPr>
          <w:ilvl w:val="1"/>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Otherwise the determination of the assisted person’s liability to pay is to be determined by a costs judge. The application must be made within 3 months unless there is a change in circumstances, new information is available or good reason for the delay. There is an outside time limit of 6 years. </w:t>
      </w:r>
    </w:p>
    <w:p w14:paraId="1DF7DA0B" w14:textId="77777777" w:rsidR="00E94324" w:rsidRPr="008D6B3D" w:rsidRDefault="00E94324" w:rsidP="0068488D">
      <w:pPr>
        <w:pStyle w:val="ListParagraph"/>
        <w:spacing w:line="360" w:lineRule="auto"/>
        <w:jc w:val="both"/>
        <w:rPr>
          <w:rFonts w:ascii="Times New Roman" w:hAnsi="Times New Roman"/>
          <w:sz w:val="24"/>
          <w:szCs w:val="24"/>
        </w:rPr>
      </w:pPr>
    </w:p>
    <w:p w14:paraId="1DF7DA0C" w14:textId="300D593D" w:rsidR="00E94324" w:rsidRPr="008D6B3D" w:rsidRDefault="00E94324" w:rsidP="0068488D">
      <w:pPr>
        <w:numPr>
          <w:ilvl w:val="0"/>
          <w:numId w:val="31"/>
        </w:numPr>
        <w:spacing w:after="0" w:line="360" w:lineRule="auto"/>
        <w:ind w:hanging="502"/>
        <w:jc w:val="both"/>
        <w:rPr>
          <w:rFonts w:ascii="Times New Roman" w:hAnsi="Times New Roman"/>
          <w:sz w:val="24"/>
          <w:szCs w:val="24"/>
        </w:rPr>
      </w:pPr>
      <w:r w:rsidRPr="008D6B3D">
        <w:rPr>
          <w:rFonts w:ascii="Times New Roman" w:hAnsi="Times New Roman"/>
          <w:sz w:val="24"/>
          <w:szCs w:val="24"/>
        </w:rPr>
        <w:t xml:space="preserve">The Court will often Order that it is reasonable for the Defendant to recover its costs by setting them off against any amounts payable by the Defendant – </w:t>
      </w:r>
      <w:r w:rsidRPr="008D6B3D">
        <w:rPr>
          <w:rFonts w:ascii="Times New Roman" w:hAnsi="Times New Roman"/>
          <w:i/>
          <w:sz w:val="24"/>
          <w:szCs w:val="24"/>
        </w:rPr>
        <w:t xml:space="preserve">Lockley v National Blood Transfusion Service </w:t>
      </w:r>
      <w:r w:rsidRPr="008D6B3D">
        <w:rPr>
          <w:rFonts w:ascii="Times New Roman" w:hAnsi="Times New Roman"/>
          <w:sz w:val="24"/>
          <w:szCs w:val="24"/>
        </w:rPr>
        <w:t xml:space="preserve">[1992] 1 WLR 492 and </w:t>
      </w:r>
      <w:r w:rsidRPr="008D6B3D">
        <w:rPr>
          <w:rFonts w:ascii="Times New Roman" w:hAnsi="Times New Roman"/>
          <w:i/>
          <w:sz w:val="24"/>
          <w:szCs w:val="24"/>
        </w:rPr>
        <w:t>R (Burkett v Hammersmith &amp; Fulham LBC</w:t>
      </w:r>
      <w:r w:rsidRPr="008D6B3D">
        <w:rPr>
          <w:rFonts w:ascii="Times New Roman" w:hAnsi="Times New Roman"/>
          <w:sz w:val="24"/>
          <w:szCs w:val="24"/>
        </w:rPr>
        <w:t xml:space="preserve">. [2005] 1 Costs LR 104. The Court also </w:t>
      </w:r>
      <w:r w:rsidR="004709E9">
        <w:rPr>
          <w:rFonts w:ascii="Times New Roman" w:hAnsi="Times New Roman"/>
          <w:sz w:val="24"/>
          <w:szCs w:val="24"/>
        </w:rPr>
        <w:t>has the</w:t>
      </w:r>
      <w:r w:rsidRPr="008D6B3D">
        <w:rPr>
          <w:rFonts w:ascii="Times New Roman" w:hAnsi="Times New Roman"/>
          <w:sz w:val="24"/>
          <w:szCs w:val="24"/>
        </w:rPr>
        <w:t xml:space="preserve"> power to stay an order against a public body pending the outcome of other litigation against the same claimant so that a set-off can be made later – </w:t>
      </w:r>
      <w:proofErr w:type="spellStart"/>
      <w:r w:rsidRPr="008D6B3D">
        <w:rPr>
          <w:rFonts w:ascii="Times New Roman" w:hAnsi="Times New Roman"/>
          <w:i/>
          <w:sz w:val="24"/>
          <w:szCs w:val="24"/>
        </w:rPr>
        <w:t>Maloba</w:t>
      </w:r>
      <w:proofErr w:type="spellEnd"/>
      <w:r w:rsidRPr="008D6B3D">
        <w:rPr>
          <w:rFonts w:ascii="Times New Roman" w:hAnsi="Times New Roman"/>
          <w:i/>
          <w:sz w:val="24"/>
          <w:szCs w:val="24"/>
        </w:rPr>
        <w:t xml:space="preserve"> v LB Waltham Forest </w:t>
      </w:r>
      <w:r w:rsidRPr="008D6B3D">
        <w:rPr>
          <w:rFonts w:ascii="Times New Roman" w:hAnsi="Times New Roman"/>
          <w:sz w:val="24"/>
          <w:szCs w:val="24"/>
          <w:lang w:val="fr-FR"/>
        </w:rPr>
        <w:t xml:space="preserve">[2007] EWCA </w:t>
      </w:r>
      <w:proofErr w:type="spellStart"/>
      <w:r w:rsidRPr="008D6B3D">
        <w:rPr>
          <w:rFonts w:ascii="Times New Roman" w:hAnsi="Times New Roman"/>
          <w:sz w:val="24"/>
          <w:szCs w:val="24"/>
          <w:lang w:val="fr-FR"/>
        </w:rPr>
        <w:t>Civ</w:t>
      </w:r>
      <w:proofErr w:type="spellEnd"/>
      <w:r w:rsidRPr="008D6B3D">
        <w:rPr>
          <w:rFonts w:ascii="Times New Roman" w:hAnsi="Times New Roman"/>
          <w:sz w:val="24"/>
          <w:szCs w:val="24"/>
          <w:lang w:val="fr-FR"/>
        </w:rPr>
        <w:t xml:space="preserve"> 1281; [2008] 1 WLR 2079 (</w:t>
      </w:r>
      <w:proofErr w:type="spellStart"/>
      <w:r w:rsidRPr="008D6B3D">
        <w:rPr>
          <w:rFonts w:ascii="Times New Roman" w:hAnsi="Times New Roman"/>
          <w:sz w:val="24"/>
          <w:szCs w:val="24"/>
          <w:lang w:val="fr-FR"/>
        </w:rPr>
        <w:t>although</w:t>
      </w:r>
      <w:proofErr w:type="spellEnd"/>
      <w:r w:rsidRPr="008D6B3D">
        <w:rPr>
          <w:rFonts w:ascii="Times New Roman" w:hAnsi="Times New Roman"/>
          <w:sz w:val="24"/>
          <w:szCs w:val="24"/>
          <w:lang w:val="fr-FR"/>
        </w:rPr>
        <w:t xml:space="preserve"> an </w:t>
      </w:r>
      <w:proofErr w:type="spellStart"/>
      <w:r w:rsidRPr="008D6B3D">
        <w:rPr>
          <w:rFonts w:ascii="Times New Roman" w:hAnsi="Times New Roman"/>
          <w:sz w:val="24"/>
          <w:szCs w:val="24"/>
          <w:lang w:val="fr-FR"/>
        </w:rPr>
        <w:t>order</w:t>
      </w:r>
      <w:proofErr w:type="spellEnd"/>
      <w:r w:rsidRPr="008D6B3D">
        <w:rPr>
          <w:rFonts w:ascii="Times New Roman" w:hAnsi="Times New Roman"/>
          <w:sz w:val="24"/>
          <w:szCs w:val="24"/>
          <w:lang w:val="fr-FR"/>
        </w:rPr>
        <w:t xml:space="preserve"> </w:t>
      </w:r>
      <w:proofErr w:type="spellStart"/>
      <w:r w:rsidRPr="008D6B3D">
        <w:rPr>
          <w:rFonts w:ascii="Times New Roman" w:hAnsi="Times New Roman"/>
          <w:sz w:val="24"/>
          <w:szCs w:val="24"/>
          <w:lang w:val="fr-FR"/>
        </w:rPr>
        <w:t>was</w:t>
      </w:r>
      <w:proofErr w:type="spellEnd"/>
      <w:r w:rsidRPr="008D6B3D">
        <w:rPr>
          <w:rFonts w:ascii="Times New Roman" w:hAnsi="Times New Roman"/>
          <w:sz w:val="24"/>
          <w:szCs w:val="24"/>
          <w:lang w:val="fr-FR"/>
        </w:rPr>
        <w:t xml:space="preserve"> not made in </w:t>
      </w:r>
      <w:proofErr w:type="spellStart"/>
      <w:r w:rsidRPr="008D6B3D">
        <w:rPr>
          <w:rFonts w:ascii="Times New Roman" w:hAnsi="Times New Roman"/>
          <w:sz w:val="24"/>
          <w:szCs w:val="24"/>
          <w:lang w:val="fr-FR"/>
        </w:rPr>
        <w:t>that</w:t>
      </w:r>
      <w:proofErr w:type="spellEnd"/>
      <w:r w:rsidRPr="008D6B3D">
        <w:rPr>
          <w:rFonts w:ascii="Times New Roman" w:hAnsi="Times New Roman"/>
          <w:sz w:val="24"/>
          <w:szCs w:val="24"/>
          <w:lang w:val="fr-FR"/>
        </w:rPr>
        <w:t xml:space="preserve"> case). </w:t>
      </w:r>
    </w:p>
    <w:p w14:paraId="1DF7DA0D" w14:textId="77777777" w:rsidR="00E94324" w:rsidRPr="008D6B3D" w:rsidRDefault="00E94324" w:rsidP="00E94324">
      <w:pPr>
        <w:spacing w:line="360" w:lineRule="auto"/>
        <w:rPr>
          <w:rFonts w:ascii="Times New Roman" w:hAnsi="Times New Roman"/>
          <w:sz w:val="24"/>
          <w:szCs w:val="24"/>
        </w:rPr>
      </w:pPr>
    </w:p>
    <w:p w14:paraId="1DF7DA0E" w14:textId="77777777" w:rsidR="00E94324" w:rsidRPr="008D6B3D" w:rsidRDefault="00E94324" w:rsidP="0068488D">
      <w:pPr>
        <w:keepNext/>
        <w:spacing w:line="360" w:lineRule="auto"/>
        <w:jc w:val="both"/>
        <w:rPr>
          <w:rFonts w:ascii="Times New Roman" w:hAnsi="Times New Roman"/>
          <w:i/>
          <w:sz w:val="24"/>
          <w:szCs w:val="24"/>
        </w:rPr>
      </w:pPr>
      <w:r w:rsidRPr="008D6B3D">
        <w:rPr>
          <w:rFonts w:ascii="Times New Roman" w:hAnsi="Times New Roman"/>
          <w:i/>
          <w:sz w:val="24"/>
          <w:szCs w:val="24"/>
        </w:rPr>
        <w:t xml:space="preserve">Costs against the Lord Chancellor </w:t>
      </w:r>
    </w:p>
    <w:p w14:paraId="1DF7DA0F" w14:textId="77777777" w:rsidR="00E94324" w:rsidRDefault="00E94324" w:rsidP="0068488D">
      <w:pPr>
        <w:numPr>
          <w:ilvl w:val="0"/>
          <w:numId w:val="31"/>
        </w:numPr>
        <w:spacing w:after="0" w:line="360" w:lineRule="auto"/>
        <w:jc w:val="both"/>
        <w:rPr>
          <w:rFonts w:ascii="Times New Roman" w:hAnsi="Times New Roman"/>
          <w:sz w:val="24"/>
          <w:szCs w:val="24"/>
        </w:rPr>
      </w:pPr>
      <w:r w:rsidRPr="008D6B3D">
        <w:rPr>
          <w:rFonts w:ascii="Times New Roman" w:hAnsi="Times New Roman"/>
          <w:sz w:val="24"/>
          <w:szCs w:val="24"/>
        </w:rPr>
        <w:t xml:space="preserve">A successful Defendant or interested party defending a claim against a publicly funded client may in some circumstances apply to have their costs paid by the Lord Chancellor where they will not recover them against the client. It must be just and equitable for the Order to be made and at first instance the receiving party must show that they will suffer financial hardship if the order is not made (this does not apply on appeal). The application </w:t>
      </w:r>
      <w:r w:rsidRPr="008D6B3D">
        <w:rPr>
          <w:rFonts w:ascii="Times New Roman" w:hAnsi="Times New Roman"/>
          <w:sz w:val="24"/>
          <w:szCs w:val="24"/>
          <w:u w:val="single"/>
        </w:rPr>
        <w:t>must</w:t>
      </w:r>
      <w:r w:rsidRPr="008D6B3D">
        <w:rPr>
          <w:rFonts w:ascii="Times New Roman" w:hAnsi="Times New Roman"/>
          <w:sz w:val="24"/>
          <w:szCs w:val="24"/>
        </w:rPr>
        <w:t xml:space="preserve"> be made within 3 months of the making of the relevant costs order (LASPO s. 26 and Civil Legal Aid (Costs) Regulations 2013 Reg 10). </w:t>
      </w:r>
    </w:p>
    <w:p w14:paraId="1DF7DA10" w14:textId="77777777" w:rsidR="00B50AFB" w:rsidRDefault="00B50AFB" w:rsidP="00B50AFB">
      <w:pPr>
        <w:spacing w:after="0" w:line="360" w:lineRule="auto"/>
        <w:ind w:left="720"/>
        <w:rPr>
          <w:rFonts w:ascii="Times New Roman" w:hAnsi="Times New Roman"/>
          <w:sz w:val="24"/>
          <w:szCs w:val="24"/>
        </w:rPr>
      </w:pPr>
    </w:p>
    <w:p w14:paraId="722CB71C" w14:textId="77777777" w:rsidR="004709E9" w:rsidRDefault="004709E9" w:rsidP="00B50AFB">
      <w:pPr>
        <w:spacing w:after="0" w:line="360" w:lineRule="auto"/>
        <w:jc w:val="right"/>
        <w:rPr>
          <w:rFonts w:ascii="Times New Roman" w:hAnsi="Times New Roman"/>
          <w:b/>
          <w:sz w:val="24"/>
          <w:szCs w:val="24"/>
        </w:rPr>
      </w:pPr>
    </w:p>
    <w:p w14:paraId="1DF7DA11" w14:textId="77777777" w:rsidR="00B50AFB" w:rsidRPr="00B50AFB" w:rsidRDefault="00B50AFB" w:rsidP="00B50AFB">
      <w:pPr>
        <w:spacing w:after="0" w:line="360" w:lineRule="auto"/>
        <w:jc w:val="right"/>
        <w:rPr>
          <w:rFonts w:ascii="Times New Roman" w:hAnsi="Times New Roman"/>
          <w:b/>
          <w:sz w:val="24"/>
          <w:szCs w:val="24"/>
        </w:rPr>
      </w:pPr>
      <w:r w:rsidRPr="00B50AFB">
        <w:rPr>
          <w:rFonts w:ascii="Times New Roman" w:hAnsi="Times New Roman"/>
          <w:b/>
          <w:sz w:val="24"/>
          <w:szCs w:val="24"/>
        </w:rPr>
        <w:t>CAOILFHIONN GALLAGHER QC</w:t>
      </w:r>
    </w:p>
    <w:p w14:paraId="1DF7DA12" w14:textId="77777777" w:rsidR="00B50AFB" w:rsidRPr="00B50AFB" w:rsidRDefault="00B50AFB" w:rsidP="00B50AFB">
      <w:pPr>
        <w:spacing w:after="0" w:line="360" w:lineRule="auto"/>
        <w:jc w:val="right"/>
        <w:rPr>
          <w:rFonts w:ascii="Times New Roman" w:hAnsi="Times New Roman"/>
          <w:b/>
          <w:sz w:val="24"/>
          <w:szCs w:val="24"/>
        </w:rPr>
      </w:pPr>
      <w:r w:rsidRPr="00B50AFB">
        <w:rPr>
          <w:rFonts w:ascii="Times New Roman" w:hAnsi="Times New Roman"/>
          <w:b/>
          <w:sz w:val="24"/>
          <w:szCs w:val="24"/>
        </w:rPr>
        <w:t>DOUGHTY STREET CHAMBERS</w:t>
      </w:r>
    </w:p>
    <w:p w14:paraId="1DF7DA13" w14:textId="73A5B0F4" w:rsidR="00B50AFB" w:rsidRPr="00B50AFB" w:rsidRDefault="009D0ADD" w:rsidP="00B50AFB">
      <w:pPr>
        <w:spacing w:after="0" w:line="360" w:lineRule="auto"/>
        <w:jc w:val="right"/>
        <w:rPr>
          <w:rFonts w:ascii="Times New Roman" w:hAnsi="Times New Roman"/>
          <w:b/>
          <w:sz w:val="24"/>
          <w:szCs w:val="24"/>
        </w:rPr>
      </w:pPr>
      <w:r>
        <w:rPr>
          <w:rFonts w:ascii="Times New Roman" w:hAnsi="Times New Roman"/>
          <w:b/>
          <w:sz w:val="24"/>
          <w:szCs w:val="24"/>
        </w:rPr>
        <w:t>22</w:t>
      </w:r>
      <w:r w:rsidRPr="009D0ADD">
        <w:rPr>
          <w:rFonts w:ascii="Times New Roman" w:hAnsi="Times New Roman"/>
          <w:b/>
          <w:sz w:val="24"/>
          <w:szCs w:val="24"/>
          <w:vertAlign w:val="superscript"/>
        </w:rPr>
        <w:t>nd</w:t>
      </w:r>
      <w:r>
        <w:rPr>
          <w:rFonts w:ascii="Times New Roman" w:hAnsi="Times New Roman"/>
          <w:b/>
          <w:sz w:val="24"/>
          <w:szCs w:val="24"/>
        </w:rPr>
        <w:t xml:space="preserve"> November 2018</w:t>
      </w:r>
    </w:p>
    <w:sectPr w:rsidR="00B50AFB" w:rsidRPr="00B50AFB" w:rsidSect="00E94324">
      <w:headerReference w:type="default" r:id="rId13"/>
      <w:footerReference w:type="default" r:id="rId14"/>
      <w:pgSz w:w="11906" w:h="16838" w:code="9"/>
      <w:pgMar w:top="1871" w:right="1304" w:bottom="1361" w:left="130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41199" w14:textId="77777777" w:rsidR="00BD2640" w:rsidRDefault="00BD2640" w:rsidP="00B5201A">
      <w:pPr>
        <w:spacing w:after="0" w:line="240" w:lineRule="auto"/>
      </w:pPr>
      <w:r>
        <w:separator/>
      </w:r>
    </w:p>
  </w:endnote>
  <w:endnote w:type="continuationSeparator" w:id="0">
    <w:p w14:paraId="45DBEE97" w14:textId="77777777" w:rsidR="00BD2640" w:rsidRDefault="00BD2640" w:rsidP="00B5201A">
      <w:pPr>
        <w:spacing w:after="0" w:line="240" w:lineRule="auto"/>
      </w:pPr>
      <w:r>
        <w:continuationSeparator/>
      </w:r>
    </w:p>
  </w:endnote>
  <w:endnote w:type="continuationNotice" w:id="1">
    <w:p w14:paraId="04CCF6E0" w14:textId="77777777" w:rsidR="00BD2640" w:rsidRDefault="00BD2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275945"/>
      <w:docPartObj>
        <w:docPartGallery w:val="Page Numbers (Bottom of Page)"/>
        <w:docPartUnique/>
      </w:docPartObj>
    </w:sdtPr>
    <w:sdtEndPr/>
    <w:sdtContent>
      <w:p w14:paraId="1DF7DA1A" w14:textId="77777777" w:rsidR="006F53FC" w:rsidRDefault="0068488D">
        <w:pPr>
          <w:pStyle w:val="Footer"/>
          <w:jc w:val="center"/>
        </w:pPr>
        <w:r>
          <w:fldChar w:fldCharType="begin"/>
        </w:r>
        <w:r>
          <w:instrText xml:space="preserve"> PAGE   \* MERGEFORMAT </w:instrText>
        </w:r>
        <w:r>
          <w:fldChar w:fldCharType="separate"/>
        </w:r>
        <w:r w:rsidR="00AF56DF">
          <w:rPr>
            <w:noProof/>
          </w:rPr>
          <w:t>20</w:t>
        </w:r>
        <w:r>
          <w:rPr>
            <w:noProof/>
          </w:rPr>
          <w:fldChar w:fldCharType="end"/>
        </w:r>
      </w:p>
    </w:sdtContent>
  </w:sdt>
  <w:p w14:paraId="1DF7DA1B" w14:textId="77777777" w:rsidR="006F53FC" w:rsidRDefault="006F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AA3D3" w14:textId="77777777" w:rsidR="00BD2640" w:rsidRDefault="00BD2640" w:rsidP="00B5201A">
      <w:pPr>
        <w:spacing w:after="0" w:line="240" w:lineRule="auto"/>
      </w:pPr>
      <w:r>
        <w:separator/>
      </w:r>
    </w:p>
  </w:footnote>
  <w:footnote w:type="continuationSeparator" w:id="0">
    <w:p w14:paraId="05737F77" w14:textId="77777777" w:rsidR="00BD2640" w:rsidRDefault="00BD2640" w:rsidP="00B5201A">
      <w:pPr>
        <w:spacing w:after="0" w:line="240" w:lineRule="auto"/>
      </w:pPr>
      <w:r>
        <w:continuationSeparator/>
      </w:r>
    </w:p>
  </w:footnote>
  <w:footnote w:type="continuationNotice" w:id="1">
    <w:p w14:paraId="4BF50403" w14:textId="77777777" w:rsidR="00BD2640" w:rsidRDefault="00BD2640">
      <w:pPr>
        <w:spacing w:after="0" w:line="240" w:lineRule="auto"/>
      </w:pPr>
    </w:p>
  </w:footnote>
  <w:footnote w:id="2">
    <w:p w14:paraId="54825EFE" w14:textId="0E17EE43" w:rsidR="005F5903" w:rsidRDefault="005F5903">
      <w:pPr>
        <w:pStyle w:val="FootnoteText"/>
      </w:pPr>
      <w:r>
        <w:rPr>
          <w:rStyle w:val="FootnoteReference"/>
        </w:rPr>
        <w:footnoteRef/>
      </w:r>
      <w:r>
        <w:t xml:space="preserve"> </w:t>
      </w:r>
      <w:r>
        <w:tab/>
        <w:t xml:space="preserve">This paper draws in large part upon earlier drafting by </w:t>
      </w:r>
      <w:r w:rsidRPr="005F5903">
        <w:rPr>
          <w:b/>
        </w:rPr>
        <w:t>Martin Westgate QC</w:t>
      </w:r>
      <w:r>
        <w:t>, who previously presented this session. However, any errors are my own.</w:t>
      </w:r>
    </w:p>
  </w:footnote>
  <w:footnote w:id="3">
    <w:p w14:paraId="0067E055" w14:textId="57515B94" w:rsidR="009D0ADD" w:rsidRDefault="009D0ADD" w:rsidP="009D0ADD">
      <w:pPr>
        <w:pStyle w:val="FootnoteText"/>
        <w:ind w:left="0" w:firstLine="0"/>
        <w:jc w:val="left"/>
      </w:pPr>
      <w:r>
        <w:rPr>
          <w:rStyle w:val="FootnoteReference"/>
        </w:rPr>
        <w:footnoteRef/>
      </w:r>
      <w:r>
        <w:t xml:space="preserve"> For details of fees, see </w:t>
      </w:r>
      <w:hyperlink r:id="rId1" w:history="1">
        <w:r w:rsidRPr="00687B9A">
          <w:rPr>
            <w:rStyle w:val="Hyperlink"/>
          </w:rPr>
          <w:t>https://assets.publishing.service.gov.uk/government/uploads/system/uploads/attachment_data/file/540585/administrative-court-fee-increase.pdf</w:t>
        </w:r>
      </w:hyperlink>
      <w:r>
        <w:t>. The currently payable continuation fee is £770 (recently increased from £700).</w:t>
      </w:r>
    </w:p>
  </w:footnote>
  <w:footnote w:id="4">
    <w:p w14:paraId="1DF7DA1C" w14:textId="77777777" w:rsidR="006F53FC" w:rsidRDefault="006F53FC" w:rsidP="00E94324">
      <w:pPr>
        <w:pStyle w:val="FootnoteText"/>
      </w:pPr>
      <w:r>
        <w:rPr>
          <w:rStyle w:val="FootnoteReference"/>
        </w:rPr>
        <w:footnoteRef/>
      </w:r>
      <w:r>
        <w:t xml:space="preserve"> See e.g. </w:t>
      </w:r>
      <w:r>
        <w:rPr>
          <w:i/>
        </w:rPr>
        <w:t>R (</w:t>
      </w:r>
      <w:proofErr w:type="spellStart"/>
      <w:r>
        <w:rPr>
          <w:i/>
        </w:rPr>
        <w:t>Bredenkamp</w:t>
      </w:r>
      <w:proofErr w:type="spellEnd"/>
      <w:r>
        <w:rPr>
          <w:i/>
        </w:rPr>
        <w:t xml:space="preserve">) v FCO </w:t>
      </w:r>
      <w:r>
        <w:t xml:space="preserve">[2013] EWHC Admin 2480. </w:t>
      </w:r>
    </w:p>
  </w:footnote>
  <w:footnote w:id="5">
    <w:p w14:paraId="1DF7DA1D" w14:textId="77777777" w:rsidR="006F53FC" w:rsidRDefault="006F53FC" w:rsidP="00E94324">
      <w:pPr>
        <w:pStyle w:val="FootnoteText"/>
      </w:pPr>
      <w:r>
        <w:rPr>
          <w:rStyle w:val="FootnoteReference"/>
        </w:rPr>
        <w:footnoteRef/>
      </w:r>
      <w:r>
        <w:t xml:space="preserve"> This was a claim for false imprisonment but the remarks were general. In the event there was no live evidence and the Claimant’s statements were treated with a “measure of generosity” because they had not been challenged. </w:t>
      </w:r>
    </w:p>
  </w:footnote>
  <w:footnote w:id="6">
    <w:p w14:paraId="1DF7DA1E" w14:textId="77777777" w:rsidR="006F53FC" w:rsidRDefault="006F53FC" w:rsidP="0068488D">
      <w:pPr>
        <w:pStyle w:val="FootnoteText"/>
        <w:ind w:left="0" w:firstLine="0"/>
      </w:pPr>
      <w:r>
        <w:rPr>
          <w:rStyle w:val="FootnoteReference"/>
        </w:rPr>
        <w:footnoteRef/>
      </w:r>
      <w:r>
        <w:t xml:space="preserve"> In </w:t>
      </w:r>
      <w:r w:rsidRPr="007F1AE0">
        <w:rPr>
          <w:i/>
        </w:rPr>
        <w:t>McVey</w:t>
      </w:r>
      <w:r>
        <w:t xml:space="preserve"> an issue about the entitlement of a person to be an interested party was dealt with on paper only - </w:t>
      </w:r>
      <w:r w:rsidRPr="0068488D">
        <w:t>[2010] EWHC 1225 (Admin); [2010] C.P. Rep. 38.</w:t>
      </w:r>
    </w:p>
  </w:footnote>
  <w:footnote w:id="7">
    <w:p w14:paraId="1DF7DA1F" w14:textId="77777777" w:rsidR="006F53FC" w:rsidRDefault="006F53FC" w:rsidP="00E94324">
      <w:pPr>
        <w:pStyle w:val="FootnoteText"/>
      </w:pPr>
      <w:r>
        <w:rPr>
          <w:rStyle w:val="FootnoteReference"/>
        </w:rPr>
        <w:footnoteRef/>
      </w:r>
      <w:r>
        <w:t xml:space="preserve"> Note that a decision given on the papers in this way is a final decision so that any challenge is by appeal and not to restore the matter for an oral hearing </w:t>
      </w:r>
      <w:proofErr w:type="gramStart"/>
      <w:r>
        <w:t xml:space="preserve">-  </w:t>
      </w:r>
      <w:r w:rsidRPr="00782E60">
        <w:rPr>
          <w:i/>
        </w:rPr>
        <w:t>R</w:t>
      </w:r>
      <w:proofErr w:type="gramEnd"/>
      <w:r w:rsidRPr="00782E60">
        <w:rPr>
          <w:i/>
        </w:rPr>
        <w:t xml:space="preserve"> (Jones) v Nottingham CC</w:t>
      </w:r>
      <w:r>
        <w:t xml:space="preserve"> [2009] EWHC 271 (Admin) Collins J. See also </w:t>
      </w:r>
      <w:proofErr w:type="spellStart"/>
      <w:r w:rsidRPr="00A730DF">
        <w:rPr>
          <w:i/>
        </w:rPr>
        <w:t>Bahta</w:t>
      </w:r>
      <w:proofErr w:type="spellEnd"/>
      <w:r>
        <w:t xml:space="preserve"> (below) confirming that an appeal does lie and the decision is not final. </w:t>
      </w:r>
    </w:p>
  </w:footnote>
  <w:footnote w:id="8">
    <w:p w14:paraId="1DF7DA20" w14:textId="77777777" w:rsidR="006F53FC" w:rsidRDefault="006F53FC" w:rsidP="00E94324">
      <w:pPr>
        <w:pStyle w:val="FootnoteText"/>
      </w:pPr>
      <w:r>
        <w:rPr>
          <w:rStyle w:val="FootnoteReference"/>
        </w:rPr>
        <w:footnoteRef/>
      </w:r>
      <w:r>
        <w:t xml:space="preserve"> See also a (2004 but still helpful) guide at </w:t>
      </w:r>
      <w:hyperlink r:id="rId2" w:history="1">
        <w:r w:rsidRPr="00FD6DBC">
          <w:rPr>
            <w:rStyle w:val="Hyperlink"/>
          </w:rPr>
          <w:t>http://www.biicl.org/files/2223_skeleton_arguments_guide.pdf</w:t>
        </w:r>
      </w:hyperlink>
    </w:p>
    <w:p w14:paraId="1DF7DA21" w14:textId="77777777" w:rsidR="006F53FC" w:rsidRDefault="006F53FC" w:rsidP="00E94324">
      <w:pPr>
        <w:pStyle w:val="FootnoteText"/>
      </w:pPr>
    </w:p>
  </w:footnote>
  <w:footnote w:id="9">
    <w:p w14:paraId="1DF7DA22" w14:textId="77777777" w:rsidR="006F53FC" w:rsidRDefault="006F53FC" w:rsidP="00E94324">
      <w:pPr>
        <w:pStyle w:val="FootnoteText"/>
      </w:pPr>
      <w:r>
        <w:rPr>
          <w:rStyle w:val="FootnoteReference"/>
        </w:rPr>
        <w:footnoteRef/>
      </w:r>
      <w:r>
        <w:t xml:space="preserve"> Subject to the possibility of a leapfrog appeal to the Supreme Court. </w:t>
      </w:r>
    </w:p>
  </w:footnote>
  <w:footnote w:id="10">
    <w:p w14:paraId="1DF7DA23" w14:textId="77777777" w:rsidR="006F53FC" w:rsidRDefault="006F53FC" w:rsidP="0068488D">
      <w:pPr>
        <w:pStyle w:val="FootnoteText"/>
        <w:ind w:left="0" w:firstLine="0"/>
      </w:pPr>
      <w:r>
        <w:rPr>
          <w:rStyle w:val="FootnoteReference"/>
        </w:rPr>
        <w:footnoteRef/>
      </w:r>
      <w:r>
        <w:t xml:space="preserve"> Compare in a private law context </w:t>
      </w:r>
      <w:proofErr w:type="spellStart"/>
      <w:r w:rsidRPr="00541B4F">
        <w:rPr>
          <w:i/>
          <w:sz w:val="22"/>
          <w:szCs w:val="22"/>
        </w:rPr>
        <w:t>Budgen</w:t>
      </w:r>
      <w:proofErr w:type="spellEnd"/>
      <w:r w:rsidRPr="00541B4F">
        <w:rPr>
          <w:i/>
          <w:sz w:val="22"/>
          <w:szCs w:val="22"/>
        </w:rPr>
        <w:t xml:space="preserve"> v Andrew Gardner Partnership</w:t>
      </w:r>
      <w:r w:rsidRPr="00541B4F">
        <w:rPr>
          <w:sz w:val="22"/>
          <w:szCs w:val="22"/>
        </w:rPr>
        <w:t xml:space="preserve"> [2002] EWCA </w:t>
      </w:r>
      <w:proofErr w:type="spellStart"/>
      <w:r w:rsidRPr="00541B4F">
        <w:rPr>
          <w:sz w:val="22"/>
          <w:szCs w:val="22"/>
        </w:rPr>
        <w:t>Civ</w:t>
      </w:r>
      <w:proofErr w:type="spellEnd"/>
      <w:r w:rsidRPr="00541B4F">
        <w:rPr>
          <w:sz w:val="22"/>
          <w:szCs w:val="22"/>
        </w:rPr>
        <w:t xml:space="preserve"> 1125 </w:t>
      </w:r>
      <w:r>
        <w:rPr>
          <w:sz w:val="22"/>
          <w:szCs w:val="22"/>
        </w:rPr>
        <w:t xml:space="preserve">where the </w:t>
      </w:r>
      <w:r w:rsidRPr="00541B4F">
        <w:rPr>
          <w:sz w:val="22"/>
          <w:szCs w:val="22"/>
        </w:rPr>
        <w:t>judge ordered only 75% of the successful Claimant’s costs because he had lost on one issue that took up a substantial amount of time at trial.</w:t>
      </w:r>
    </w:p>
  </w:footnote>
  <w:footnote w:id="11">
    <w:p w14:paraId="1DF7DA24" w14:textId="77777777" w:rsidR="006F53FC" w:rsidRDefault="006F53FC" w:rsidP="0068488D">
      <w:pPr>
        <w:pStyle w:val="FootnoteText"/>
        <w:ind w:left="0" w:firstLine="0"/>
      </w:pPr>
      <w:r>
        <w:rPr>
          <w:rStyle w:val="FootnoteReference"/>
        </w:rPr>
        <w:footnoteRef/>
      </w:r>
      <w:r>
        <w:t xml:space="preserve"> </w:t>
      </w:r>
      <w:r w:rsidRPr="0068488D">
        <w:rPr>
          <w:i/>
        </w:rPr>
        <w:t xml:space="preserve">R </w:t>
      </w:r>
      <w:proofErr w:type="spellStart"/>
      <w:r w:rsidRPr="0068488D">
        <w:rPr>
          <w:i/>
        </w:rPr>
        <w:t>ota</w:t>
      </w:r>
      <w:proofErr w:type="spellEnd"/>
      <w:r w:rsidRPr="0068488D">
        <w:rPr>
          <w:i/>
        </w:rPr>
        <w:t xml:space="preserve"> A, B, X, Y v East Sussex </w:t>
      </w:r>
      <w:r w:rsidRPr="0068488D">
        <w:t xml:space="preserve">CC 8 CCLR 228 for an example of this in a complex case – 50% costs awarded to reflect success on one issue and a “victory on points” on another. </w:t>
      </w:r>
    </w:p>
  </w:footnote>
  <w:footnote w:id="12">
    <w:p w14:paraId="1DF7DA25" w14:textId="39655ADD" w:rsidR="006F53FC" w:rsidRDefault="006F53FC" w:rsidP="0068488D">
      <w:pPr>
        <w:pStyle w:val="FootnoteText"/>
        <w:ind w:left="0" w:firstLine="0"/>
      </w:pPr>
      <w:r>
        <w:rPr>
          <w:rStyle w:val="FootnoteReference"/>
        </w:rPr>
        <w:footnoteRef/>
      </w:r>
      <w:r>
        <w:t xml:space="preserve"> </w:t>
      </w:r>
      <w:r w:rsidRPr="0068488D">
        <w:rPr>
          <w:i/>
        </w:rPr>
        <w:t>Terry v LB Tower Hamlets</w:t>
      </w:r>
      <w:r w:rsidR="00994FE1">
        <w:rPr>
          <w:i/>
        </w:rPr>
        <w:t>,</w:t>
      </w:r>
      <w:r w:rsidR="00994FE1" w:rsidRPr="00994FE1">
        <w:t xml:space="preserve"> 15</w:t>
      </w:r>
      <w:r w:rsidR="00994FE1" w:rsidRPr="00994FE1">
        <w:rPr>
          <w:vertAlign w:val="superscript"/>
        </w:rPr>
        <w:t>th</w:t>
      </w:r>
      <w:r w:rsidR="00994FE1" w:rsidRPr="00994FE1">
        <w:t xml:space="preserve"> Dec</w:t>
      </w:r>
      <w:r w:rsidR="00994FE1">
        <w:t>ember</w:t>
      </w:r>
      <w:r w:rsidRPr="0068488D">
        <w:t xml:space="preserve"> 2003 QBD. Mismanagement of the proceedings including repeated failure to meet time limits.</w:t>
      </w:r>
      <w:r>
        <w:rPr>
          <w:sz w:val="18"/>
          <w:szCs w:val="22"/>
        </w:rPr>
        <w:t xml:space="preserve"> </w:t>
      </w:r>
    </w:p>
  </w:footnote>
  <w:footnote w:id="13">
    <w:p w14:paraId="1DF7DA26" w14:textId="77777777" w:rsidR="006F53FC" w:rsidRPr="00EF79B7" w:rsidRDefault="006F53FC" w:rsidP="0068488D">
      <w:pPr>
        <w:jc w:val="both"/>
        <w:rPr>
          <w:rFonts w:ascii="Times New Roman" w:hAnsi="Times New Roman"/>
          <w:sz w:val="20"/>
          <w:szCs w:val="19"/>
          <w:lang w:eastAsia="en-GB"/>
        </w:rPr>
      </w:pPr>
      <w:r w:rsidRPr="00EF79B7">
        <w:rPr>
          <w:rStyle w:val="FootnoteReference"/>
          <w:rFonts w:ascii="Times New Roman" w:hAnsi="Times New Roman"/>
          <w:sz w:val="20"/>
        </w:rPr>
        <w:footnoteRef/>
      </w:r>
      <w:r w:rsidRPr="00EF79B7">
        <w:rPr>
          <w:rFonts w:ascii="Times New Roman" w:hAnsi="Times New Roman"/>
          <w:sz w:val="20"/>
        </w:rPr>
        <w:t xml:space="preserve"> Contrast </w:t>
      </w:r>
      <w:r w:rsidRPr="0068488D">
        <w:rPr>
          <w:rFonts w:ascii="Times New Roman" w:hAnsi="Times New Roman"/>
          <w:i/>
          <w:sz w:val="20"/>
        </w:rPr>
        <w:t xml:space="preserve">R (HE) v SSHD </w:t>
      </w:r>
      <w:r w:rsidRPr="00EF79B7">
        <w:rPr>
          <w:rFonts w:ascii="Times New Roman" w:hAnsi="Times New Roman"/>
          <w:sz w:val="20"/>
        </w:rPr>
        <w:t xml:space="preserve">[2013] EWCA </w:t>
      </w:r>
      <w:proofErr w:type="spellStart"/>
      <w:r w:rsidRPr="00EF79B7">
        <w:rPr>
          <w:rFonts w:ascii="Times New Roman" w:hAnsi="Times New Roman"/>
          <w:sz w:val="20"/>
        </w:rPr>
        <w:t>Civ</w:t>
      </w:r>
      <w:proofErr w:type="spellEnd"/>
      <w:r w:rsidRPr="00EF79B7">
        <w:rPr>
          <w:rFonts w:ascii="Times New Roman" w:hAnsi="Times New Roman"/>
          <w:sz w:val="20"/>
        </w:rPr>
        <w:t xml:space="preserve"> 1846 where a detainee was released in response to an indication by the court with </w:t>
      </w:r>
      <w:r w:rsidRPr="0068488D">
        <w:rPr>
          <w:rFonts w:ascii="Times New Roman" w:hAnsi="Times New Roman"/>
          <w:i/>
          <w:sz w:val="20"/>
        </w:rPr>
        <w:t>R (Abraha) v SSHD</w:t>
      </w:r>
      <w:r w:rsidRPr="00EF79B7">
        <w:rPr>
          <w:rFonts w:ascii="Times New Roman" w:hAnsi="Times New Roman"/>
          <w:sz w:val="20"/>
        </w:rPr>
        <w:t xml:space="preserve"> </w:t>
      </w:r>
      <w:r w:rsidRPr="00EF79B7">
        <w:rPr>
          <w:rFonts w:ascii="Times New Roman" w:hAnsi="Times New Roman"/>
          <w:sz w:val="20"/>
          <w:szCs w:val="19"/>
          <w:lang w:eastAsia="en-GB"/>
        </w:rPr>
        <w:t xml:space="preserve">[2014] EWHC 3372 (Admin) where they were released the day before the hearing but without any compromise. Costs were ordered in the first case but not the second. </w:t>
      </w:r>
    </w:p>
    <w:p w14:paraId="1DF7DA27" w14:textId="77777777" w:rsidR="006F53FC" w:rsidRPr="00E93FF3" w:rsidRDefault="006F53FC" w:rsidP="00E94324">
      <w:pPr>
        <w:pStyle w:val="FootnoteText"/>
        <w:rPr>
          <w:i/>
        </w:rPr>
      </w:pPr>
    </w:p>
  </w:footnote>
  <w:footnote w:id="14">
    <w:p w14:paraId="1DF7DA28" w14:textId="77777777" w:rsidR="006F53FC" w:rsidRPr="0068488D" w:rsidRDefault="006F53FC" w:rsidP="00E94324">
      <w:pPr>
        <w:autoSpaceDE w:val="0"/>
        <w:autoSpaceDN w:val="0"/>
        <w:adjustRightInd w:val="0"/>
        <w:snapToGrid w:val="0"/>
        <w:rPr>
          <w:i/>
          <w:color w:val="000000"/>
          <w:sz w:val="21"/>
        </w:rPr>
      </w:pPr>
      <w:r>
        <w:rPr>
          <w:rStyle w:val="FootnoteReference"/>
        </w:rPr>
        <w:footnoteRef/>
      </w:r>
      <w:r>
        <w:t xml:space="preserve"> </w:t>
      </w:r>
      <w:r w:rsidRPr="0068488D">
        <w:rPr>
          <w:i/>
          <w:color w:val="000000"/>
          <w:sz w:val="21"/>
        </w:rPr>
        <w:t xml:space="preserve">Bolton Metropolitan District Council v Secretary of State for the Environment </w:t>
      </w:r>
      <w:r w:rsidRPr="0068488D">
        <w:rPr>
          <w:color w:val="000000"/>
          <w:sz w:val="21"/>
        </w:rPr>
        <w:t>[1996] 1 All ER 184, [1995] 1 WLR 1176, HL.</w:t>
      </w:r>
    </w:p>
    <w:p w14:paraId="1DF7DA29" w14:textId="77777777" w:rsidR="006F53FC" w:rsidRDefault="006F53FC" w:rsidP="00E94324">
      <w:pPr>
        <w:autoSpaceDE w:val="0"/>
        <w:autoSpaceDN w:val="0"/>
        <w:adjustRightInd w:val="0"/>
        <w:snapToGri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10ED" w14:textId="77777777" w:rsidR="00A33586" w:rsidRDefault="00A33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9BD"/>
    <w:multiLevelType w:val="hybridMultilevel"/>
    <w:tmpl w:val="76D08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6316FA"/>
    <w:multiLevelType w:val="hybridMultilevel"/>
    <w:tmpl w:val="422041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BA41B5E"/>
    <w:multiLevelType w:val="hybridMultilevel"/>
    <w:tmpl w:val="A9BC3B4C"/>
    <w:lvl w:ilvl="0" w:tplc="8FEA7B18">
      <w:start w:val="5"/>
      <w:numFmt w:val="bullet"/>
      <w:lvlText w:val="-"/>
      <w:lvlJc w:val="left"/>
      <w:pPr>
        <w:ind w:left="2700" w:hanging="360"/>
      </w:pPr>
      <w:rPr>
        <w:rFonts w:ascii="Tahoma" w:eastAsia="Times New Roman" w:hAnsi="Tahoma"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1EBF3F85"/>
    <w:multiLevelType w:val="multilevel"/>
    <w:tmpl w:val="11B4961C"/>
    <w:numStyleLink w:val="ListBullets"/>
  </w:abstractNum>
  <w:abstractNum w:abstractNumId="4" w15:restartNumberingAfterBreak="0">
    <w:nsid w:val="25863F72"/>
    <w:multiLevelType w:val="hybridMultilevel"/>
    <w:tmpl w:val="8190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97646C3"/>
    <w:multiLevelType w:val="hybridMultilevel"/>
    <w:tmpl w:val="52B45A92"/>
    <w:lvl w:ilvl="0" w:tplc="C9FEC6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1A383E"/>
    <w:multiLevelType w:val="hybridMultilevel"/>
    <w:tmpl w:val="A7921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A939E1"/>
    <w:multiLevelType w:val="hybridMultilevel"/>
    <w:tmpl w:val="5DD2D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F9223F"/>
    <w:multiLevelType w:val="hybridMultilevel"/>
    <w:tmpl w:val="0C988C36"/>
    <w:lvl w:ilvl="0" w:tplc="07EAD68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5079A7"/>
    <w:multiLevelType w:val="multilevel"/>
    <w:tmpl w:val="CBA2ADD6"/>
    <w:numStyleLink w:val="ListHeadings"/>
  </w:abstractNum>
  <w:abstractNum w:abstractNumId="10" w15:restartNumberingAfterBreak="0">
    <w:nsid w:val="40E97AC9"/>
    <w:multiLevelType w:val="hybridMultilevel"/>
    <w:tmpl w:val="17403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C70A0"/>
    <w:multiLevelType w:val="hybridMultilevel"/>
    <w:tmpl w:val="70665A04"/>
    <w:lvl w:ilvl="0" w:tplc="ABC40E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3C636B"/>
    <w:multiLevelType w:val="multilevel"/>
    <w:tmpl w:val="D4E87CEA"/>
    <w:styleLink w:val="ListNumbers"/>
    <w:lvl w:ilvl="0">
      <w:start w:val="1"/>
      <w:numFmt w:val="decimal"/>
      <w:pStyle w:val="ListNumb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27"/>
      <w:numFmt w:val="lowerLetter"/>
      <w:lvlText w:val="(%4)"/>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13" w15:restartNumberingAfterBreak="0">
    <w:nsid w:val="45E81219"/>
    <w:multiLevelType w:val="hybridMultilevel"/>
    <w:tmpl w:val="BE4279B6"/>
    <w:lvl w:ilvl="0" w:tplc="4134D318">
      <w:start w:val="3"/>
      <w:numFmt w:val="bullet"/>
      <w:lvlText w:val="-"/>
      <w:lvlJc w:val="left"/>
      <w:pPr>
        <w:ind w:left="320" w:hanging="68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6B604E5"/>
    <w:multiLevelType w:val="multilevel"/>
    <w:tmpl w:val="CBA2ADD6"/>
    <w:styleLink w:val="ListHeadings"/>
    <w:lvl w:ilvl="0">
      <w:start w:val="1"/>
      <w:numFmt w:val="upperRoman"/>
      <w:pStyle w:val="Heading1"/>
      <w:lvlText w:val="%1."/>
      <w:lvlJc w:val="left"/>
      <w:pPr>
        <w:ind w:left="567" w:hanging="567"/>
      </w:pPr>
      <w:rPr>
        <w:rFonts w:hint="default"/>
      </w:rPr>
    </w:lvl>
    <w:lvl w:ilvl="1">
      <w:start w:val="1"/>
      <w:numFmt w:val="upperLetter"/>
      <w:pStyle w:val="Heading2"/>
      <w:lvlText w:val="%2."/>
      <w:lvlJc w:val="left"/>
      <w:pPr>
        <w:ind w:left="567" w:hanging="567"/>
      </w:pPr>
      <w:rPr>
        <w:rFonts w:hint="default"/>
      </w:rPr>
    </w:lvl>
    <w:lvl w:ilvl="2">
      <w:start w:val="1"/>
      <w:numFmt w:val="decimal"/>
      <w:pStyle w:val="Heading3"/>
      <w:lvlText w:val="%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701" w:hanging="567"/>
      </w:pPr>
      <w:rPr>
        <w:rFonts w:hint="default"/>
      </w:rPr>
    </w:lvl>
    <w:lvl w:ilvl="5">
      <w:start w:val="1"/>
      <w:numFmt w:val="none"/>
      <w:lvlText w:val=""/>
      <w:lvlJc w:val="left"/>
      <w:pPr>
        <w:ind w:left="1701" w:hanging="1701"/>
      </w:pPr>
      <w:rPr>
        <w:rFonts w:hint="default"/>
      </w:rPr>
    </w:lvl>
    <w:lvl w:ilvl="6">
      <w:start w:val="1"/>
      <w:numFmt w:val="none"/>
      <w:lvlText w:val=""/>
      <w:lvlJc w:val="left"/>
      <w:pPr>
        <w:ind w:left="1701" w:hanging="1701"/>
      </w:pPr>
      <w:rPr>
        <w:rFonts w:hint="default"/>
      </w:rPr>
    </w:lvl>
    <w:lvl w:ilvl="7">
      <w:start w:val="1"/>
      <w:numFmt w:val="none"/>
      <w:lvlText w:val=""/>
      <w:lvlJc w:val="left"/>
      <w:pPr>
        <w:ind w:left="1701" w:hanging="1701"/>
      </w:pPr>
      <w:rPr>
        <w:rFonts w:hint="default"/>
      </w:rPr>
    </w:lvl>
    <w:lvl w:ilvl="8">
      <w:start w:val="1"/>
      <w:numFmt w:val="none"/>
      <w:lvlText w:val=""/>
      <w:lvlJc w:val="left"/>
      <w:pPr>
        <w:ind w:left="1701" w:hanging="1701"/>
      </w:pPr>
      <w:rPr>
        <w:rFonts w:hint="default"/>
      </w:rPr>
    </w:lvl>
  </w:abstractNum>
  <w:abstractNum w:abstractNumId="15" w15:restartNumberingAfterBreak="0">
    <w:nsid w:val="47375971"/>
    <w:multiLevelType w:val="hybridMultilevel"/>
    <w:tmpl w:val="1214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B3687"/>
    <w:multiLevelType w:val="hybridMultilevel"/>
    <w:tmpl w:val="0B703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CB6CFD"/>
    <w:multiLevelType w:val="hybridMultilevel"/>
    <w:tmpl w:val="C78A7CC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D2F57A7"/>
    <w:multiLevelType w:val="hybridMultilevel"/>
    <w:tmpl w:val="FA26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16184"/>
    <w:multiLevelType w:val="hybridMultilevel"/>
    <w:tmpl w:val="8D965A10"/>
    <w:lvl w:ilvl="0" w:tplc="4798EACE">
      <w:start w:val="3"/>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4ED3D7C"/>
    <w:multiLevelType w:val="hybridMultilevel"/>
    <w:tmpl w:val="52C2658C"/>
    <w:lvl w:ilvl="0" w:tplc="07E2E744">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A05E2"/>
    <w:multiLevelType w:val="hybridMultilevel"/>
    <w:tmpl w:val="A076374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70D20E2"/>
    <w:multiLevelType w:val="hybridMultilevel"/>
    <w:tmpl w:val="52C2658C"/>
    <w:lvl w:ilvl="0" w:tplc="07E2E744">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2663E"/>
    <w:multiLevelType w:val="hybridMultilevel"/>
    <w:tmpl w:val="2CDEC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ED6FBA"/>
    <w:multiLevelType w:val="hybridMultilevel"/>
    <w:tmpl w:val="12A81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4A3195"/>
    <w:multiLevelType w:val="multilevel"/>
    <w:tmpl w:val="11B4961C"/>
    <w:styleLink w:val="ListBullets"/>
    <w:lvl w:ilvl="0">
      <w:start w:val="1"/>
      <w:numFmt w:val="bullet"/>
      <w:pStyle w:val="ListBullet"/>
      <w:lvlText w:val=""/>
      <w:lvlJc w:val="left"/>
      <w:pPr>
        <w:ind w:left="1134" w:hanging="567"/>
      </w:pPr>
      <w:rPr>
        <w:rFonts w:ascii="Symbol" w:hAnsi="Symbol" w:hint="default"/>
      </w:rPr>
    </w:lvl>
    <w:lvl w:ilvl="1">
      <w:start w:val="1"/>
      <w:numFmt w:val="bullet"/>
      <w:lvlText w:val=""/>
      <w:lvlJc w:val="left"/>
      <w:pPr>
        <w:ind w:left="1701" w:hanging="567"/>
      </w:pPr>
      <w:rPr>
        <w:rFonts w:ascii="Symbol" w:hAnsi="Symbol" w:hint="default"/>
      </w:rPr>
    </w:lvl>
    <w:lvl w:ilvl="2">
      <w:start w:val="1"/>
      <w:numFmt w:val="bullet"/>
      <w:lvlText w:val=""/>
      <w:lvlJc w:val="left"/>
      <w:pPr>
        <w:ind w:left="2268" w:hanging="567"/>
      </w:pPr>
      <w:rPr>
        <w:rFonts w:ascii="Symbol" w:hAnsi="Symbol" w:hint="default"/>
      </w:rPr>
    </w:lvl>
    <w:lvl w:ilvl="3">
      <w:start w:val="1"/>
      <w:numFmt w:val="bullet"/>
      <w:lvlText w:val=""/>
      <w:lvlJc w:val="left"/>
      <w:pPr>
        <w:ind w:left="2835" w:hanging="567"/>
      </w:pPr>
      <w:rPr>
        <w:rFonts w:ascii="Symbol" w:hAnsi="Symbol" w:hint="default"/>
      </w:rPr>
    </w:lvl>
    <w:lvl w:ilvl="4">
      <w:start w:val="1"/>
      <w:numFmt w:val="bullet"/>
      <w:lvlText w:val=""/>
      <w:lvlJc w:val="left"/>
      <w:pPr>
        <w:ind w:left="3402" w:hanging="567"/>
      </w:pPr>
      <w:rPr>
        <w:rFonts w:ascii="Symbol" w:hAnsi="Symbol" w:hint="default"/>
      </w:rPr>
    </w:lvl>
    <w:lvl w:ilvl="5">
      <w:start w:val="1"/>
      <w:numFmt w:val="bullet"/>
      <w:lvlText w:val=""/>
      <w:lvlJc w:val="left"/>
      <w:pPr>
        <w:ind w:left="3969" w:hanging="567"/>
      </w:pPr>
      <w:rPr>
        <w:rFonts w:ascii="Symbol" w:hAnsi="Symbol" w:hint="default"/>
      </w:rPr>
    </w:lvl>
    <w:lvl w:ilvl="6">
      <w:start w:val="1"/>
      <w:numFmt w:val="bullet"/>
      <w:lvlText w:val=""/>
      <w:lvlJc w:val="left"/>
      <w:pPr>
        <w:ind w:left="4536" w:hanging="567"/>
      </w:pPr>
      <w:rPr>
        <w:rFonts w:ascii="Symbol" w:hAnsi="Symbol" w:hint="default"/>
      </w:rPr>
    </w:lvl>
    <w:lvl w:ilvl="7">
      <w:start w:val="1"/>
      <w:numFmt w:val="bullet"/>
      <w:lvlText w:val=""/>
      <w:lvlJc w:val="left"/>
      <w:pPr>
        <w:ind w:left="5103" w:hanging="567"/>
      </w:pPr>
      <w:rPr>
        <w:rFonts w:ascii="Symbol" w:hAnsi="Symbol" w:hint="default"/>
      </w:rPr>
    </w:lvl>
    <w:lvl w:ilvl="8">
      <w:start w:val="1"/>
      <w:numFmt w:val="bullet"/>
      <w:lvlText w:val=""/>
      <w:lvlJc w:val="left"/>
      <w:pPr>
        <w:ind w:left="5670" w:hanging="567"/>
      </w:pPr>
      <w:rPr>
        <w:rFonts w:ascii="Symbol" w:hAnsi="Symbol" w:hint="default"/>
        <w:color w:val="auto"/>
      </w:rPr>
    </w:lvl>
  </w:abstractNum>
  <w:abstractNum w:abstractNumId="26" w15:restartNumberingAfterBreak="0">
    <w:nsid w:val="75FD41AA"/>
    <w:multiLevelType w:val="hybridMultilevel"/>
    <w:tmpl w:val="CDBC60CA"/>
    <w:lvl w:ilvl="0" w:tplc="4798EACE">
      <w:start w:val="3"/>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C264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565894"/>
    <w:multiLevelType w:val="hybridMultilevel"/>
    <w:tmpl w:val="BB264FF4"/>
    <w:lvl w:ilvl="0" w:tplc="0409000F">
      <w:start w:val="1"/>
      <w:numFmt w:val="decimal"/>
      <w:lvlText w:val="%1."/>
      <w:lvlJc w:val="left"/>
      <w:pPr>
        <w:tabs>
          <w:tab w:val="num" w:pos="502"/>
        </w:tabs>
        <w:ind w:left="502" w:hanging="360"/>
      </w:pPr>
      <w:rPr>
        <w:rFonts w:cs="Times New Roman"/>
      </w:rPr>
    </w:lvl>
    <w:lvl w:ilvl="1" w:tplc="7D8840F0">
      <w:start w:val="1"/>
      <w:numFmt w:val="lowerLetter"/>
      <w:lvlText w:val="%2."/>
      <w:lvlJc w:val="left"/>
      <w:pPr>
        <w:tabs>
          <w:tab w:val="num" w:pos="1440"/>
        </w:tabs>
        <w:ind w:left="1440" w:hanging="360"/>
      </w:pPr>
      <w:rPr>
        <w:rFonts w:cs="Times New Roman" w:hint="default"/>
      </w:rPr>
    </w:lvl>
    <w:lvl w:ilvl="2" w:tplc="D948533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5"/>
  </w:num>
  <w:num w:numId="3">
    <w:abstractNumId w:val="12"/>
    <w:lvlOverride w:ilvl="0">
      <w:lvl w:ilvl="0">
        <w:start w:val="1"/>
        <w:numFmt w:val="decimal"/>
        <w:pStyle w:val="ListNumber"/>
        <w:lvlText w:val="%1."/>
        <w:lvlJc w:val="left"/>
        <w:pPr>
          <w:ind w:left="567" w:hanging="567"/>
        </w:pPr>
        <w:rPr>
          <w:rFonts w:hint="default"/>
          <w:b w:val="0"/>
          <w:i w:val="0"/>
        </w:rPr>
      </w:lvl>
    </w:lvlOverride>
    <w:lvlOverride w:ilvl="1">
      <w:lvl w:ilvl="1">
        <w:start w:val="1"/>
        <w:numFmt w:val="lowerLetter"/>
        <w:lvlText w:val="(%2)"/>
        <w:lvlJc w:val="left"/>
        <w:pPr>
          <w:ind w:left="1134" w:hanging="567"/>
        </w:pPr>
        <w:rPr>
          <w:rFonts w:hint="default"/>
          <w:b w:val="0"/>
          <w:i w:val="0"/>
        </w:rPr>
      </w:lvl>
    </w:lvlOverride>
    <w:lvlOverride w:ilvl="2">
      <w:lvl w:ilvl="2">
        <w:start w:val="1"/>
        <w:numFmt w:val="lowerRoman"/>
        <w:lvlText w:val="(%3)"/>
        <w:lvlJc w:val="left"/>
        <w:pPr>
          <w:ind w:left="1701" w:hanging="567"/>
        </w:pPr>
        <w:rPr>
          <w:rFonts w:hint="default"/>
        </w:rPr>
      </w:lvl>
    </w:lvlOverride>
    <w:lvlOverride w:ilvl="3">
      <w:lvl w:ilvl="3">
        <w:start w:val="27"/>
        <w:numFmt w:val="lowerLetter"/>
        <w:lvlText w:val="(%4)"/>
        <w:lvlJc w:val="left"/>
        <w:pPr>
          <w:ind w:left="2268" w:hanging="567"/>
        </w:pPr>
        <w:rPr>
          <w:rFonts w:hint="default"/>
        </w:rPr>
      </w:lvl>
    </w:lvlOverride>
    <w:lvlOverride w:ilvl="4">
      <w:lvl w:ilvl="4">
        <w:start w:val="1"/>
        <w:numFmt w:val="none"/>
        <w:lvlText w:val=""/>
        <w:lvlJc w:val="left"/>
        <w:pPr>
          <w:ind w:left="2835" w:hanging="567"/>
        </w:pPr>
        <w:rPr>
          <w:rFonts w:hint="default"/>
        </w:rPr>
      </w:lvl>
    </w:lvlOverride>
    <w:lvlOverride w:ilvl="5">
      <w:lvl w:ilvl="5">
        <w:start w:val="1"/>
        <w:numFmt w:val="none"/>
        <w:lvlText w:val=""/>
        <w:lvlJc w:val="right"/>
        <w:pPr>
          <w:ind w:left="3402" w:hanging="567"/>
        </w:pPr>
        <w:rPr>
          <w:rFonts w:hint="default"/>
        </w:rPr>
      </w:lvl>
    </w:lvlOverride>
    <w:lvlOverride w:ilvl="6">
      <w:lvl w:ilvl="6">
        <w:start w:val="1"/>
        <w:numFmt w:val="none"/>
        <w:lvlText w:val=""/>
        <w:lvlJc w:val="left"/>
        <w:pPr>
          <w:ind w:left="3969" w:hanging="567"/>
        </w:pPr>
        <w:rPr>
          <w:rFonts w:hint="default"/>
        </w:rPr>
      </w:lvl>
    </w:lvlOverride>
    <w:lvlOverride w:ilvl="7">
      <w:lvl w:ilvl="7">
        <w:start w:val="1"/>
        <w:numFmt w:val="none"/>
        <w:lvlText w:val=""/>
        <w:lvlJc w:val="left"/>
        <w:pPr>
          <w:ind w:left="4536" w:hanging="567"/>
        </w:pPr>
        <w:rPr>
          <w:rFonts w:hint="default"/>
        </w:rPr>
      </w:lvl>
    </w:lvlOverride>
    <w:lvlOverride w:ilvl="8">
      <w:lvl w:ilvl="8">
        <w:start w:val="1"/>
        <w:numFmt w:val="none"/>
        <w:lvlText w:val=""/>
        <w:lvlJc w:val="right"/>
        <w:pPr>
          <w:ind w:left="5103" w:hanging="567"/>
        </w:pPr>
        <w:rPr>
          <w:rFonts w:hint="default"/>
        </w:rPr>
      </w:lvl>
    </w:lvlOverride>
  </w:num>
  <w:num w:numId="4">
    <w:abstractNumId w:val="9"/>
    <w:lvlOverride w:ilvl="0">
      <w:lvl w:ilvl="0">
        <w:start w:val="1"/>
        <w:numFmt w:val="upperRoman"/>
        <w:pStyle w:val="Heading1"/>
        <w:lvlText w:val="%1."/>
        <w:lvlJc w:val="left"/>
        <w:pPr>
          <w:ind w:left="567" w:hanging="567"/>
        </w:pPr>
        <w:rPr>
          <w:rFonts w:hint="default"/>
        </w:rPr>
      </w:lvl>
    </w:lvlOverride>
    <w:lvlOverride w:ilvl="1">
      <w:lvl w:ilvl="1">
        <w:start w:val="1"/>
        <w:numFmt w:val="upperLetter"/>
        <w:pStyle w:val="Heading2"/>
        <w:lvlText w:val="%2."/>
        <w:lvlJc w:val="left"/>
        <w:pPr>
          <w:ind w:left="567" w:hanging="567"/>
        </w:pPr>
        <w:rPr>
          <w:rFonts w:hint="default"/>
        </w:rPr>
      </w:lvl>
    </w:lvlOverride>
    <w:lvlOverride w:ilvl="2">
      <w:lvl w:ilvl="2">
        <w:start w:val="1"/>
        <w:numFmt w:val="decimal"/>
        <w:pStyle w:val="Heading3"/>
        <w:lvlText w:val="%3."/>
        <w:lvlJc w:val="left"/>
        <w:pPr>
          <w:ind w:left="567" w:hanging="567"/>
        </w:pPr>
        <w:rPr>
          <w:rFonts w:hint="default"/>
        </w:rPr>
      </w:lvl>
    </w:lvlOverride>
    <w:lvlOverride w:ilvl="3">
      <w:lvl w:ilvl="3">
        <w:start w:val="1"/>
        <w:numFmt w:val="lowerLetter"/>
        <w:pStyle w:val="Heading4"/>
        <w:lvlText w:val="(%4)"/>
        <w:lvlJc w:val="left"/>
        <w:pPr>
          <w:ind w:left="1134" w:hanging="567"/>
        </w:pPr>
        <w:rPr>
          <w:rFonts w:hint="default"/>
        </w:rPr>
      </w:lvl>
    </w:lvlOverride>
    <w:lvlOverride w:ilvl="4">
      <w:lvl w:ilvl="4">
        <w:start w:val="1"/>
        <w:numFmt w:val="lowerRoman"/>
        <w:pStyle w:val="Heading5"/>
        <w:lvlText w:val="(%5)"/>
        <w:lvlJc w:val="left"/>
        <w:pPr>
          <w:ind w:left="1701" w:hanging="567"/>
        </w:pPr>
        <w:rPr>
          <w:rFonts w:hint="default"/>
        </w:rPr>
      </w:lvl>
    </w:lvlOverride>
    <w:lvlOverride w:ilvl="5">
      <w:lvl w:ilvl="5">
        <w:start w:val="1"/>
        <w:numFmt w:val="none"/>
        <w:lvlText w:val=""/>
        <w:lvlJc w:val="left"/>
        <w:pPr>
          <w:ind w:left="1701" w:hanging="1701"/>
        </w:pPr>
        <w:rPr>
          <w:rFonts w:hint="default"/>
        </w:rPr>
      </w:lvl>
    </w:lvlOverride>
    <w:lvlOverride w:ilvl="6">
      <w:lvl w:ilvl="6">
        <w:start w:val="1"/>
        <w:numFmt w:val="none"/>
        <w:lvlText w:val=""/>
        <w:lvlJc w:val="left"/>
        <w:pPr>
          <w:ind w:left="1701" w:hanging="1701"/>
        </w:pPr>
        <w:rPr>
          <w:rFonts w:hint="default"/>
        </w:rPr>
      </w:lvl>
    </w:lvlOverride>
    <w:lvlOverride w:ilvl="7">
      <w:lvl w:ilvl="7">
        <w:start w:val="1"/>
        <w:numFmt w:val="none"/>
        <w:lvlText w:val=""/>
        <w:lvlJc w:val="left"/>
        <w:pPr>
          <w:ind w:left="1701" w:hanging="1701"/>
        </w:pPr>
        <w:rPr>
          <w:rFonts w:hint="default"/>
        </w:rPr>
      </w:lvl>
    </w:lvlOverride>
    <w:lvlOverride w:ilvl="8">
      <w:lvl w:ilvl="8">
        <w:start w:val="1"/>
        <w:numFmt w:val="none"/>
        <w:lvlText w:val=""/>
        <w:lvlJc w:val="left"/>
        <w:pPr>
          <w:ind w:left="1701" w:hanging="1701"/>
        </w:pPr>
        <w:rPr>
          <w:rFonts w:hint="default"/>
        </w:rPr>
      </w:lvl>
    </w:lvlOverride>
  </w:num>
  <w:num w:numId="5">
    <w:abstractNumId w:val="3"/>
  </w:num>
  <w:num w:numId="6">
    <w:abstractNumId w:val="12"/>
  </w:num>
  <w:num w:numId="7">
    <w:abstractNumId w:val="12"/>
    <w:lvlOverride w:ilvl="0">
      <w:lvl w:ilvl="0">
        <w:start w:val="1"/>
        <w:numFmt w:val="decimal"/>
        <w:pStyle w:val="ListNumber"/>
        <w:lvlText w:val="%1."/>
        <w:lvlJc w:val="left"/>
        <w:pPr>
          <w:ind w:left="567" w:hanging="567"/>
        </w:pPr>
        <w:rPr>
          <w:rFonts w:hint="default"/>
          <w:i w:val="0"/>
          <w:iCs/>
        </w:rPr>
      </w:lvl>
    </w:lvlOverride>
    <w:lvlOverride w:ilvl="1">
      <w:lvl w:ilvl="1">
        <w:numFmt w:val="decimal"/>
        <w:lvlText w:val=""/>
        <w:lvlJc w:val="left"/>
      </w:lvl>
    </w:lvlOverride>
    <w:lvlOverride w:ilvl="2">
      <w:lvl w:ilvl="2">
        <w:start w:val="1"/>
        <w:numFmt w:val="lowerLetter"/>
        <w:lvlText w:val="(%3)"/>
        <w:lvlJc w:val="left"/>
        <w:pPr>
          <w:ind w:left="1701" w:hanging="567"/>
        </w:pPr>
        <w:rPr>
          <w:rFonts w:asciiTheme="minorHAnsi" w:eastAsiaTheme="minorHAnsi" w:hAnsiTheme="minorHAnsi" w:cstheme="minorBidi"/>
          <w:b w:val="0"/>
          <w:sz w:val="24"/>
        </w:rPr>
      </w:lvl>
    </w:lvlOverride>
  </w:num>
  <w:num w:numId="8">
    <w:abstractNumId w:val="12"/>
    <w:lvlOverride w:ilvl="0">
      <w:startOverride w:val="1"/>
      <w:lvl w:ilvl="0">
        <w:start w:val="1"/>
        <w:numFmt w:val="decimal"/>
        <w:pStyle w:val="ListNumber"/>
        <w:lvlText w:val="%1."/>
        <w:lvlJc w:val="left"/>
        <w:pPr>
          <w:ind w:left="567" w:hanging="567"/>
        </w:pPr>
        <w:rPr>
          <w:rFonts w:hint="default"/>
        </w:rPr>
      </w:lvl>
    </w:lvlOverride>
    <w:lvlOverride w:ilvl="1">
      <w:startOverride w:val="4"/>
      <w:lvl w:ilvl="1">
        <w:start w:val="4"/>
        <w:numFmt w:val="lowerLetter"/>
        <w:lvlText w:val="(%2)"/>
        <w:lvlJc w:val="left"/>
        <w:pPr>
          <w:ind w:left="1134" w:hanging="567"/>
        </w:pPr>
        <w:rPr>
          <w:rFonts w:hint="default"/>
        </w:rPr>
      </w:lvl>
    </w:lvlOverride>
  </w:num>
  <w:num w:numId="9">
    <w:abstractNumId w:val="21"/>
  </w:num>
  <w:num w:numId="10">
    <w:abstractNumId w:val="26"/>
  </w:num>
  <w:num w:numId="11">
    <w:abstractNumId w:val="18"/>
  </w:num>
  <w:num w:numId="12">
    <w:abstractNumId w:val="23"/>
  </w:num>
  <w:num w:numId="13">
    <w:abstractNumId w:val="19"/>
  </w:num>
  <w:num w:numId="14">
    <w:abstractNumId w:val="4"/>
  </w:num>
  <w:num w:numId="15">
    <w:abstractNumId w:val="8"/>
  </w:num>
  <w:num w:numId="16">
    <w:abstractNumId w:val="13"/>
  </w:num>
  <w:num w:numId="17">
    <w:abstractNumId w:val="17"/>
  </w:num>
  <w:num w:numId="18">
    <w:abstractNumId w:val="27"/>
  </w:num>
  <w:num w:numId="19">
    <w:abstractNumId w:val="12"/>
    <w:lvlOverride w:ilvl="0">
      <w:lvl w:ilvl="0">
        <w:start w:val="1"/>
        <w:numFmt w:val="decimal"/>
        <w:pStyle w:val="ListNumber"/>
        <w:lvlText w:val="%1."/>
        <w:lvlJc w:val="left"/>
        <w:pPr>
          <w:ind w:left="567" w:hanging="567"/>
        </w:pPr>
        <w:rPr>
          <w:rFonts w:hint="default"/>
          <w:i w:val="0"/>
          <w:iCs/>
        </w:rPr>
      </w:lvl>
    </w:lvlOverride>
    <w:lvlOverride w:ilvl="1">
      <w:lvl w:ilvl="1">
        <w:start w:val="1"/>
        <w:numFmt w:val="lowerLetter"/>
        <w:lvlText w:val="(%2)"/>
        <w:lvlJc w:val="left"/>
        <w:pPr>
          <w:ind w:left="1134" w:hanging="567"/>
        </w:pPr>
        <w:rPr>
          <w:rFonts w:hint="default"/>
          <w:i w:val="0"/>
        </w:rPr>
      </w:lvl>
    </w:lvlOverride>
  </w:num>
  <w:num w:numId="20">
    <w:abstractNumId w:val="28"/>
  </w:num>
  <w:num w:numId="21">
    <w:abstractNumId w:val="2"/>
  </w:num>
  <w:num w:numId="22">
    <w:abstractNumId w:val="20"/>
  </w:num>
  <w:num w:numId="23">
    <w:abstractNumId w:val="6"/>
  </w:num>
  <w:num w:numId="24">
    <w:abstractNumId w:val="16"/>
  </w:num>
  <w:num w:numId="25">
    <w:abstractNumId w:val="24"/>
  </w:num>
  <w:num w:numId="26">
    <w:abstractNumId w:val="1"/>
  </w:num>
  <w:num w:numId="27">
    <w:abstractNumId w:val="15"/>
  </w:num>
  <w:num w:numId="28">
    <w:abstractNumId w:val="0"/>
  </w:num>
  <w:num w:numId="29">
    <w:abstractNumId w:val="7"/>
  </w:num>
  <w:num w:numId="30">
    <w:abstractNumId w:val="22"/>
  </w:num>
  <w:num w:numId="31">
    <w:abstractNumId w:val="10"/>
  </w:num>
  <w:num w:numId="32">
    <w:abstractNumId w:val="5"/>
  </w:num>
  <w:num w:numId="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S_Client" w:val="ThreeCrowns"/>
    <w:docVar w:name="MS_Mediasterling" w:val="True"/>
    <w:docVar w:name="MS_Product" w:val="StationerySuite"/>
    <w:docVar w:name="MS_TemplateType" w:val="2"/>
  </w:docVars>
  <w:rsids>
    <w:rsidRoot w:val="0019434A"/>
    <w:rsid w:val="00007F9F"/>
    <w:rsid w:val="00014A40"/>
    <w:rsid w:val="00014FF3"/>
    <w:rsid w:val="000152B6"/>
    <w:rsid w:val="00024787"/>
    <w:rsid w:val="0003382A"/>
    <w:rsid w:val="00046D97"/>
    <w:rsid w:val="00050353"/>
    <w:rsid w:val="00060A4D"/>
    <w:rsid w:val="0006108B"/>
    <w:rsid w:val="000634D6"/>
    <w:rsid w:val="0007714C"/>
    <w:rsid w:val="00077845"/>
    <w:rsid w:val="0008617D"/>
    <w:rsid w:val="000A53B7"/>
    <w:rsid w:val="000B54EB"/>
    <w:rsid w:val="000C2148"/>
    <w:rsid w:val="000C5B8F"/>
    <w:rsid w:val="000C757A"/>
    <w:rsid w:val="000C759A"/>
    <w:rsid w:val="000D4645"/>
    <w:rsid w:val="000D6F19"/>
    <w:rsid w:val="000D75C3"/>
    <w:rsid w:val="000D78F2"/>
    <w:rsid w:val="000E3209"/>
    <w:rsid w:val="000E70F4"/>
    <w:rsid w:val="000F0D64"/>
    <w:rsid w:val="000F2656"/>
    <w:rsid w:val="000F3C48"/>
    <w:rsid w:val="000F3D57"/>
    <w:rsid w:val="000F74F7"/>
    <w:rsid w:val="001108AD"/>
    <w:rsid w:val="00114C3F"/>
    <w:rsid w:val="0012482C"/>
    <w:rsid w:val="0012482F"/>
    <w:rsid w:val="00124EB2"/>
    <w:rsid w:val="0013373D"/>
    <w:rsid w:val="00137186"/>
    <w:rsid w:val="001520F3"/>
    <w:rsid w:val="00153D83"/>
    <w:rsid w:val="001671B6"/>
    <w:rsid w:val="001729B8"/>
    <w:rsid w:val="00175815"/>
    <w:rsid w:val="00177BC7"/>
    <w:rsid w:val="001811CB"/>
    <w:rsid w:val="00187247"/>
    <w:rsid w:val="0019434A"/>
    <w:rsid w:val="00197FC3"/>
    <w:rsid w:val="001B065D"/>
    <w:rsid w:val="001B0BF5"/>
    <w:rsid w:val="001B2103"/>
    <w:rsid w:val="001C21E3"/>
    <w:rsid w:val="001C6E15"/>
    <w:rsid w:val="001C6E67"/>
    <w:rsid w:val="001D060C"/>
    <w:rsid w:val="001E04EC"/>
    <w:rsid w:val="001E1270"/>
    <w:rsid w:val="001E79AE"/>
    <w:rsid w:val="001F2764"/>
    <w:rsid w:val="001F5A1A"/>
    <w:rsid w:val="0020180D"/>
    <w:rsid w:val="002025C6"/>
    <w:rsid w:val="00206DA0"/>
    <w:rsid w:val="00215198"/>
    <w:rsid w:val="0021702E"/>
    <w:rsid w:val="0022069C"/>
    <w:rsid w:val="00222AA6"/>
    <w:rsid w:val="00234728"/>
    <w:rsid w:val="002437D6"/>
    <w:rsid w:val="00251794"/>
    <w:rsid w:val="0025330E"/>
    <w:rsid w:val="0025541A"/>
    <w:rsid w:val="00263A5A"/>
    <w:rsid w:val="00265C5E"/>
    <w:rsid w:val="00267703"/>
    <w:rsid w:val="00277946"/>
    <w:rsid w:val="00292757"/>
    <w:rsid w:val="00293581"/>
    <w:rsid w:val="002953BD"/>
    <w:rsid w:val="002A6D1C"/>
    <w:rsid w:val="002B085F"/>
    <w:rsid w:val="002D4AE4"/>
    <w:rsid w:val="002D6C9A"/>
    <w:rsid w:val="002E4BCC"/>
    <w:rsid w:val="002E66D5"/>
    <w:rsid w:val="00310F3A"/>
    <w:rsid w:val="00317B7D"/>
    <w:rsid w:val="00322448"/>
    <w:rsid w:val="00325B70"/>
    <w:rsid w:val="003278E0"/>
    <w:rsid w:val="00333038"/>
    <w:rsid w:val="00335108"/>
    <w:rsid w:val="003557CF"/>
    <w:rsid w:val="0035641F"/>
    <w:rsid w:val="003565F3"/>
    <w:rsid w:val="00365F9B"/>
    <w:rsid w:val="00373F57"/>
    <w:rsid w:val="00375714"/>
    <w:rsid w:val="0037619F"/>
    <w:rsid w:val="00377EAC"/>
    <w:rsid w:val="00380B6D"/>
    <w:rsid w:val="00385950"/>
    <w:rsid w:val="00385D77"/>
    <w:rsid w:val="003912B4"/>
    <w:rsid w:val="00391F10"/>
    <w:rsid w:val="00395372"/>
    <w:rsid w:val="003A6FBF"/>
    <w:rsid w:val="003B49F7"/>
    <w:rsid w:val="003B75F7"/>
    <w:rsid w:val="003D07E4"/>
    <w:rsid w:val="003D33CE"/>
    <w:rsid w:val="003D530B"/>
    <w:rsid w:val="003D648D"/>
    <w:rsid w:val="003F2AD9"/>
    <w:rsid w:val="004005BF"/>
    <w:rsid w:val="00412BCB"/>
    <w:rsid w:val="00415409"/>
    <w:rsid w:val="00416E4E"/>
    <w:rsid w:val="00440BC9"/>
    <w:rsid w:val="00442ED5"/>
    <w:rsid w:val="00445CA8"/>
    <w:rsid w:val="00445D19"/>
    <w:rsid w:val="00455B94"/>
    <w:rsid w:val="00455FD2"/>
    <w:rsid w:val="004704FB"/>
    <w:rsid w:val="004709E9"/>
    <w:rsid w:val="00472340"/>
    <w:rsid w:val="004854C4"/>
    <w:rsid w:val="004857F5"/>
    <w:rsid w:val="00491DF8"/>
    <w:rsid w:val="00494A78"/>
    <w:rsid w:val="00497B82"/>
    <w:rsid w:val="004A33E6"/>
    <w:rsid w:val="004A53A5"/>
    <w:rsid w:val="004A6E75"/>
    <w:rsid w:val="004A7327"/>
    <w:rsid w:val="004B12FF"/>
    <w:rsid w:val="004B68FD"/>
    <w:rsid w:val="004C6AE1"/>
    <w:rsid w:val="004C724C"/>
    <w:rsid w:val="004D0D92"/>
    <w:rsid w:val="004D1B1D"/>
    <w:rsid w:val="004F26AF"/>
    <w:rsid w:val="004F2CCE"/>
    <w:rsid w:val="004F78BE"/>
    <w:rsid w:val="00501AC5"/>
    <w:rsid w:val="00513DEF"/>
    <w:rsid w:val="00513EB9"/>
    <w:rsid w:val="00514F95"/>
    <w:rsid w:val="005161C7"/>
    <w:rsid w:val="00525434"/>
    <w:rsid w:val="005310B9"/>
    <w:rsid w:val="00541671"/>
    <w:rsid w:val="00543010"/>
    <w:rsid w:val="00552353"/>
    <w:rsid w:val="0055257A"/>
    <w:rsid w:val="005536BC"/>
    <w:rsid w:val="005624D0"/>
    <w:rsid w:val="005653CF"/>
    <w:rsid w:val="0056601E"/>
    <w:rsid w:val="00580756"/>
    <w:rsid w:val="0058259E"/>
    <w:rsid w:val="0058298D"/>
    <w:rsid w:val="005852A6"/>
    <w:rsid w:val="005911DB"/>
    <w:rsid w:val="005913D8"/>
    <w:rsid w:val="0059151E"/>
    <w:rsid w:val="00593FBC"/>
    <w:rsid w:val="0059609E"/>
    <w:rsid w:val="00596420"/>
    <w:rsid w:val="005B3A4A"/>
    <w:rsid w:val="005B4E6E"/>
    <w:rsid w:val="005C32DF"/>
    <w:rsid w:val="005D39E7"/>
    <w:rsid w:val="005D6B74"/>
    <w:rsid w:val="005D74FA"/>
    <w:rsid w:val="005E2F87"/>
    <w:rsid w:val="005F528B"/>
    <w:rsid w:val="005F5903"/>
    <w:rsid w:val="005F6FF7"/>
    <w:rsid w:val="0060321C"/>
    <w:rsid w:val="00606940"/>
    <w:rsid w:val="00621BF5"/>
    <w:rsid w:val="0062318E"/>
    <w:rsid w:val="00623584"/>
    <w:rsid w:val="00624657"/>
    <w:rsid w:val="00625744"/>
    <w:rsid w:val="00627051"/>
    <w:rsid w:val="00631FBD"/>
    <w:rsid w:val="006355CB"/>
    <w:rsid w:val="00636AD6"/>
    <w:rsid w:val="00641031"/>
    <w:rsid w:val="00644130"/>
    <w:rsid w:val="0065069C"/>
    <w:rsid w:val="00660919"/>
    <w:rsid w:val="00664765"/>
    <w:rsid w:val="0067411E"/>
    <w:rsid w:val="00674789"/>
    <w:rsid w:val="006846C8"/>
    <w:rsid w:val="0068488D"/>
    <w:rsid w:val="00686615"/>
    <w:rsid w:val="006929CB"/>
    <w:rsid w:val="00696DE4"/>
    <w:rsid w:val="00696FAE"/>
    <w:rsid w:val="006979A1"/>
    <w:rsid w:val="006A1D04"/>
    <w:rsid w:val="006A763A"/>
    <w:rsid w:val="006A77AD"/>
    <w:rsid w:val="006B0D10"/>
    <w:rsid w:val="006B4502"/>
    <w:rsid w:val="006B5F62"/>
    <w:rsid w:val="006E1475"/>
    <w:rsid w:val="006E3056"/>
    <w:rsid w:val="006F181A"/>
    <w:rsid w:val="006F2ED0"/>
    <w:rsid w:val="006F43C3"/>
    <w:rsid w:val="006F495B"/>
    <w:rsid w:val="006F53FC"/>
    <w:rsid w:val="006F6CB7"/>
    <w:rsid w:val="0070399F"/>
    <w:rsid w:val="007106CE"/>
    <w:rsid w:val="00711094"/>
    <w:rsid w:val="00712656"/>
    <w:rsid w:val="00721ADB"/>
    <w:rsid w:val="0072638D"/>
    <w:rsid w:val="00727B13"/>
    <w:rsid w:val="00743940"/>
    <w:rsid w:val="00744D8C"/>
    <w:rsid w:val="00745316"/>
    <w:rsid w:val="00752136"/>
    <w:rsid w:val="00754E6D"/>
    <w:rsid w:val="007573DE"/>
    <w:rsid w:val="00760611"/>
    <w:rsid w:val="00761C46"/>
    <w:rsid w:val="007729D5"/>
    <w:rsid w:val="00772A97"/>
    <w:rsid w:val="007820F6"/>
    <w:rsid w:val="007830B8"/>
    <w:rsid w:val="00792344"/>
    <w:rsid w:val="00795656"/>
    <w:rsid w:val="00796E9D"/>
    <w:rsid w:val="007A2D9A"/>
    <w:rsid w:val="007A2F60"/>
    <w:rsid w:val="007A376D"/>
    <w:rsid w:val="007A4C01"/>
    <w:rsid w:val="007C2AAB"/>
    <w:rsid w:val="007D69CB"/>
    <w:rsid w:val="007D6CFF"/>
    <w:rsid w:val="007D73F1"/>
    <w:rsid w:val="007E4F4B"/>
    <w:rsid w:val="007E5C2D"/>
    <w:rsid w:val="007F2F46"/>
    <w:rsid w:val="007F5930"/>
    <w:rsid w:val="008032E7"/>
    <w:rsid w:val="008055E5"/>
    <w:rsid w:val="008078E1"/>
    <w:rsid w:val="00812BB7"/>
    <w:rsid w:val="008144CD"/>
    <w:rsid w:val="00816871"/>
    <w:rsid w:val="00833127"/>
    <w:rsid w:val="008466DD"/>
    <w:rsid w:val="00847A3A"/>
    <w:rsid w:val="00852E60"/>
    <w:rsid w:val="0085364A"/>
    <w:rsid w:val="00860784"/>
    <w:rsid w:val="00875993"/>
    <w:rsid w:val="00880231"/>
    <w:rsid w:val="00885E1B"/>
    <w:rsid w:val="00892BA2"/>
    <w:rsid w:val="00892CCE"/>
    <w:rsid w:val="0089596E"/>
    <w:rsid w:val="008A1AB8"/>
    <w:rsid w:val="008A43C1"/>
    <w:rsid w:val="008A6956"/>
    <w:rsid w:val="008B0E74"/>
    <w:rsid w:val="008B1A78"/>
    <w:rsid w:val="008B3130"/>
    <w:rsid w:val="008B6135"/>
    <w:rsid w:val="008B7961"/>
    <w:rsid w:val="008C54AA"/>
    <w:rsid w:val="008C564E"/>
    <w:rsid w:val="008F04F2"/>
    <w:rsid w:val="008F7E92"/>
    <w:rsid w:val="00902959"/>
    <w:rsid w:val="00905D5D"/>
    <w:rsid w:val="00907CBB"/>
    <w:rsid w:val="0091239C"/>
    <w:rsid w:val="0091556C"/>
    <w:rsid w:val="00933FBB"/>
    <w:rsid w:val="00961EA2"/>
    <w:rsid w:val="00965BEB"/>
    <w:rsid w:val="00967320"/>
    <w:rsid w:val="00970598"/>
    <w:rsid w:val="0097196E"/>
    <w:rsid w:val="00975262"/>
    <w:rsid w:val="0097783C"/>
    <w:rsid w:val="00992440"/>
    <w:rsid w:val="00994FE1"/>
    <w:rsid w:val="0099556B"/>
    <w:rsid w:val="00997719"/>
    <w:rsid w:val="009A2001"/>
    <w:rsid w:val="009A24B4"/>
    <w:rsid w:val="009A2536"/>
    <w:rsid w:val="009A4AA5"/>
    <w:rsid w:val="009B13E8"/>
    <w:rsid w:val="009B46D8"/>
    <w:rsid w:val="009C6740"/>
    <w:rsid w:val="009C7AAE"/>
    <w:rsid w:val="009C7ED6"/>
    <w:rsid w:val="009D0ADD"/>
    <w:rsid w:val="009D7885"/>
    <w:rsid w:val="009E30B1"/>
    <w:rsid w:val="009E70BA"/>
    <w:rsid w:val="009F1A5F"/>
    <w:rsid w:val="00A02B0D"/>
    <w:rsid w:val="00A07F0C"/>
    <w:rsid w:val="00A110F4"/>
    <w:rsid w:val="00A33586"/>
    <w:rsid w:val="00A34148"/>
    <w:rsid w:val="00A3779B"/>
    <w:rsid w:val="00A43016"/>
    <w:rsid w:val="00A446B0"/>
    <w:rsid w:val="00A54D85"/>
    <w:rsid w:val="00A60C3A"/>
    <w:rsid w:val="00A65F27"/>
    <w:rsid w:val="00A7383A"/>
    <w:rsid w:val="00A7594E"/>
    <w:rsid w:val="00A82BEE"/>
    <w:rsid w:val="00A863F3"/>
    <w:rsid w:val="00A9153A"/>
    <w:rsid w:val="00A96133"/>
    <w:rsid w:val="00A96D8F"/>
    <w:rsid w:val="00AA52A0"/>
    <w:rsid w:val="00AA768E"/>
    <w:rsid w:val="00AB4D12"/>
    <w:rsid w:val="00AC68A1"/>
    <w:rsid w:val="00AD1F44"/>
    <w:rsid w:val="00AE0D99"/>
    <w:rsid w:val="00AE200B"/>
    <w:rsid w:val="00AE659D"/>
    <w:rsid w:val="00AF2497"/>
    <w:rsid w:val="00AF2573"/>
    <w:rsid w:val="00AF460B"/>
    <w:rsid w:val="00AF56DF"/>
    <w:rsid w:val="00AF6252"/>
    <w:rsid w:val="00AF710A"/>
    <w:rsid w:val="00B0439F"/>
    <w:rsid w:val="00B070B7"/>
    <w:rsid w:val="00B16D61"/>
    <w:rsid w:val="00B23327"/>
    <w:rsid w:val="00B25BAA"/>
    <w:rsid w:val="00B26CDB"/>
    <w:rsid w:val="00B3014B"/>
    <w:rsid w:val="00B37AAB"/>
    <w:rsid w:val="00B37BF4"/>
    <w:rsid w:val="00B474A1"/>
    <w:rsid w:val="00B50AFB"/>
    <w:rsid w:val="00B5201A"/>
    <w:rsid w:val="00B5758E"/>
    <w:rsid w:val="00B66135"/>
    <w:rsid w:val="00B701EB"/>
    <w:rsid w:val="00B70FB7"/>
    <w:rsid w:val="00B85918"/>
    <w:rsid w:val="00B9625C"/>
    <w:rsid w:val="00BA3FE7"/>
    <w:rsid w:val="00BB1BCD"/>
    <w:rsid w:val="00BB1BE8"/>
    <w:rsid w:val="00BB2D90"/>
    <w:rsid w:val="00BB4BD9"/>
    <w:rsid w:val="00BB693D"/>
    <w:rsid w:val="00BC24A8"/>
    <w:rsid w:val="00BC6CAD"/>
    <w:rsid w:val="00BC7385"/>
    <w:rsid w:val="00BD1198"/>
    <w:rsid w:val="00BD2640"/>
    <w:rsid w:val="00BD3D35"/>
    <w:rsid w:val="00BD71EF"/>
    <w:rsid w:val="00BE2081"/>
    <w:rsid w:val="00BE40BE"/>
    <w:rsid w:val="00BE4BC1"/>
    <w:rsid w:val="00BF3AA2"/>
    <w:rsid w:val="00BF5696"/>
    <w:rsid w:val="00BF5D78"/>
    <w:rsid w:val="00BF7914"/>
    <w:rsid w:val="00C07F1A"/>
    <w:rsid w:val="00C24AA5"/>
    <w:rsid w:val="00C27B44"/>
    <w:rsid w:val="00C40A0C"/>
    <w:rsid w:val="00C538B1"/>
    <w:rsid w:val="00C61140"/>
    <w:rsid w:val="00C649D4"/>
    <w:rsid w:val="00C71FE8"/>
    <w:rsid w:val="00C90A61"/>
    <w:rsid w:val="00C914EA"/>
    <w:rsid w:val="00CA09C6"/>
    <w:rsid w:val="00CA1E20"/>
    <w:rsid w:val="00CB235A"/>
    <w:rsid w:val="00CB3228"/>
    <w:rsid w:val="00CB6F44"/>
    <w:rsid w:val="00CC0646"/>
    <w:rsid w:val="00CD01BB"/>
    <w:rsid w:val="00CD551F"/>
    <w:rsid w:val="00CD55C2"/>
    <w:rsid w:val="00CE1BB7"/>
    <w:rsid w:val="00CF050B"/>
    <w:rsid w:val="00CF562E"/>
    <w:rsid w:val="00CF6B77"/>
    <w:rsid w:val="00CF7621"/>
    <w:rsid w:val="00D03CE9"/>
    <w:rsid w:val="00D057F5"/>
    <w:rsid w:val="00D05994"/>
    <w:rsid w:val="00D11B18"/>
    <w:rsid w:val="00D1710C"/>
    <w:rsid w:val="00D21412"/>
    <w:rsid w:val="00D24468"/>
    <w:rsid w:val="00D246ED"/>
    <w:rsid w:val="00D31C4F"/>
    <w:rsid w:val="00D32751"/>
    <w:rsid w:val="00D534CF"/>
    <w:rsid w:val="00D5502B"/>
    <w:rsid w:val="00D57F45"/>
    <w:rsid w:val="00D62458"/>
    <w:rsid w:val="00D75215"/>
    <w:rsid w:val="00D8037E"/>
    <w:rsid w:val="00D825C3"/>
    <w:rsid w:val="00D86330"/>
    <w:rsid w:val="00D95081"/>
    <w:rsid w:val="00D97C32"/>
    <w:rsid w:val="00DA0753"/>
    <w:rsid w:val="00DA3EBF"/>
    <w:rsid w:val="00DA7095"/>
    <w:rsid w:val="00DB0035"/>
    <w:rsid w:val="00DC79DD"/>
    <w:rsid w:val="00DD056D"/>
    <w:rsid w:val="00DD3072"/>
    <w:rsid w:val="00DD4EDC"/>
    <w:rsid w:val="00DE0CED"/>
    <w:rsid w:val="00DF24F1"/>
    <w:rsid w:val="00DF3388"/>
    <w:rsid w:val="00DF6CE8"/>
    <w:rsid w:val="00E0328E"/>
    <w:rsid w:val="00E077A1"/>
    <w:rsid w:val="00E1336D"/>
    <w:rsid w:val="00E17577"/>
    <w:rsid w:val="00E21E39"/>
    <w:rsid w:val="00E538E1"/>
    <w:rsid w:val="00E571DD"/>
    <w:rsid w:val="00E61047"/>
    <w:rsid w:val="00E624ED"/>
    <w:rsid w:val="00E63ACB"/>
    <w:rsid w:val="00E6469A"/>
    <w:rsid w:val="00E64E91"/>
    <w:rsid w:val="00E72F60"/>
    <w:rsid w:val="00E8113C"/>
    <w:rsid w:val="00E874A2"/>
    <w:rsid w:val="00E94324"/>
    <w:rsid w:val="00E95ED0"/>
    <w:rsid w:val="00EA144E"/>
    <w:rsid w:val="00EB23FE"/>
    <w:rsid w:val="00EB64F6"/>
    <w:rsid w:val="00EC1A1C"/>
    <w:rsid w:val="00EC37DB"/>
    <w:rsid w:val="00EE6ADD"/>
    <w:rsid w:val="00EE790C"/>
    <w:rsid w:val="00EF2077"/>
    <w:rsid w:val="00EF377D"/>
    <w:rsid w:val="00EF3A4E"/>
    <w:rsid w:val="00EF69D0"/>
    <w:rsid w:val="00F00DFB"/>
    <w:rsid w:val="00F012AC"/>
    <w:rsid w:val="00F12D3B"/>
    <w:rsid w:val="00F164FE"/>
    <w:rsid w:val="00F17052"/>
    <w:rsid w:val="00F200D1"/>
    <w:rsid w:val="00F22C47"/>
    <w:rsid w:val="00F26897"/>
    <w:rsid w:val="00F319BD"/>
    <w:rsid w:val="00F41259"/>
    <w:rsid w:val="00F435F8"/>
    <w:rsid w:val="00F44855"/>
    <w:rsid w:val="00F56F2A"/>
    <w:rsid w:val="00F64ECF"/>
    <w:rsid w:val="00F6730D"/>
    <w:rsid w:val="00F67A4C"/>
    <w:rsid w:val="00F67E80"/>
    <w:rsid w:val="00F7036B"/>
    <w:rsid w:val="00F74924"/>
    <w:rsid w:val="00F76D79"/>
    <w:rsid w:val="00F83CD8"/>
    <w:rsid w:val="00F8482F"/>
    <w:rsid w:val="00F86C8E"/>
    <w:rsid w:val="00F91E3A"/>
    <w:rsid w:val="00FA3755"/>
    <w:rsid w:val="00FA456A"/>
    <w:rsid w:val="00FB53D9"/>
    <w:rsid w:val="00FC0268"/>
    <w:rsid w:val="00FC7958"/>
    <w:rsid w:val="00FD3C1C"/>
    <w:rsid w:val="00FF2CCD"/>
    <w:rsid w:val="00FF798C"/>
    <w:rsid w:val="00FF7F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7D856"/>
  <w15:docId w15:val="{F0B68D9D-5FAA-4776-86A6-B8746AE7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0" w:qFormat="1"/>
    <w:lsdException w:name="Body Text Indent" w:uiPriority="1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69CB"/>
  </w:style>
  <w:style w:type="paragraph" w:styleId="Heading1">
    <w:name w:val="heading 1"/>
    <w:basedOn w:val="BaseText"/>
    <w:next w:val="BodyText"/>
    <w:link w:val="Heading1Char"/>
    <w:uiPriority w:val="9"/>
    <w:qFormat/>
    <w:rsid w:val="007A4C01"/>
    <w:pPr>
      <w:keepNext/>
      <w:keepLines/>
      <w:numPr>
        <w:numId w:val="4"/>
      </w:numPr>
      <w:outlineLvl w:val="0"/>
    </w:pPr>
    <w:rPr>
      <w:rFonts w:asciiTheme="majorHAnsi" w:eastAsiaTheme="majorEastAsia" w:hAnsiTheme="majorHAnsi" w:cstheme="majorBidi"/>
      <w:b/>
      <w:bCs/>
      <w:caps/>
      <w:szCs w:val="28"/>
    </w:rPr>
  </w:style>
  <w:style w:type="paragraph" w:styleId="Heading2">
    <w:name w:val="heading 2"/>
    <w:basedOn w:val="BaseText"/>
    <w:next w:val="BodyText"/>
    <w:link w:val="Heading2Char"/>
    <w:uiPriority w:val="9"/>
    <w:qFormat/>
    <w:rsid w:val="007A4C01"/>
    <w:pPr>
      <w:keepNext/>
      <w:keepLines/>
      <w:numPr>
        <w:ilvl w:val="1"/>
        <w:numId w:val="4"/>
      </w:numPr>
      <w:outlineLvl w:val="1"/>
    </w:pPr>
    <w:rPr>
      <w:rFonts w:asciiTheme="majorHAnsi" w:hAnsiTheme="majorHAnsi"/>
      <w:b/>
      <w:smallCaps/>
    </w:rPr>
  </w:style>
  <w:style w:type="paragraph" w:styleId="Heading3">
    <w:name w:val="heading 3"/>
    <w:basedOn w:val="BaseText"/>
    <w:next w:val="BodyText"/>
    <w:link w:val="Heading3Char"/>
    <w:uiPriority w:val="9"/>
    <w:qFormat/>
    <w:rsid w:val="007A4C01"/>
    <w:pPr>
      <w:keepNext/>
      <w:keepLines/>
      <w:numPr>
        <w:ilvl w:val="2"/>
        <w:numId w:val="4"/>
      </w:numPr>
      <w:outlineLvl w:val="2"/>
    </w:pPr>
    <w:rPr>
      <w:rFonts w:asciiTheme="majorHAnsi" w:hAnsiTheme="majorHAnsi"/>
      <w:b/>
    </w:rPr>
  </w:style>
  <w:style w:type="paragraph" w:styleId="Heading4">
    <w:name w:val="heading 4"/>
    <w:basedOn w:val="BaseText"/>
    <w:next w:val="BodyText"/>
    <w:link w:val="Heading4Char"/>
    <w:uiPriority w:val="9"/>
    <w:qFormat/>
    <w:rsid w:val="007A4C01"/>
    <w:pPr>
      <w:keepNext/>
      <w:keepLines/>
      <w:numPr>
        <w:ilvl w:val="3"/>
        <w:numId w:val="4"/>
      </w:numPr>
      <w:outlineLvl w:val="3"/>
    </w:pPr>
    <w:rPr>
      <w:rFonts w:asciiTheme="majorHAnsi" w:hAnsiTheme="majorHAnsi"/>
      <w:b/>
    </w:rPr>
  </w:style>
  <w:style w:type="paragraph" w:styleId="Heading5">
    <w:name w:val="heading 5"/>
    <w:basedOn w:val="BaseText"/>
    <w:next w:val="BodyText"/>
    <w:link w:val="Heading5Char"/>
    <w:uiPriority w:val="9"/>
    <w:qFormat/>
    <w:rsid w:val="007A4C01"/>
    <w:pPr>
      <w:keepNext/>
      <w:keepLines/>
      <w:numPr>
        <w:ilvl w:val="4"/>
        <w:numId w:val="4"/>
      </w:numPr>
      <w:outlineLvl w:val="4"/>
    </w:pPr>
    <w:rPr>
      <w:rFonts w:asciiTheme="majorHAnsi" w:hAnsiTheme="maj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___Normal"/>
    <w:semiHidden/>
    <w:rsid w:val="00796E9D"/>
    <w:pPr>
      <w:spacing w:after="240" w:line="240" w:lineRule="auto"/>
    </w:pPr>
    <w:rPr>
      <w:rFonts w:ascii="Times New Roman" w:hAnsi="Times New Roman"/>
      <w:sz w:val="24"/>
    </w:rPr>
  </w:style>
  <w:style w:type="paragraph" w:customStyle="1" w:styleId="BaseText">
    <w:name w:val="__Base Text"/>
    <w:basedOn w:val="Normal0"/>
    <w:semiHidden/>
    <w:rsid w:val="00CD01BB"/>
    <w:pPr>
      <w:spacing w:line="320" w:lineRule="atLeast"/>
      <w:jc w:val="both"/>
    </w:pPr>
    <w:rPr>
      <w:rFonts w:asciiTheme="minorHAnsi" w:hAnsiTheme="minorHAnsi"/>
    </w:rPr>
  </w:style>
  <w:style w:type="character" w:customStyle="1" w:styleId="Heading2Char">
    <w:name w:val="Heading 2 Char"/>
    <w:basedOn w:val="DefaultParagraphFont"/>
    <w:link w:val="Heading2"/>
    <w:uiPriority w:val="9"/>
    <w:rsid w:val="007A4C01"/>
    <w:rPr>
      <w:rFonts w:asciiTheme="majorHAnsi" w:hAnsiTheme="majorHAnsi"/>
      <w:b/>
      <w:smallCaps/>
      <w:sz w:val="24"/>
    </w:rPr>
  </w:style>
  <w:style w:type="paragraph" w:styleId="BodyText">
    <w:name w:val="Body Text"/>
    <w:basedOn w:val="BaseText"/>
    <w:link w:val="BodyTextChar"/>
    <w:uiPriority w:val="10"/>
    <w:qFormat/>
    <w:rsid w:val="0099556B"/>
  </w:style>
  <w:style w:type="character" w:customStyle="1" w:styleId="BodyTextChar">
    <w:name w:val="Body Text Char"/>
    <w:basedOn w:val="DefaultParagraphFont"/>
    <w:link w:val="BodyText"/>
    <w:uiPriority w:val="10"/>
    <w:rsid w:val="0099556B"/>
    <w:rPr>
      <w:sz w:val="24"/>
    </w:rPr>
  </w:style>
  <w:style w:type="paragraph" w:styleId="BodyTextIndent">
    <w:name w:val="Body Text Indent"/>
    <w:basedOn w:val="BodyText"/>
    <w:link w:val="BodyTextIndentChar"/>
    <w:uiPriority w:val="10"/>
    <w:qFormat/>
    <w:rsid w:val="00796E9D"/>
    <w:pPr>
      <w:ind w:left="567"/>
    </w:pPr>
  </w:style>
  <w:style w:type="character" w:customStyle="1" w:styleId="BodyTextIndentChar">
    <w:name w:val="Body Text Indent Char"/>
    <w:basedOn w:val="DefaultParagraphFont"/>
    <w:link w:val="BodyTextIndent"/>
    <w:uiPriority w:val="99"/>
    <w:rsid w:val="00796E9D"/>
    <w:rPr>
      <w:rFonts w:ascii="Times New Roman" w:hAnsi="Times New Roman"/>
      <w:sz w:val="24"/>
    </w:rPr>
  </w:style>
  <w:style w:type="character" w:customStyle="1" w:styleId="Heading1Char">
    <w:name w:val="Heading 1 Char"/>
    <w:basedOn w:val="DefaultParagraphFont"/>
    <w:link w:val="Heading1"/>
    <w:uiPriority w:val="9"/>
    <w:rsid w:val="007A4C01"/>
    <w:rPr>
      <w:rFonts w:asciiTheme="majorHAnsi" w:eastAsiaTheme="majorEastAsia" w:hAnsiTheme="majorHAnsi" w:cstheme="majorBidi"/>
      <w:b/>
      <w:bCs/>
      <w:caps/>
      <w:sz w:val="24"/>
      <w:szCs w:val="28"/>
    </w:rPr>
  </w:style>
  <w:style w:type="character" w:customStyle="1" w:styleId="Heading3Char">
    <w:name w:val="Heading 3 Char"/>
    <w:basedOn w:val="DefaultParagraphFont"/>
    <w:link w:val="Heading3"/>
    <w:uiPriority w:val="9"/>
    <w:rsid w:val="007A4C01"/>
    <w:rPr>
      <w:rFonts w:asciiTheme="majorHAnsi" w:hAnsiTheme="majorHAnsi"/>
      <w:b/>
      <w:sz w:val="24"/>
    </w:rPr>
  </w:style>
  <w:style w:type="character" w:customStyle="1" w:styleId="Heading4Char">
    <w:name w:val="Heading 4 Char"/>
    <w:basedOn w:val="DefaultParagraphFont"/>
    <w:link w:val="Heading4"/>
    <w:uiPriority w:val="9"/>
    <w:rsid w:val="007A4C01"/>
    <w:rPr>
      <w:rFonts w:asciiTheme="majorHAnsi" w:hAnsiTheme="majorHAnsi"/>
      <w:b/>
      <w:sz w:val="24"/>
    </w:rPr>
  </w:style>
  <w:style w:type="character" w:customStyle="1" w:styleId="Heading5Char">
    <w:name w:val="Heading 5 Char"/>
    <w:basedOn w:val="DefaultParagraphFont"/>
    <w:link w:val="Heading5"/>
    <w:uiPriority w:val="9"/>
    <w:rsid w:val="007A4C01"/>
    <w:rPr>
      <w:rFonts w:asciiTheme="majorHAnsi" w:hAnsiTheme="majorHAnsi"/>
      <w:i/>
      <w:sz w:val="24"/>
    </w:rPr>
  </w:style>
  <w:style w:type="numbering" w:customStyle="1" w:styleId="ListHeadings">
    <w:name w:val="__List Headings"/>
    <w:uiPriority w:val="99"/>
    <w:semiHidden/>
    <w:rsid w:val="007A4C01"/>
    <w:pPr>
      <w:numPr>
        <w:numId w:val="1"/>
      </w:numPr>
    </w:pPr>
  </w:style>
  <w:style w:type="paragraph" w:styleId="Title">
    <w:name w:val="Title"/>
    <w:basedOn w:val="BaseText"/>
    <w:next w:val="BodyText"/>
    <w:link w:val="TitleChar"/>
    <w:uiPriority w:val="10"/>
    <w:qFormat/>
    <w:rsid w:val="0091239C"/>
    <w:pPr>
      <w:spacing w:line="400" w:lineRule="atLeast"/>
    </w:pPr>
    <w:rPr>
      <w:sz w:val="36"/>
      <w:szCs w:val="36"/>
    </w:rPr>
  </w:style>
  <w:style w:type="character" w:customStyle="1" w:styleId="TitleChar">
    <w:name w:val="Title Char"/>
    <w:basedOn w:val="DefaultParagraphFont"/>
    <w:link w:val="Title"/>
    <w:uiPriority w:val="10"/>
    <w:rsid w:val="0091239C"/>
    <w:rPr>
      <w:rFonts w:ascii="Times New Roman" w:hAnsi="Times New Roman"/>
      <w:sz w:val="36"/>
      <w:szCs w:val="36"/>
    </w:rPr>
  </w:style>
  <w:style w:type="paragraph" w:styleId="Subtitle">
    <w:name w:val="Subtitle"/>
    <w:basedOn w:val="BaseText"/>
    <w:next w:val="BodyText"/>
    <w:link w:val="SubtitleChar"/>
    <w:uiPriority w:val="11"/>
    <w:qFormat/>
    <w:rsid w:val="0091239C"/>
    <w:rPr>
      <w:sz w:val="28"/>
      <w:szCs w:val="28"/>
    </w:rPr>
  </w:style>
  <w:style w:type="character" w:customStyle="1" w:styleId="SubtitleChar">
    <w:name w:val="Subtitle Char"/>
    <w:basedOn w:val="DefaultParagraphFont"/>
    <w:link w:val="Subtitle"/>
    <w:uiPriority w:val="11"/>
    <w:rsid w:val="00E6469A"/>
    <w:rPr>
      <w:rFonts w:ascii="Times New Roman" w:hAnsi="Times New Roman"/>
      <w:sz w:val="28"/>
      <w:szCs w:val="28"/>
    </w:rPr>
  </w:style>
  <w:style w:type="paragraph" w:customStyle="1" w:styleId="Subject">
    <w:name w:val="Subject"/>
    <w:basedOn w:val="BaseText"/>
    <w:next w:val="BodyText"/>
    <w:uiPriority w:val="12"/>
    <w:qFormat/>
    <w:rsid w:val="00860784"/>
    <w:pPr>
      <w:spacing w:before="480"/>
    </w:pPr>
    <w:rPr>
      <w:b/>
    </w:rPr>
  </w:style>
  <w:style w:type="character" w:styleId="BookTitle">
    <w:name w:val="Book Title"/>
    <w:basedOn w:val="DefaultParagraphFont"/>
    <w:uiPriority w:val="33"/>
    <w:semiHidden/>
    <w:rsid w:val="00E6469A"/>
    <w:rPr>
      <w:b/>
      <w:bCs/>
      <w:smallCaps/>
      <w:spacing w:val="5"/>
    </w:rPr>
  </w:style>
  <w:style w:type="paragraph" w:styleId="ListBullet">
    <w:name w:val="List Bullet"/>
    <w:basedOn w:val="BodyText"/>
    <w:uiPriority w:val="10"/>
    <w:qFormat/>
    <w:rsid w:val="00EC1A1C"/>
    <w:pPr>
      <w:numPr>
        <w:numId w:val="5"/>
      </w:numPr>
    </w:pPr>
  </w:style>
  <w:style w:type="character" w:styleId="Emphasis">
    <w:name w:val="Emphasis"/>
    <w:basedOn w:val="DefaultParagraphFont"/>
    <w:uiPriority w:val="20"/>
    <w:qFormat/>
    <w:rsid w:val="00E6469A"/>
    <w:rPr>
      <w:i/>
      <w:iCs/>
    </w:rPr>
  </w:style>
  <w:style w:type="character" w:styleId="IntenseEmphasis">
    <w:name w:val="Intense Emphasis"/>
    <w:basedOn w:val="DefaultParagraphFont"/>
    <w:uiPriority w:val="21"/>
    <w:semiHidden/>
    <w:rsid w:val="00E6469A"/>
    <w:rPr>
      <w:b/>
      <w:bCs/>
      <w:i/>
      <w:iCs/>
      <w:color w:val="90825D" w:themeColor="accent1"/>
    </w:rPr>
  </w:style>
  <w:style w:type="paragraph" w:styleId="IntenseQuote">
    <w:name w:val="Intense Quote"/>
    <w:basedOn w:val="Normal"/>
    <w:next w:val="Normal"/>
    <w:link w:val="IntenseQuoteChar"/>
    <w:uiPriority w:val="30"/>
    <w:semiHidden/>
    <w:rsid w:val="00E6469A"/>
    <w:pPr>
      <w:pBdr>
        <w:bottom w:val="single" w:sz="4" w:space="4" w:color="90825D" w:themeColor="accent1"/>
      </w:pBdr>
      <w:spacing w:before="200" w:after="280"/>
      <w:ind w:left="936" w:right="936"/>
    </w:pPr>
    <w:rPr>
      <w:b/>
      <w:bCs/>
      <w:i/>
      <w:iCs/>
      <w:color w:val="90825D" w:themeColor="accent1"/>
    </w:rPr>
  </w:style>
  <w:style w:type="character" w:customStyle="1" w:styleId="IntenseQuoteChar">
    <w:name w:val="Intense Quote Char"/>
    <w:basedOn w:val="DefaultParagraphFont"/>
    <w:link w:val="IntenseQuote"/>
    <w:uiPriority w:val="30"/>
    <w:rsid w:val="00E6469A"/>
    <w:rPr>
      <w:b/>
      <w:bCs/>
      <w:i/>
      <w:iCs/>
      <w:color w:val="90825D" w:themeColor="accent1"/>
    </w:rPr>
  </w:style>
  <w:style w:type="character" w:styleId="IntenseReference">
    <w:name w:val="Intense Reference"/>
    <w:basedOn w:val="DefaultParagraphFont"/>
    <w:uiPriority w:val="32"/>
    <w:semiHidden/>
    <w:rsid w:val="00E6469A"/>
    <w:rPr>
      <w:b/>
      <w:bCs/>
      <w:smallCaps/>
      <w:color w:val="777877" w:themeColor="accent2"/>
      <w:spacing w:val="5"/>
      <w:u w:val="single"/>
    </w:rPr>
  </w:style>
  <w:style w:type="paragraph" w:styleId="ListParagraph">
    <w:name w:val="List Paragraph"/>
    <w:basedOn w:val="Normal"/>
    <w:uiPriority w:val="99"/>
    <w:qFormat/>
    <w:rsid w:val="00E6469A"/>
    <w:pPr>
      <w:ind w:left="720"/>
      <w:contextualSpacing/>
    </w:pPr>
  </w:style>
  <w:style w:type="paragraph" w:styleId="NoSpacing">
    <w:name w:val="No Spacing"/>
    <w:uiPriority w:val="1"/>
    <w:semiHidden/>
    <w:rsid w:val="00E6469A"/>
    <w:pPr>
      <w:spacing w:after="0" w:line="240" w:lineRule="auto"/>
    </w:pPr>
  </w:style>
  <w:style w:type="paragraph" w:styleId="Quote">
    <w:name w:val="Quote"/>
    <w:basedOn w:val="BodyText"/>
    <w:next w:val="BodyText"/>
    <w:link w:val="QuoteChar"/>
    <w:uiPriority w:val="29"/>
    <w:rsid w:val="0020180D"/>
    <w:pPr>
      <w:spacing w:line="240" w:lineRule="auto"/>
      <w:ind w:left="1418" w:right="1134"/>
    </w:pPr>
    <w:rPr>
      <w:iCs/>
    </w:rPr>
  </w:style>
  <w:style w:type="character" w:customStyle="1" w:styleId="QuoteChar">
    <w:name w:val="Quote Char"/>
    <w:basedOn w:val="DefaultParagraphFont"/>
    <w:link w:val="Quote"/>
    <w:uiPriority w:val="29"/>
    <w:rsid w:val="0020180D"/>
    <w:rPr>
      <w:rFonts w:ascii="Times New Roman" w:hAnsi="Times New Roman"/>
      <w:iCs/>
      <w:sz w:val="24"/>
    </w:rPr>
  </w:style>
  <w:style w:type="character" w:styleId="Strong">
    <w:name w:val="Strong"/>
    <w:basedOn w:val="DefaultParagraphFont"/>
    <w:uiPriority w:val="22"/>
    <w:semiHidden/>
    <w:rsid w:val="00E6469A"/>
    <w:rPr>
      <w:b/>
      <w:bCs/>
    </w:rPr>
  </w:style>
  <w:style w:type="character" w:styleId="SubtleEmphasis">
    <w:name w:val="Subtle Emphasis"/>
    <w:basedOn w:val="DefaultParagraphFont"/>
    <w:uiPriority w:val="19"/>
    <w:semiHidden/>
    <w:rsid w:val="00E6469A"/>
    <w:rPr>
      <w:i/>
      <w:iCs/>
      <w:color w:val="808080" w:themeColor="text1" w:themeTint="7F"/>
    </w:rPr>
  </w:style>
  <w:style w:type="character" w:styleId="SubtleReference">
    <w:name w:val="Subtle Reference"/>
    <w:basedOn w:val="DefaultParagraphFont"/>
    <w:uiPriority w:val="31"/>
    <w:semiHidden/>
    <w:rsid w:val="00E6469A"/>
    <w:rPr>
      <w:smallCaps/>
      <w:color w:val="777877" w:themeColor="accent2"/>
      <w:u w:val="single"/>
    </w:rPr>
  </w:style>
  <w:style w:type="paragraph" w:styleId="ListNumber">
    <w:name w:val="List Number"/>
    <w:basedOn w:val="BodyText"/>
    <w:uiPriority w:val="10"/>
    <w:qFormat/>
    <w:rsid w:val="00455B94"/>
    <w:pPr>
      <w:numPr>
        <w:numId w:val="3"/>
      </w:numPr>
    </w:pPr>
  </w:style>
  <w:style w:type="numbering" w:customStyle="1" w:styleId="ListBullets">
    <w:name w:val="__List Bullets"/>
    <w:uiPriority w:val="99"/>
    <w:semiHidden/>
    <w:rsid w:val="00EC1A1C"/>
    <w:pPr>
      <w:numPr>
        <w:numId w:val="2"/>
      </w:numPr>
    </w:pPr>
  </w:style>
  <w:style w:type="numbering" w:customStyle="1" w:styleId="ListNumbers">
    <w:name w:val="__List Numbers"/>
    <w:uiPriority w:val="99"/>
    <w:semiHidden/>
    <w:rsid w:val="00455B94"/>
    <w:pPr>
      <w:numPr>
        <w:numId w:val="6"/>
      </w:numPr>
    </w:pPr>
  </w:style>
  <w:style w:type="paragraph" w:styleId="FootnoteText">
    <w:name w:val="footnote text"/>
    <w:aliases w:val=" Char Char Char Char, Char"/>
    <w:basedOn w:val="BodyText"/>
    <w:link w:val="FootnoteTextChar"/>
    <w:uiPriority w:val="99"/>
    <w:rsid w:val="004857F5"/>
    <w:pPr>
      <w:spacing w:after="120" w:line="240" w:lineRule="auto"/>
      <w:ind w:left="567" w:hanging="567"/>
    </w:pPr>
    <w:rPr>
      <w:sz w:val="20"/>
      <w:szCs w:val="20"/>
    </w:rPr>
  </w:style>
  <w:style w:type="character" w:customStyle="1" w:styleId="FootnoteTextChar">
    <w:name w:val="Footnote Text Char"/>
    <w:aliases w:val=" Char Char Char Char Char, Char Char"/>
    <w:basedOn w:val="DefaultParagraphFont"/>
    <w:link w:val="FootnoteText"/>
    <w:uiPriority w:val="99"/>
    <w:rsid w:val="004857F5"/>
    <w:rPr>
      <w:sz w:val="20"/>
      <w:szCs w:val="20"/>
    </w:rPr>
  </w:style>
  <w:style w:type="character" w:styleId="FootnoteReference">
    <w:name w:val="footnote reference"/>
    <w:basedOn w:val="DefaultParagraphFont"/>
    <w:uiPriority w:val="99"/>
    <w:unhideWhenUsed/>
    <w:qFormat/>
    <w:rsid w:val="00B5201A"/>
    <w:rPr>
      <w:vertAlign w:val="superscript"/>
    </w:rPr>
  </w:style>
  <w:style w:type="paragraph" w:customStyle="1" w:styleId="FootnoteQuote">
    <w:name w:val="Footnote Quote"/>
    <w:basedOn w:val="Quote"/>
    <w:uiPriority w:val="31"/>
    <w:rsid w:val="0099556B"/>
    <w:pPr>
      <w:spacing w:after="120"/>
    </w:pPr>
    <w:rPr>
      <w:sz w:val="20"/>
    </w:rPr>
  </w:style>
  <w:style w:type="paragraph" w:styleId="Header">
    <w:name w:val="header"/>
    <w:basedOn w:val="BaseText"/>
    <w:link w:val="HeaderChar"/>
    <w:uiPriority w:val="99"/>
    <w:unhideWhenUsed/>
    <w:rsid w:val="00EE6ADD"/>
    <w:pPr>
      <w:spacing w:after="0" w:line="20" w:lineRule="exact"/>
      <w:jc w:val="right"/>
    </w:pPr>
    <w:rPr>
      <w:color w:val="777877" w:themeColor="accent2"/>
      <w:sz w:val="8"/>
      <w:szCs w:val="24"/>
    </w:rPr>
  </w:style>
  <w:style w:type="character" w:customStyle="1" w:styleId="HeaderChar">
    <w:name w:val="Header Char"/>
    <w:basedOn w:val="DefaultParagraphFont"/>
    <w:link w:val="Header"/>
    <w:uiPriority w:val="99"/>
    <w:rsid w:val="00EE6ADD"/>
    <w:rPr>
      <w:color w:val="777877" w:themeColor="accent2"/>
      <w:sz w:val="8"/>
      <w:szCs w:val="24"/>
    </w:rPr>
  </w:style>
  <w:style w:type="paragraph" w:styleId="Footer">
    <w:name w:val="footer"/>
    <w:basedOn w:val="BaseText"/>
    <w:link w:val="FooterChar"/>
    <w:uiPriority w:val="99"/>
    <w:unhideWhenUsed/>
    <w:rsid w:val="00CF050B"/>
    <w:pPr>
      <w:spacing w:after="0" w:line="240" w:lineRule="auto"/>
    </w:pPr>
    <w:rPr>
      <w:color w:val="777877" w:themeColor="accent2"/>
      <w:spacing w:val="-2"/>
      <w:sz w:val="14"/>
    </w:rPr>
  </w:style>
  <w:style w:type="character" w:customStyle="1" w:styleId="FooterChar">
    <w:name w:val="Footer Char"/>
    <w:basedOn w:val="DefaultParagraphFont"/>
    <w:link w:val="Footer"/>
    <w:uiPriority w:val="99"/>
    <w:rsid w:val="00CF050B"/>
    <w:rPr>
      <w:color w:val="777877" w:themeColor="accent2"/>
      <w:spacing w:val="-2"/>
      <w:sz w:val="14"/>
    </w:rPr>
  </w:style>
  <w:style w:type="table" w:styleId="TableGrid">
    <w:name w:val="Table Grid"/>
    <w:basedOn w:val="TableNormal"/>
    <w:uiPriority w:val="59"/>
    <w:rsid w:val="0066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198"/>
    <w:rPr>
      <w:color w:val="0000FF" w:themeColor="hyperlink"/>
      <w:u w:val="single"/>
    </w:rPr>
  </w:style>
  <w:style w:type="character" w:styleId="PageNumber">
    <w:name w:val="page number"/>
    <w:uiPriority w:val="99"/>
    <w:rsid w:val="00A43016"/>
    <w:rPr>
      <w:spacing w:val="0"/>
      <w:sz w:val="20"/>
    </w:rPr>
  </w:style>
  <w:style w:type="paragraph" w:styleId="BalloonText">
    <w:name w:val="Balloon Text"/>
    <w:basedOn w:val="Normal"/>
    <w:link w:val="BalloonTextChar"/>
    <w:uiPriority w:val="99"/>
    <w:semiHidden/>
    <w:unhideWhenUsed/>
    <w:rsid w:val="00BF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96"/>
    <w:rPr>
      <w:rFonts w:ascii="Tahoma" w:hAnsi="Tahoma" w:cs="Tahoma"/>
      <w:sz w:val="16"/>
      <w:szCs w:val="16"/>
    </w:rPr>
  </w:style>
  <w:style w:type="paragraph" w:customStyle="1" w:styleId="MemoHeaderText">
    <w:name w:val="Memo Header Text"/>
    <w:basedOn w:val="BodyText"/>
    <w:rsid w:val="0059609E"/>
    <w:pPr>
      <w:spacing w:before="100" w:after="100"/>
      <w:jc w:val="left"/>
    </w:pPr>
  </w:style>
  <w:style w:type="paragraph" w:customStyle="1" w:styleId="MemoTitle">
    <w:name w:val="Memo Title"/>
    <w:basedOn w:val="BaseText"/>
    <w:rsid w:val="006F2ED0"/>
    <w:pPr>
      <w:spacing w:after="0" w:line="240" w:lineRule="auto"/>
      <w:jc w:val="right"/>
    </w:pPr>
    <w:rPr>
      <w:b/>
      <w:caps/>
      <w:color w:val="000000" w:themeColor="text1"/>
    </w:rPr>
  </w:style>
  <w:style w:type="paragraph" w:customStyle="1" w:styleId="MemoDisclaimer">
    <w:name w:val="Memo Disclaimer"/>
    <w:basedOn w:val="BaseText"/>
    <w:rsid w:val="00EE6ADD"/>
    <w:pPr>
      <w:spacing w:after="0" w:line="240" w:lineRule="auto"/>
    </w:pPr>
    <w:rPr>
      <w:rFonts w:cs="Times New Roman"/>
      <w:color w:val="777877" w:themeColor="accent2"/>
      <w:spacing w:val="-2"/>
      <w:sz w:val="14"/>
    </w:rPr>
  </w:style>
  <w:style w:type="paragraph" w:customStyle="1" w:styleId="NumberedParagraph">
    <w:name w:val="Numbered Paragraph"/>
    <w:basedOn w:val="Normal"/>
    <w:rsid w:val="00D1710C"/>
    <w:pPr>
      <w:widowControl w:val="0"/>
      <w:ind w:left="716" w:hanging="432"/>
      <w:jc w:val="both"/>
    </w:pPr>
    <w:rPr>
      <w:rFonts w:ascii="Times New Roman" w:eastAsiaTheme="minorEastAsia" w:hAnsi="Times New Roman"/>
      <w:sz w:val="21"/>
      <w:szCs w:val="24"/>
    </w:rPr>
  </w:style>
  <w:style w:type="paragraph" w:styleId="TOCHeading">
    <w:name w:val="TOC Heading"/>
    <w:basedOn w:val="Heading1"/>
    <w:next w:val="Normal"/>
    <w:uiPriority w:val="39"/>
    <w:unhideWhenUsed/>
    <w:qFormat/>
    <w:rsid w:val="00D1710C"/>
    <w:pPr>
      <w:numPr>
        <w:numId w:val="0"/>
      </w:numPr>
      <w:spacing w:before="480" w:after="0" w:line="276" w:lineRule="auto"/>
      <w:jc w:val="left"/>
      <w:outlineLvl w:val="9"/>
    </w:pPr>
    <w:rPr>
      <w:caps w:val="0"/>
      <w:color w:val="6B6145" w:themeColor="accent1" w:themeShade="BF"/>
      <w:sz w:val="28"/>
      <w:lang w:val="en-US" w:eastAsia="ja-JP"/>
    </w:rPr>
  </w:style>
  <w:style w:type="paragraph" w:styleId="TOC2">
    <w:name w:val="toc 2"/>
    <w:basedOn w:val="Normal"/>
    <w:next w:val="Normal"/>
    <w:autoRedefine/>
    <w:uiPriority w:val="39"/>
    <w:unhideWhenUsed/>
    <w:rsid w:val="00E8113C"/>
    <w:pPr>
      <w:tabs>
        <w:tab w:val="right" w:leader="dot" w:pos="9060"/>
      </w:tabs>
      <w:spacing w:after="100"/>
      <w:ind w:left="220"/>
    </w:pPr>
  </w:style>
  <w:style w:type="paragraph" w:styleId="TOC3">
    <w:name w:val="toc 3"/>
    <w:basedOn w:val="Normal"/>
    <w:next w:val="Normal"/>
    <w:autoRedefine/>
    <w:uiPriority w:val="39"/>
    <w:unhideWhenUsed/>
    <w:rsid w:val="00D1710C"/>
    <w:pPr>
      <w:spacing w:after="100"/>
      <w:ind w:left="440"/>
    </w:pPr>
  </w:style>
  <w:style w:type="character" w:customStyle="1" w:styleId="apple-converted-space">
    <w:name w:val="apple-converted-space"/>
    <w:basedOn w:val="DefaultParagraphFont"/>
    <w:rsid w:val="00234728"/>
  </w:style>
  <w:style w:type="character" w:styleId="CommentReference">
    <w:name w:val="annotation reference"/>
    <w:basedOn w:val="DefaultParagraphFont"/>
    <w:uiPriority w:val="99"/>
    <w:unhideWhenUsed/>
    <w:rsid w:val="00385D77"/>
    <w:rPr>
      <w:sz w:val="16"/>
      <w:szCs w:val="16"/>
    </w:rPr>
  </w:style>
  <w:style w:type="paragraph" w:styleId="CommentText">
    <w:name w:val="annotation text"/>
    <w:basedOn w:val="Normal"/>
    <w:link w:val="CommentTextChar"/>
    <w:uiPriority w:val="99"/>
    <w:semiHidden/>
    <w:unhideWhenUsed/>
    <w:rsid w:val="00385D77"/>
    <w:pPr>
      <w:spacing w:line="240" w:lineRule="auto"/>
    </w:pPr>
    <w:rPr>
      <w:sz w:val="20"/>
      <w:szCs w:val="20"/>
    </w:rPr>
  </w:style>
  <w:style w:type="character" w:customStyle="1" w:styleId="CommentTextChar">
    <w:name w:val="Comment Text Char"/>
    <w:basedOn w:val="DefaultParagraphFont"/>
    <w:link w:val="CommentText"/>
    <w:uiPriority w:val="99"/>
    <w:semiHidden/>
    <w:rsid w:val="00385D77"/>
    <w:rPr>
      <w:sz w:val="20"/>
      <w:szCs w:val="20"/>
    </w:rPr>
  </w:style>
  <w:style w:type="paragraph" w:styleId="CommentSubject">
    <w:name w:val="annotation subject"/>
    <w:basedOn w:val="CommentText"/>
    <w:next w:val="CommentText"/>
    <w:link w:val="CommentSubjectChar"/>
    <w:uiPriority w:val="99"/>
    <w:semiHidden/>
    <w:unhideWhenUsed/>
    <w:rsid w:val="00385D77"/>
    <w:rPr>
      <w:b/>
      <w:bCs/>
    </w:rPr>
  </w:style>
  <w:style w:type="character" w:customStyle="1" w:styleId="CommentSubjectChar">
    <w:name w:val="Comment Subject Char"/>
    <w:basedOn w:val="CommentTextChar"/>
    <w:link w:val="CommentSubject"/>
    <w:uiPriority w:val="99"/>
    <w:semiHidden/>
    <w:rsid w:val="00385D77"/>
    <w:rPr>
      <w:b/>
      <w:bCs/>
      <w:sz w:val="20"/>
      <w:szCs w:val="20"/>
    </w:rPr>
  </w:style>
  <w:style w:type="paragraph" w:styleId="NormalWeb">
    <w:name w:val="Normal (Web)"/>
    <w:basedOn w:val="Normal"/>
    <w:uiPriority w:val="99"/>
    <w:semiHidden/>
    <w:unhideWhenUsed/>
    <w:rsid w:val="00CB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CB6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8A1AB8"/>
  </w:style>
  <w:style w:type="character" w:styleId="FollowedHyperlink">
    <w:name w:val="FollowedHyperlink"/>
    <w:basedOn w:val="DefaultParagraphFont"/>
    <w:uiPriority w:val="99"/>
    <w:semiHidden/>
    <w:unhideWhenUsed/>
    <w:rsid w:val="0025330E"/>
    <w:rPr>
      <w:color w:val="800080" w:themeColor="followedHyperlink"/>
      <w:u w:val="single"/>
    </w:rPr>
  </w:style>
  <w:style w:type="paragraph" w:customStyle="1" w:styleId="SingleTxtG">
    <w:name w:val="_ Single Txt_G"/>
    <w:basedOn w:val="Normal"/>
    <w:link w:val="SingleTxtGCar"/>
    <w:rsid w:val="00A446B0"/>
    <w:pPr>
      <w:suppressAutoHyphens/>
      <w:spacing w:after="120" w:line="240" w:lineRule="atLeast"/>
      <w:ind w:left="1134" w:right="1134"/>
      <w:jc w:val="both"/>
    </w:pPr>
    <w:rPr>
      <w:rFonts w:ascii="Times New Roman" w:eastAsia="Times New Roman" w:hAnsi="Times New Roman" w:cs="Times New Roman"/>
      <w:sz w:val="20"/>
      <w:szCs w:val="20"/>
      <w:lang w:val="en-US"/>
    </w:rPr>
  </w:style>
  <w:style w:type="character" w:customStyle="1" w:styleId="SingleTxtGCar">
    <w:name w:val="_ Single Txt_G Car"/>
    <w:link w:val="SingleTxtG"/>
    <w:rsid w:val="00A446B0"/>
    <w:rPr>
      <w:rFonts w:ascii="Times New Roman" w:eastAsia="Times New Roman" w:hAnsi="Times New Roman" w:cs="Times New Roman"/>
      <w:sz w:val="20"/>
      <w:szCs w:val="20"/>
      <w:lang w:val="en-US"/>
    </w:rPr>
  </w:style>
  <w:style w:type="paragraph" w:customStyle="1" w:styleId="Default">
    <w:name w:val="Default"/>
    <w:rsid w:val="00FF798C"/>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BB4BD9"/>
    <w:pPr>
      <w:tabs>
        <w:tab w:val="left" w:pos="356"/>
        <w:tab w:val="right" w:leader="dot" w:pos="9060"/>
      </w:tabs>
      <w:spacing w:after="100"/>
    </w:pPr>
  </w:style>
  <w:style w:type="paragraph" w:customStyle="1" w:styleId="indent11">
    <w:name w:val="indent11"/>
    <w:basedOn w:val="Normal"/>
    <w:rsid w:val="00E94324"/>
    <w:pPr>
      <w:spacing w:after="0"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9D0ADD"/>
    <w:rPr>
      <w:color w:val="808080"/>
      <w:shd w:val="clear" w:color="auto" w:fill="E6E6E6"/>
    </w:rPr>
  </w:style>
  <w:style w:type="character" w:customStyle="1" w:styleId="starpage1">
    <w:name w:val="starpage1"/>
    <w:basedOn w:val="DefaultParagraphFont"/>
    <w:rsid w:val="00593FBC"/>
    <w:rPr>
      <w:b/>
      <w:bCs/>
      <w:i/>
      <w:iCs/>
      <w:color w:val="66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765">
      <w:bodyDiv w:val="1"/>
      <w:marLeft w:val="0"/>
      <w:marRight w:val="0"/>
      <w:marTop w:val="0"/>
      <w:marBottom w:val="0"/>
      <w:divBdr>
        <w:top w:val="none" w:sz="0" w:space="0" w:color="auto"/>
        <w:left w:val="none" w:sz="0" w:space="0" w:color="auto"/>
        <w:bottom w:val="none" w:sz="0" w:space="0" w:color="auto"/>
        <w:right w:val="none" w:sz="0" w:space="0" w:color="auto"/>
      </w:divBdr>
    </w:div>
    <w:div w:id="59180735">
      <w:bodyDiv w:val="1"/>
      <w:marLeft w:val="0"/>
      <w:marRight w:val="0"/>
      <w:marTop w:val="0"/>
      <w:marBottom w:val="0"/>
      <w:divBdr>
        <w:top w:val="none" w:sz="0" w:space="0" w:color="auto"/>
        <w:left w:val="none" w:sz="0" w:space="0" w:color="auto"/>
        <w:bottom w:val="none" w:sz="0" w:space="0" w:color="auto"/>
        <w:right w:val="none" w:sz="0" w:space="0" w:color="auto"/>
      </w:divBdr>
      <w:divsChild>
        <w:div w:id="587614947">
          <w:marLeft w:val="0"/>
          <w:marRight w:val="0"/>
          <w:marTop w:val="0"/>
          <w:marBottom w:val="0"/>
          <w:divBdr>
            <w:top w:val="none" w:sz="0" w:space="0" w:color="auto"/>
            <w:left w:val="none" w:sz="0" w:space="0" w:color="auto"/>
            <w:bottom w:val="none" w:sz="0" w:space="0" w:color="auto"/>
            <w:right w:val="none" w:sz="0" w:space="0" w:color="auto"/>
          </w:divBdr>
          <w:divsChild>
            <w:div w:id="192574546">
              <w:marLeft w:val="-300"/>
              <w:marRight w:val="0"/>
              <w:marTop w:val="150"/>
              <w:marBottom w:val="0"/>
              <w:divBdr>
                <w:top w:val="none" w:sz="0" w:space="0" w:color="auto"/>
                <w:left w:val="none" w:sz="0" w:space="0" w:color="auto"/>
                <w:bottom w:val="none" w:sz="0" w:space="0" w:color="auto"/>
                <w:right w:val="none" w:sz="0" w:space="0" w:color="auto"/>
              </w:divBdr>
              <w:divsChild>
                <w:div w:id="468089131">
                  <w:marLeft w:val="0"/>
                  <w:marRight w:val="0"/>
                  <w:marTop w:val="0"/>
                  <w:marBottom w:val="0"/>
                  <w:divBdr>
                    <w:top w:val="none" w:sz="0" w:space="0" w:color="auto"/>
                    <w:left w:val="none" w:sz="0" w:space="0" w:color="auto"/>
                    <w:bottom w:val="none" w:sz="0" w:space="0" w:color="auto"/>
                    <w:right w:val="none" w:sz="0" w:space="0" w:color="auto"/>
                  </w:divBdr>
                  <w:divsChild>
                    <w:div w:id="13030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1991">
      <w:bodyDiv w:val="1"/>
      <w:marLeft w:val="0"/>
      <w:marRight w:val="0"/>
      <w:marTop w:val="0"/>
      <w:marBottom w:val="0"/>
      <w:divBdr>
        <w:top w:val="none" w:sz="0" w:space="0" w:color="auto"/>
        <w:left w:val="none" w:sz="0" w:space="0" w:color="auto"/>
        <w:bottom w:val="none" w:sz="0" w:space="0" w:color="auto"/>
        <w:right w:val="none" w:sz="0" w:space="0" w:color="auto"/>
      </w:divBdr>
    </w:div>
    <w:div w:id="99642258">
      <w:bodyDiv w:val="1"/>
      <w:marLeft w:val="0"/>
      <w:marRight w:val="0"/>
      <w:marTop w:val="0"/>
      <w:marBottom w:val="0"/>
      <w:divBdr>
        <w:top w:val="none" w:sz="0" w:space="0" w:color="auto"/>
        <w:left w:val="none" w:sz="0" w:space="0" w:color="auto"/>
        <w:bottom w:val="none" w:sz="0" w:space="0" w:color="auto"/>
        <w:right w:val="none" w:sz="0" w:space="0" w:color="auto"/>
      </w:divBdr>
    </w:div>
    <w:div w:id="103234805">
      <w:bodyDiv w:val="1"/>
      <w:marLeft w:val="0"/>
      <w:marRight w:val="0"/>
      <w:marTop w:val="0"/>
      <w:marBottom w:val="0"/>
      <w:divBdr>
        <w:top w:val="none" w:sz="0" w:space="0" w:color="auto"/>
        <w:left w:val="none" w:sz="0" w:space="0" w:color="auto"/>
        <w:bottom w:val="none" w:sz="0" w:space="0" w:color="auto"/>
        <w:right w:val="none" w:sz="0" w:space="0" w:color="auto"/>
      </w:divBdr>
    </w:div>
    <w:div w:id="254480137">
      <w:bodyDiv w:val="1"/>
      <w:marLeft w:val="0"/>
      <w:marRight w:val="0"/>
      <w:marTop w:val="0"/>
      <w:marBottom w:val="0"/>
      <w:divBdr>
        <w:top w:val="none" w:sz="0" w:space="0" w:color="auto"/>
        <w:left w:val="none" w:sz="0" w:space="0" w:color="auto"/>
        <w:bottom w:val="none" w:sz="0" w:space="0" w:color="auto"/>
        <w:right w:val="none" w:sz="0" w:space="0" w:color="auto"/>
      </w:divBdr>
    </w:div>
    <w:div w:id="271742914">
      <w:bodyDiv w:val="1"/>
      <w:marLeft w:val="0"/>
      <w:marRight w:val="0"/>
      <w:marTop w:val="0"/>
      <w:marBottom w:val="0"/>
      <w:divBdr>
        <w:top w:val="none" w:sz="0" w:space="0" w:color="auto"/>
        <w:left w:val="none" w:sz="0" w:space="0" w:color="auto"/>
        <w:bottom w:val="none" w:sz="0" w:space="0" w:color="auto"/>
        <w:right w:val="none" w:sz="0" w:space="0" w:color="auto"/>
      </w:divBdr>
    </w:div>
    <w:div w:id="319235892">
      <w:bodyDiv w:val="1"/>
      <w:marLeft w:val="0"/>
      <w:marRight w:val="0"/>
      <w:marTop w:val="0"/>
      <w:marBottom w:val="0"/>
      <w:divBdr>
        <w:top w:val="none" w:sz="0" w:space="0" w:color="auto"/>
        <w:left w:val="none" w:sz="0" w:space="0" w:color="auto"/>
        <w:bottom w:val="none" w:sz="0" w:space="0" w:color="auto"/>
        <w:right w:val="none" w:sz="0" w:space="0" w:color="auto"/>
      </w:divBdr>
      <w:divsChild>
        <w:div w:id="1319310561">
          <w:marLeft w:val="0"/>
          <w:marRight w:val="0"/>
          <w:marTop w:val="0"/>
          <w:marBottom w:val="0"/>
          <w:divBdr>
            <w:top w:val="none" w:sz="0" w:space="0" w:color="auto"/>
            <w:left w:val="none" w:sz="0" w:space="0" w:color="auto"/>
            <w:bottom w:val="none" w:sz="0" w:space="0" w:color="auto"/>
            <w:right w:val="none" w:sz="0" w:space="0" w:color="auto"/>
          </w:divBdr>
          <w:divsChild>
            <w:div w:id="1355614284">
              <w:marLeft w:val="0"/>
              <w:marRight w:val="0"/>
              <w:marTop w:val="0"/>
              <w:marBottom w:val="0"/>
              <w:divBdr>
                <w:top w:val="none" w:sz="0" w:space="0" w:color="auto"/>
                <w:left w:val="none" w:sz="0" w:space="0" w:color="auto"/>
                <w:bottom w:val="none" w:sz="0" w:space="0" w:color="auto"/>
                <w:right w:val="none" w:sz="0" w:space="0" w:color="auto"/>
              </w:divBdr>
              <w:divsChild>
                <w:div w:id="772479547">
                  <w:marLeft w:val="0"/>
                  <w:marRight w:val="0"/>
                  <w:marTop w:val="0"/>
                  <w:marBottom w:val="0"/>
                  <w:divBdr>
                    <w:top w:val="none" w:sz="0" w:space="0" w:color="auto"/>
                    <w:left w:val="none" w:sz="0" w:space="0" w:color="auto"/>
                    <w:bottom w:val="none" w:sz="0" w:space="0" w:color="auto"/>
                    <w:right w:val="none" w:sz="0" w:space="0" w:color="auto"/>
                  </w:divBdr>
                  <w:divsChild>
                    <w:div w:id="986669925">
                      <w:marLeft w:val="0"/>
                      <w:marRight w:val="0"/>
                      <w:marTop w:val="0"/>
                      <w:marBottom w:val="0"/>
                      <w:divBdr>
                        <w:top w:val="none" w:sz="0" w:space="0" w:color="auto"/>
                        <w:left w:val="none" w:sz="0" w:space="0" w:color="auto"/>
                        <w:bottom w:val="none" w:sz="0" w:space="0" w:color="auto"/>
                        <w:right w:val="none" w:sz="0" w:space="0" w:color="auto"/>
                      </w:divBdr>
                      <w:divsChild>
                        <w:div w:id="1314018001">
                          <w:marLeft w:val="0"/>
                          <w:marRight w:val="0"/>
                          <w:marTop w:val="0"/>
                          <w:marBottom w:val="300"/>
                          <w:divBdr>
                            <w:top w:val="none" w:sz="0" w:space="0" w:color="auto"/>
                            <w:left w:val="none" w:sz="0" w:space="0" w:color="auto"/>
                            <w:bottom w:val="none" w:sz="0" w:space="0" w:color="auto"/>
                            <w:right w:val="none" w:sz="0" w:space="0" w:color="auto"/>
                          </w:divBdr>
                          <w:divsChild>
                            <w:div w:id="664893747">
                              <w:marLeft w:val="0"/>
                              <w:marRight w:val="0"/>
                              <w:marTop w:val="0"/>
                              <w:marBottom w:val="0"/>
                              <w:divBdr>
                                <w:top w:val="none" w:sz="0" w:space="0" w:color="auto"/>
                                <w:left w:val="none" w:sz="0" w:space="0" w:color="auto"/>
                                <w:bottom w:val="none" w:sz="0" w:space="0" w:color="auto"/>
                                <w:right w:val="none" w:sz="0" w:space="0" w:color="auto"/>
                              </w:divBdr>
                              <w:divsChild>
                                <w:div w:id="899025405">
                                  <w:marLeft w:val="0"/>
                                  <w:marRight w:val="0"/>
                                  <w:marTop w:val="0"/>
                                  <w:marBottom w:val="0"/>
                                  <w:divBdr>
                                    <w:top w:val="none" w:sz="0" w:space="0" w:color="auto"/>
                                    <w:left w:val="none" w:sz="0" w:space="0" w:color="auto"/>
                                    <w:bottom w:val="none" w:sz="0" w:space="0" w:color="auto"/>
                                    <w:right w:val="none" w:sz="0" w:space="0" w:color="auto"/>
                                  </w:divBdr>
                                  <w:divsChild>
                                    <w:div w:id="262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4700">
      <w:bodyDiv w:val="1"/>
      <w:marLeft w:val="0"/>
      <w:marRight w:val="0"/>
      <w:marTop w:val="0"/>
      <w:marBottom w:val="0"/>
      <w:divBdr>
        <w:top w:val="none" w:sz="0" w:space="0" w:color="auto"/>
        <w:left w:val="none" w:sz="0" w:space="0" w:color="auto"/>
        <w:bottom w:val="none" w:sz="0" w:space="0" w:color="auto"/>
        <w:right w:val="none" w:sz="0" w:space="0" w:color="auto"/>
      </w:divBdr>
    </w:div>
    <w:div w:id="376662327">
      <w:bodyDiv w:val="1"/>
      <w:marLeft w:val="0"/>
      <w:marRight w:val="0"/>
      <w:marTop w:val="0"/>
      <w:marBottom w:val="0"/>
      <w:divBdr>
        <w:top w:val="none" w:sz="0" w:space="0" w:color="auto"/>
        <w:left w:val="none" w:sz="0" w:space="0" w:color="auto"/>
        <w:bottom w:val="none" w:sz="0" w:space="0" w:color="auto"/>
        <w:right w:val="none" w:sz="0" w:space="0" w:color="auto"/>
      </w:divBdr>
    </w:div>
    <w:div w:id="386995942">
      <w:bodyDiv w:val="1"/>
      <w:marLeft w:val="0"/>
      <w:marRight w:val="0"/>
      <w:marTop w:val="0"/>
      <w:marBottom w:val="0"/>
      <w:divBdr>
        <w:top w:val="none" w:sz="0" w:space="0" w:color="auto"/>
        <w:left w:val="none" w:sz="0" w:space="0" w:color="auto"/>
        <w:bottom w:val="none" w:sz="0" w:space="0" w:color="auto"/>
        <w:right w:val="none" w:sz="0" w:space="0" w:color="auto"/>
      </w:divBdr>
    </w:div>
    <w:div w:id="420370255">
      <w:bodyDiv w:val="1"/>
      <w:marLeft w:val="0"/>
      <w:marRight w:val="0"/>
      <w:marTop w:val="0"/>
      <w:marBottom w:val="0"/>
      <w:divBdr>
        <w:top w:val="none" w:sz="0" w:space="0" w:color="auto"/>
        <w:left w:val="none" w:sz="0" w:space="0" w:color="auto"/>
        <w:bottom w:val="none" w:sz="0" w:space="0" w:color="auto"/>
        <w:right w:val="none" w:sz="0" w:space="0" w:color="auto"/>
      </w:divBdr>
    </w:div>
    <w:div w:id="446703730">
      <w:bodyDiv w:val="1"/>
      <w:marLeft w:val="0"/>
      <w:marRight w:val="0"/>
      <w:marTop w:val="0"/>
      <w:marBottom w:val="0"/>
      <w:divBdr>
        <w:top w:val="none" w:sz="0" w:space="0" w:color="auto"/>
        <w:left w:val="none" w:sz="0" w:space="0" w:color="auto"/>
        <w:bottom w:val="none" w:sz="0" w:space="0" w:color="auto"/>
        <w:right w:val="none" w:sz="0" w:space="0" w:color="auto"/>
      </w:divBdr>
    </w:div>
    <w:div w:id="458454153">
      <w:bodyDiv w:val="1"/>
      <w:marLeft w:val="0"/>
      <w:marRight w:val="0"/>
      <w:marTop w:val="0"/>
      <w:marBottom w:val="0"/>
      <w:divBdr>
        <w:top w:val="none" w:sz="0" w:space="0" w:color="auto"/>
        <w:left w:val="none" w:sz="0" w:space="0" w:color="auto"/>
        <w:bottom w:val="none" w:sz="0" w:space="0" w:color="auto"/>
        <w:right w:val="none" w:sz="0" w:space="0" w:color="auto"/>
      </w:divBdr>
      <w:divsChild>
        <w:div w:id="42676168">
          <w:marLeft w:val="0"/>
          <w:marRight w:val="0"/>
          <w:marTop w:val="0"/>
          <w:marBottom w:val="0"/>
          <w:divBdr>
            <w:top w:val="none" w:sz="0" w:space="0" w:color="auto"/>
            <w:left w:val="none" w:sz="0" w:space="0" w:color="auto"/>
            <w:bottom w:val="none" w:sz="0" w:space="0" w:color="auto"/>
            <w:right w:val="none" w:sz="0" w:space="0" w:color="auto"/>
          </w:divBdr>
          <w:divsChild>
            <w:div w:id="1894149798">
              <w:marLeft w:val="0"/>
              <w:marRight w:val="0"/>
              <w:marTop w:val="0"/>
              <w:marBottom w:val="0"/>
              <w:divBdr>
                <w:top w:val="none" w:sz="0" w:space="0" w:color="auto"/>
                <w:left w:val="none" w:sz="0" w:space="0" w:color="auto"/>
                <w:bottom w:val="none" w:sz="0" w:space="0" w:color="auto"/>
                <w:right w:val="none" w:sz="0" w:space="0" w:color="auto"/>
              </w:divBdr>
              <w:divsChild>
                <w:div w:id="1905918238">
                  <w:marLeft w:val="0"/>
                  <w:marRight w:val="0"/>
                  <w:marTop w:val="0"/>
                  <w:marBottom w:val="0"/>
                  <w:divBdr>
                    <w:top w:val="none" w:sz="0" w:space="0" w:color="auto"/>
                    <w:left w:val="none" w:sz="0" w:space="0" w:color="auto"/>
                    <w:bottom w:val="none" w:sz="0" w:space="0" w:color="auto"/>
                    <w:right w:val="none" w:sz="0" w:space="0" w:color="auto"/>
                  </w:divBdr>
                  <w:divsChild>
                    <w:div w:id="1323460551">
                      <w:marLeft w:val="0"/>
                      <w:marRight w:val="0"/>
                      <w:marTop w:val="0"/>
                      <w:marBottom w:val="0"/>
                      <w:divBdr>
                        <w:top w:val="none" w:sz="0" w:space="0" w:color="auto"/>
                        <w:left w:val="none" w:sz="0" w:space="0" w:color="auto"/>
                        <w:bottom w:val="none" w:sz="0" w:space="0" w:color="auto"/>
                        <w:right w:val="none" w:sz="0" w:space="0" w:color="auto"/>
                      </w:divBdr>
                      <w:divsChild>
                        <w:div w:id="721056748">
                          <w:marLeft w:val="0"/>
                          <w:marRight w:val="0"/>
                          <w:marTop w:val="0"/>
                          <w:marBottom w:val="0"/>
                          <w:divBdr>
                            <w:top w:val="none" w:sz="0" w:space="0" w:color="auto"/>
                            <w:left w:val="none" w:sz="0" w:space="0" w:color="auto"/>
                            <w:bottom w:val="none" w:sz="0" w:space="0" w:color="auto"/>
                            <w:right w:val="none" w:sz="0" w:space="0" w:color="auto"/>
                          </w:divBdr>
                          <w:divsChild>
                            <w:div w:id="812335787">
                              <w:marLeft w:val="0"/>
                              <w:marRight w:val="0"/>
                              <w:marTop w:val="0"/>
                              <w:marBottom w:val="0"/>
                              <w:divBdr>
                                <w:top w:val="none" w:sz="0" w:space="0" w:color="auto"/>
                                <w:left w:val="none" w:sz="0" w:space="0" w:color="auto"/>
                                <w:bottom w:val="none" w:sz="0" w:space="0" w:color="auto"/>
                                <w:right w:val="none" w:sz="0" w:space="0" w:color="auto"/>
                              </w:divBdr>
                              <w:divsChild>
                                <w:div w:id="1410345798">
                                  <w:marLeft w:val="0"/>
                                  <w:marRight w:val="0"/>
                                  <w:marTop w:val="0"/>
                                  <w:marBottom w:val="0"/>
                                  <w:divBdr>
                                    <w:top w:val="none" w:sz="0" w:space="0" w:color="auto"/>
                                    <w:left w:val="none" w:sz="0" w:space="0" w:color="auto"/>
                                    <w:bottom w:val="none" w:sz="0" w:space="0" w:color="auto"/>
                                    <w:right w:val="none" w:sz="0" w:space="0" w:color="auto"/>
                                  </w:divBdr>
                                </w:div>
                              </w:divsChild>
                            </w:div>
                            <w:div w:id="14013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92702">
      <w:bodyDiv w:val="1"/>
      <w:marLeft w:val="0"/>
      <w:marRight w:val="0"/>
      <w:marTop w:val="0"/>
      <w:marBottom w:val="0"/>
      <w:divBdr>
        <w:top w:val="none" w:sz="0" w:space="0" w:color="auto"/>
        <w:left w:val="none" w:sz="0" w:space="0" w:color="auto"/>
        <w:bottom w:val="none" w:sz="0" w:space="0" w:color="auto"/>
        <w:right w:val="none" w:sz="0" w:space="0" w:color="auto"/>
      </w:divBdr>
      <w:divsChild>
        <w:div w:id="390620718">
          <w:marLeft w:val="547"/>
          <w:marRight w:val="0"/>
          <w:marTop w:val="96"/>
          <w:marBottom w:val="0"/>
          <w:divBdr>
            <w:top w:val="none" w:sz="0" w:space="0" w:color="auto"/>
            <w:left w:val="none" w:sz="0" w:space="0" w:color="auto"/>
            <w:bottom w:val="none" w:sz="0" w:space="0" w:color="auto"/>
            <w:right w:val="none" w:sz="0" w:space="0" w:color="auto"/>
          </w:divBdr>
        </w:div>
        <w:div w:id="872812105">
          <w:marLeft w:val="547"/>
          <w:marRight w:val="0"/>
          <w:marTop w:val="96"/>
          <w:marBottom w:val="0"/>
          <w:divBdr>
            <w:top w:val="none" w:sz="0" w:space="0" w:color="auto"/>
            <w:left w:val="none" w:sz="0" w:space="0" w:color="auto"/>
            <w:bottom w:val="none" w:sz="0" w:space="0" w:color="auto"/>
            <w:right w:val="none" w:sz="0" w:space="0" w:color="auto"/>
          </w:divBdr>
        </w:div>
      </w:divsChild>
    </w:div>
    <w:div w:id="507334116">
      <w:bodyDiv w:val="1"/>
      <w:marLeft w:val="0"/>
      <w:marRight w:val="0"/>
      <w:marTop w:val="0"/>
      <w:marBottom w:val="0"/>
      <w:divBdr>
        <w:top w:val="none" w:sz="0" w:space="0" w:color="auto"/>
        <w:left w:val="none" w:sz="0" w:space="0" w:color="auto"/>
        <w:bottom w:val="none" w:sz="0" w:space="0" w:color="auto"/>
        <w:right w:val="none" w:sz="0" w:space="0" w:color="auto"/>
      </w:divBdr>
    </w:div>
    <w:div w:id="508759415">
      <w:bodyDiv w:val="1"/>
      <w:marLeft w:val="0"/>
      <w:marRight w:val="0"/>
      <w:marTop w:val="0"/>
      <w:marBottom w:val="0"/>
      <w:divBdr>
        <w:top w:val="none" w:sz="0" w:space="0" w:color="auto"/>
        <w:left w:val="none" w:sz="0" w:space="0" w:color="auto"/>
        <w:bottom w:val="none" w:sz="0" w:space="0" w:color="auto"/>
        <w:right w:val="none" w:sz="0" w:space="0" w:color="auto"/>
      </w:divBdr>
    </w:div>
    <w:div w:id="634456154">
      <w:bodyDiv w:val="1"/>
      <w:marLeft w:val="375"/>
      <w:marRight w:val="375"/>
      <w:marTop w:val="75"/>
      <w:marBottom w:val="75"/>
      <w:divBdr>
        <w:top w:val="none" w:sz="0" w:space="0" w:color="auto"/>
        <w:left w:val="none" w:sz="0" w:space="0" w:color="auto"/>
        <w:bottom w:val="none" w:sz="0" w:space="0" w:color="auto"/>
        <w:right w:val="none" w:sz="0" w:space="0" w:color="auto"/>
      </w:divBdr>
      <w:divsChild>
        <w:div w:id="1503810377">
          <w:marLeft w:val="0"/>
          <w:marRight w:val="0"/>
          <w:marTop w:val="0"/>
          <w:marBottom w:val="0"/>
          <w:divBdr>
            <w:top w:val="none" w:sz="0" w:space="0" w:color="auto"/>
            <w:left w:val="none" w:sz="0" w:space="0" w:color="auto"/>
            <w:bottom w:val="none" w:sz="0" w:space="0" w:color="auto"/>
            <w:right w:val="none" w:sz="0" w:space="0" w:color="auto"/>
          </w:divBdr>
          <w:divsChild>
            <w:div w:id="556821253">
              <w:marLeft w:val="0"/>
              <w:marRight w:val="0"/>
              <w:marTop w:val="0"/>
              <w:marBottom w:val="0"/>
              <w:divBdr>
                <w:top w:val="none" w:sz="0" w:space="0" w:color="auto"/>
                <w:left w:val="none" w:sz="0" w:space="0" w:color="auto"/>
                <w:bottom w:val="none" w:sz="0" w:space="0" w:color="auto"/>
                <w:right w:val="none" w:sz="0" w:space="0" w:color="auto"/>
              </w:divBdr>
              <w:divsChild>
                <w:div w:id="1528762113">
                  <w:marLeft w:val="0"/>
                  <w:marRight w:val="0"/>
                  <w:marTop w:val="0"/>
                  <w:marBottom w:val="0"/>
                  <w:divBdr>
                    <w:top w:val="none" w:sz="0" w:space="0" w:color="auto"/>
                    <w:left w:val="none" w:sz="0" w:space="0" w:color="auto"/>
                    <w:bottom w:val="none" w:sz="0" w:space="0" w:color="auto"/>
                    <w:right w:val="none" w:sz="0" w:space="0" w:color="auto"/>
                  </w:divBdr>
                  <w:divsChild>
                    <w:div w:id="7246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2566794">
      <w:bodyDiv w:val="1"/>
      <w:marLeft w:val="0"/>
      <w:marRight w:val="0"/>
      <w:marTop w:val="0"/>
      <w:marBottom w:val="0"/>
      <w:divBdr>
        <w:top w:val="none" w:sz="0" w:space="0" w:color="auto"/>
        <w:left w:val="none" w:sz="0" w:space="0" w:color="auto"/>
        <w:bottom w:val="none" w:sz="0" w:space="0" w:color="auto"/>
        <w:right w:val="none" w:sz="0" w:space="0" w:color="auto"/>
      </w:divBdr>
      <w:divsChild>
        <w:div w:id="434831684">
          <w:marLeft w:val="0"/>
          <w:marRight w:val="0"/>
          <w:marTop w:val="0"/>
          <w:marBottom w:val="0"/>
          <w:divBdr>
            <w:top w:val="none" w:sz="0" w:space="0" w:color="auto"/>
            <w:left w:val="none" w:sz="0" w:space="0" w:color="auto"/>
            <w:bottom w:val="none" w:sz="0" w:space="0" w:color="auto"/>
            <w:right w:val="none" w:sz="0" w:space="0" w:color="auto"/>
          </w:divBdr>
          <w:divsChild>
            <w:div w:id="1524898131">
              <w:marLeft w:val="0"/>
              <w:marRight w:val="0"/>
              <w:marTop w:val="0"/>
              <w:marBottom w:val="0"/>
              <w:divBdr>
                <w:top w:val="none" w:sz="0" w:space="0" w:color="auto"/>
                <w:left w:val="none" w:sz="0" w:space="0" w:color="auto"/>
                <w:bottom w:val="none" w:sz="0" w:space="0" w:color="auto"/>
                <w:right w:val="none" w:sz="0" w:space="0" w:color="auto"/>
              </w:divBdr>
              <w:divsChild>
                <w:div w:id="888304997">
                  <w:marLeft w:val="0"/>
                  <w:marRight w:val="0"/>
                  <w:marTop w:val="0"/>
                  <w:marBottom w:val="0"/>
                  <w:divBdr>
                    <w:top w:val="none" w:sz="0" w:space="0" w:color="auto"/>
                    <w:left w:val="none" w:sz="0" w:space="0" w:color="auto"/>
                    <w:bottom w:val="none" w:sz="0" w:space="0" w:color="auto"/>
                    <w:right w:val="none" w:sz="0" w:space="0" w:color="auto"/>
                  </w:divBdr>
                  <w:divsChild>
                    <w:div w:id="2003197616">
                      <w:marLeft w:val="0"/>
                      <w:marRight w:val="0"/>
                      <w:marTop w:val="0"/>
                      <w:marBottom w:val="0"/>
                      <w:divBdr>
                        <w:top w:val="none" w:sz="0" w:space="0" w:color="auto"/>
                        <w:left w:val="none" w:sz="0" w:space="0" w:color="auto"/>
                        <w:bottom w:val="none" w:sz="0" w:space="0" w:color="auto"/>
                        <w:right w:val="none" w:sz="0" w:space="0" w:color="auto"/>
                      </w:divBdr>
                      <w:divsChild>
                        <w:div w:id="1825704000">
                          <w:marLeft w:val="0"/>
                          <w:marRight w:val="0"/>
                          <w:marTop w:val="0"/>
                          <w:marBottom w:val="0"/>
                          <w:divBdr>
                            <w:top w:val="none" w:sz="0" w:space="0" w:color="auto"/>
                            <w:left w:val="none" w:sz="0" w:space="0" w:color="auto"/>
                            <w:bottom w:val="none" w:sz="0" w:space="0" w:color="auto"/>
                            <w:right w:val="none" w:sz="0" w:space="0" w:color="auto"/>
                          </w:divBdr>
                          <w:divsChild>
                            <w:div w:id="167209287">
                              <w:marLeft w:val="0"/>
                              <w:marRight w:val="0"/>
                              <w:marTop w:val="0"/>
                              <w:marBottom w:val="0"/>
                              <w:divBdr>
                                <w:top w:val="none" w:sz="0" w:space="0" w:color="auto"/>
                                <w:left w:val="none" w:sz="0" w:space="0" w:color="auto"/>
                                <w:bottom w:val="none" w:sz="0" w:space="0" w:color="auto"/>
                                <w:right w:val="none" w:sz="0" w:space="0" w:color="auto"/>
                              </w:divBdr>
                              <w:divsChild>
                                <w:div w:id="992367725">
                                  <w:marLeft w:val="0"/>
                                  <w:marRight w:val="0"/>
                                  <w:marTop w:val="0"/>
                                  <w:marBottom w:val="0"/>
                                  <w:divBdr>
                                    <w:top w:val="none" w:sz="0" w:space="0" w:color="auto"/>
                                    <w:left w:val="none" w:sz="0" w:space="0" w:color="auto"/>
                                    <w:bottom w:val="none" w:sz="0" w:space="0" w:color="auto"/>
                                    <w:right w:val="none" w:sz="0" w:space="0" w:color="auto"/>
                                  </w:divBdr>
                                  <w:divsChild>
                                    <w:div w:id="1178275128">
                                      <w:marLeft w:val="0"/>
                                      <w:marRight w:val="0"/>
                                      <w:marTop w:val="0"/>
                                      <w:marBottom w:val="0"/>
                                      <w:divBdr>
                                        <w:top w:val="none" w:sz="0" w:space="0" w:color="auto"/>
                                        <w:left w:val="none" w:sz="0" w:space="0" w:color="auto"/>
                                        <w:bottom w:val="none" w:sz="0" w:space="0" w:color="auto"/>
                                        <w:right w:val="none" w:sz="0" w:space="0" w:color="auto"/>
                                      </w:divBdr>
                                      <w:divsChild>
                                        <w:div w:id="1871606163">
                                          <w:marLeft w:val="0"/>
                                          <w:marRight w:val="0"/>
                                          <w:marTop w:val="0"/>
                                          <w:marBottom w:val="0"/>
                                          <w:divBdr>
                                            <w:top w:val="none" w:sz="0" w:space="0" w:color="auto"/>
                                            <w:left w:val="none" w:sz="0" w:space="0" w:color="auto"/>
                                            <w:bottom w:val="none" w:sz="0" w:space="0" w:color="auto"/>
                                            <w:right w:val="none" w:sz="0" w:space="0" w:color="auto"/>
                                          </w:divBdr>
                                          <w:divsChild>
                                            <w:div w:id="554387821">
                                              <w:marLeft w:val="0"/>
                                              <w:marRight w:val="0"/>
                                              <w:marTop w:val="0"/>
                                              <w:marBottom w:val="0"/>
                                              <w:divBdr>
                                                <w:top w:val="none" w:sz="0" w:space="0" w:color="auto"/>
                                                <w:left w:val="none" w:sz="0" w:space="0" w:color="auto"/>
                                                <w:bottom w:val="none" w:sz="0" w:space="0" w:color="auto"/>
                                                <w:right w:val="none" w:sz="0" w:space="0" w:color="auto"/>
                                              </w:divBdr>
                                              <w:divsChild>
                                                <w:div w:id="451635452">
                                                  <w:marLeft w:val="0"/>
                                                  <w:marRight w:val="0"/>
                                                  <w:marTop w:val="0"/>
                                                  <w:marBottom w:val="0"/>
                                                  <w:divBdr>
                                                    <w:top w:val="none" w:sz="0" w:space="0" w:color="auto"/>
                                                    <w:left w:val="none" w:sz="0" w:space="0" w:color="auto"/>
                                                    <w:bottom w:val="none" w:sz="0" w:space="0" w:color="auto"/>
                                                    <w:right w:val="none" w:sz="0" w:space="0" w:color="auto"/>
                                                  </w:divBdr>
                                                  <w:divsChild>
                                                    <w:div w:id="9937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688320">
      <w:bodyDiv w:val="1"/>
      <w:marLeft w:val="0"/>
      <w:marRight w:val="0"/>
      <w:marTop w:val="0"/>
      <w:marBottom w:val="0"/>
      <w:divBdr>
        <w:top w:val="none" w:sz="0" w:space="0" w:color="auto"/>
        <w:left w:val="none" w:sz="0" w:space="0" w:color="auto"/>
        <w:bottom w:val="none" w:sz="0" w:space="0" w:color="auto"/>
        <w:right w:val="none" w:sz="0" w:space="0" w:color="auto"/>
      </w:divBdr>
    </w:div>
    <w:div w:id="809978766">
      <w:bodyDiv w:val="1"/>
      <w:marLeft w:val="0"/>
      <w:marRight w:val="0"/>
      <w:marTop w:val="0"/>
      <w:marBottom w:val="0"/>
      <w:divBdr>
        <w:top w:val="none" w:sz="0" w:space="0" w:color="auto"/>
        <w:left w:val="none" w:sz="0" w:space="0" w:color="auto"/>
        <w:bottom w:val="none" w:sz="0" w:space="0" w:color="auto"/>
        <w:right w:val="none" w:sz="0" w:space="0" w:color="auto"/>
      </w:divBdr>
    </w:div>
    <w:div w:id="837844739">
      <w:bodyDiv w:val="1"/>
      <w:marLeft w:val="0"/>
      <w:marRight w:val="0"/>
      <w:marTop w:val="0"/>
      <w:marBottom w:val="0"/>
      <w:divBdr>
        <w:top w:val="none" w:sz="0" w:space="0" w:color="auto"/>
        <w:left w:val="none" w:sz="0" w:space="0" w:color="auto"/>
        <w:bottom w:val="none" w:sz="0" w:space="0" w:color="auto"/>
        <w:right w:val="none" w:sz="0" w:space="0" w:color="auto"/>
      </w:divBdr>
    </w:div>
    <w:div w:id="881868302">
      <w:bodyDiv w:val="1"/>
      <w:marLeft w:val="0"/>
      <w:marRight w:val="0"/>
      <w:marTop w:val="0"/>
      <w:marBottom w:val="0"/>
      <w:divBdr>
        <w:top w:val="none" w:sz="0" w:space="0" w:color="auto"/>
        <w:left w:val="none" w:sz="0" w:space="0" w:color="auto"/>
        <w:bottom w:val="none" w:sz="0" w:space="0" w:color="auto"/>
        <w:right w:val="none" w:sz="0" w:space="0" w:color="auto"/>
      </w:divBdr>
    </w:div>
    <w:div w:id="901868179">
      <w:bodyDiv w:val="1"/>
      <w:marLeft w:val="0"/>
      <w:marRight w:val="0"/>
      <w:marTop w:val="0"/>
      <w:marBottom w:val="0"/>
      <w:divBdr>
        <w:top w:val="none" w:sz="0" w:space="0" w:color="auto"/>
        <w:left w:val="none" w:sz="0" w:space="0" w:color="auto"/>
        <w:bottom w:val="none" w:sz="0" w:space="0" w:color="auto"/>
        <w:right w:val="none" w:sz="0" w:space="0" w:color="auto"/>
      </w:divBdr>
      <w:divsChild>
        <w:div w:id="1667241396">
          <w:marLeft w:val="0"/>
          <w:marRight w:val="0"/>
          <w:marTop w:val="0"/>
          <w:marBottom w:val="0"/>
          <w:divBdr>
            <w:top w:val="none" w:sz="0" w:space="0" w:color="auto"/>
            <w:left w:val="none" w:sz="0" w:space="0" w:color="auto"/>
            <w:bottom w:val="none" w:sz="0" w:space="0" w:color="auto"/>
            <w:right w:val="none" w:sz="0" w:space="0" w:color="auto"/>
          </w:divBdr>
          <w:divsChild>
            <w:div w:id="1062483244">
              <w:marLeft w:val="0"/>
              <w:marRight w:val="0"/>
              <w:marTop w:val="0"/>
              <w:marBottom w:val="0"/>
              <w:divBdr>
                <w:top w:val="none" w:sz="0" w:space="0" w:color="auto"/>
                <w:left w:val="none" w:sz="0" w:space="0" w:color="auto"/>
                <w:bottom w:val="none" w:sz="0" w:space="0" w:color="auto"/>
                <w:right w:val="none" w:sz="0" w:space="0" w:color="auto"/>
              </w:divBdr>
              <w:divsChild>
                <w:div w:id="1304430340">
                  <w:marLeft w:val="0"/>
                  <w:marRight w:val="0"/>
                  <w:marTop w:val="0"/>
                  <w:marBottom w:val="0"/>
                  <w:divBdr>
                    <w:top w:val="none" w:sz="0" w:space="0" w:color="auto"/>
                    <w:left w:val="none" w:sz="0" w:space="0" w:color="auto"/>
                    <w:bottom w:val="none" w:sz="0" w:space="0" w:color="auto"/>
                    <w:right w:val="none" w:sz="0" w:space="0" w:color="auto"/>
                  </w:divBdr>
                  <w:divsChild>
                    <w:div w:id="101459355">
                      <w:marLeft w:val="0"/>
                      <w:marRight w:val="0"/>
                      <w:marTop w:val="0"/>
                      <w:marBottom w:val="0"/>
                      <w:divBdr>
                        <w:top w:val="none" w:sz="0" w:space="0" w:color="auto"/>
                        <w:left w:val="none" w:sz="0" w:space="0" w:color="auto"/>
                        <w:bottom w:val="none" w:sz="0" w:space="0" w:color="auto"/>
                        <w:right w:val="none" w:sz="0" w:space="0" w:color="auto"/>
                      </w:divBdr>
                      <w:divsChild>
                        <w:div w:id="1865095186">
                          <w:marLeft w:val="0"/>
                          <w:marRight w:val="0"/>
                          <w:marTop w:val="0"/>
                          <w:marBottom w:val="0"/>
                          <w:divBdr>
                            <w:top w:val="none" w:sz="0" w:space="0" w:color="auto"/>
                            <w:left w:val="none" w:sz="0" w:space="0" w:color="auto"/>
                            <w:bottom w:val="none" w:sz="0" w:space="0" w:color="auto"/>
                            <w:right w:val="none" w:sz="0" w:space="0" w:color="auto"/>
                          </w:divBdr>
                          <w:divsChild>
                            <w:div w:id="651834364">
                              <w:marLeft w:val="0"/>
                              <w:marRight w:val="0"/>
                              <w:marTop w:val="0"/>
                              <w:marBottom w:val="0"/>
                              <w:divBdr>
                                <w:top w:val="none" w:sz="0" w:space="0" w:color="auto"/>
                                <w:left w:val="none" w:sz="0" w:space="0" w:color="auto"/>
                                <w:bottom w:val="none" w:sz="0" w:space="0" w:color="auto"/>
                                <w:right w:val="none" w:sz="0" w:space="0" w:color="auto"/>
                              </w:divBdr>
                              <w:divsChild>
                                <w:div w:id="18683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92841">
      <w:bodyDiv w:val="1"/>
      <w:marLeft w:val="0"/>
      <w:marRight w:val="0"/>
      <w:marTop w:val="0"/>
      <w:marBottom w:val="0"/>
      <w:divBdr>
        <w:top w:val="none" w:sz="0" w:space="0" w:color="auto"/>
        <w:left w:val="none" w:sz="0" w:space="0" w:color="auto"/>
        <w:bottom w:val="none" w:sz="0" w:space="0" w:color="auto"/>
        <w:right w:val="none" w:sz="0" w:space="0" w:color="auto"/>
      </w:divBdr>
    </w:div>
    <w:div w:id="1024097253">
      <w:bodyDiv w:val="1"/>
      <w:marLeft w:val="375"/>
      <w:marRight w:val="375"/>
      <w:marTop w:val="75"/>
      <w:marBottom w:val="75"/>
      <w:divBdr>
        <w:top w:val="none" w:sz="0" w:space="0" w:color="auto"/>
        <w:left w:val="none" w:sz="0" w:space="0" w:color="auto"/>
        <w:bottom w:val="none" w:sz="0" w:space="0" w:color="auto"/>
        <w:right w:val="none" w:sz="0" w:space="0" w:color="auto"/>
      </w:divBdr>
      <w:divsChild>
        <w:div w:id="706877817">
          <w:marLeft w:val="0"/>
          <w:marRight w:val="0"/>
          <w:marTop w:val="0"/>
          <w:marBottom w:val="0"/>
          <w:divBdr>
            <w:top w:val="none" w:sz="0" w:space="0" w:color="auto"/>
            <w:left w:val="none" w:sz="0" w:space="0" w:color="auto"/>
            <w:bottom w:val="none" w:sz="0" w:space="0" w:color="auto"/>
            <w:right w:val="none" w:sz="0" w:space="0" w:color="auto"/>
          </w:divBdr>
          <w:divsChild>
            <w:div w:id="1512136461">
              <w:marLeft w:val="0"/>
              <w:marRight w:val="0"/>
              <w:marTop w:val="0"/>
              <w:marBottom w:val="0"/>
              <w:divBdr>
                <w:top w:val="none" w:sz="0" w:space="0" w:color="auto"/>
                <w:left w:val="none" w:sz="0" w:space="0" w:color="auto"/>
                <w:bottom w:val="none" w:sz="0" w:space="0" w:color="auto"/>
                <w:right w:val="none" w:sz="0" w:space="0" w:color="auto"/>
              </w:divBdr>
              <w:divsChild>
                <w:div w:id="1829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4322">
      <w:bodyDiv w:val="1"/>
      <w:marLeft w:val="0"/>
      <w:marRight w:val="0"/>
      <w:marTop w:val="0"/>
      <w:marBottom w:val="0"/>
      <w:divBdr>
        <w:top w:val="none" w:sz="0" w:space="0" w:color="auto"/>
        <w:left w:val="none" w:sz="0" w:space="0" w:color="auto"/>
        <w:bottom w:val="none" w:sz="0" w:space="0" w:color="auto"/>
        <w:right w:val="none" w:sz="0" w:space="0" w:color="auto"/>
      </w:divBdr>
    </w:div>
    <w:div w:id="1087532039">
      <w:bodyDiv w:val="1"/>
      <w:marLeft w:val="0"/>
      <w:marRight w:val="0"/>
      <w:marTop w:val="0"/>
      <w:marBottom w:val="0"/>
      <w:divBdr>
        <w:top w:val="none" w:sz="0" w:space="0" w:color="auto"/>
        <w:left w:val="none" w:sz="0" w:space="0" w:color="auto"/>
        <w:bottom w:val="none" w:sz="0" w:space="0" w:color="auto"/>
        <w:right w:val="none" w:sz="0" w:space="0" w:color="auto"/>
      </w:divBdr>
    </w:div>
    <w:div w:id="1109163243">
      <w:bodyDiv w:val="1"/>
      <w:marLeft w:val="0"/>
      <w:marRight w:val="0"/>
      <w:marTop w:val="0"/>
      <w:marBottom w:val="0"/>
      <w:divBdr>
        <w:top w:val="none" w:sz="0" w:space="0" w:color="auto"/>
        <w:left w:val="none" w:sz="0" w:space="0" w:color="auto"/>
        <w:bottom w:val="none" w:sz="0" w:space="0" w:color="auto"/>
        <w:right w:val="none" w:sz="0" w:space="0" w:color="auto"/>
      </w:divBdr>
    </w:div>
    <w:div w:id="1110903019">
      <w:bodyDiv w:val="1"/>
      <w:marLeft w:val="0"/>
      <w:marRight w:val="0"/>
      <w:marTop w:val="0"/>
      <w:marBottom w:val="0"/>
      <w:divBdr>
        <w:top w:val="none" w:sz="0" w:space="0" w:color="auto"/>
        <w:left w:val="none" w:sz="0" w:space="0" w:color="auto"/>
        <w:bottom w:val="none" w:sz="0" w:space="0" w:color="auto"/>
        <w:right w:val="none" w:sz="0" w:space="0" w:color="auto"/>
      </w:divBdr>
    </w:div>
    <w:div w:id="1128207924">
      <w:bodyDiv w:val="1"/>
      <w:marLeft w:val="0"/>
      <w:marRight w:val="0"/>
      <w:marTop w:val="0"/>
      <w:marBottom w:val="0"/>
      <w:divBdr>
        <w:top w:val="none" w:sz="0" w:space="0" w:color="auto"/>
        <w:left w:val="none" w:sz="0" w:space="0" w:color="auto"/>
        <w:bottom w:val="none" w:sz="0" w:space="0" w:color="auto"/>
        <w:right w:val="none" w:sz="0" w:space="0" w:color="auto"/>
      </w:divBdr>
    </w:div>
    <w:div w:id="1134524625">
      <w:bodyDiv w:val="1"/>
      <w:marLeft w:val="0"/>
      <w:marRight w:val="0"/>
      <w:marTop w:val="0"/>
      <w:marBottom w:val="0"/>
      <w:divBdr>
        <w:top w:val="none" w:sz="0" w:space="0" w:color="auto"/>
        <w:left w:val="none" w:sz="0" w:space="0" w:color="auto"/>
        <w:bottom w:val="none" w:sz="0" w:space="0" w:color="auto"/>
        <w:right w:val="none" w:sz="0" w:space="0" w:color="auto"/>
      </w:divBdr>
    </w:div>
    <w:div w:id="1153327194">
      <w:bodyDiv w:val="1"/>
      <w:marLeft w:val="0"/>
      <w:marRight w:val="0"/>
      <w:marTop w:val="0"/>
      <w:marBottom w:val="0"/>
      <w:divBdr>
        <w:top w:val="none" w:sz="0" w:space="0" w:color="auto"/>
        <w:left w:val="none" w:sz="0" w:space="0" w:color="auto"/>
        <w:bottom w:val="none" w:sz="0" w:space="0" w:color="auto"/>
        <w:right w:val="none" w:sz="0" w:space="0" w:color="auto"/>
      </w:divBdr>
    </w:div>
    <w:div w:id="1189367839">
      <w:bodyDiv w:val="1"/>
      <w:marLeft w:val="0"/>
      <w:marRight w:val="0"/>
      <w:marTop w:val="0"/>
      <w:marBottom w:val="0"/>
      <w:divBdr>
        <w:top w:val="none" w:sz="0" w:space="0" w:color="auto"/>
        <w:left w:val="none" w:sz="0" w:space="0" w:color="auto"/>
        <w:bottom w:val="none" w:sz="0" w:space="0" w:color="auto"/>
        <w:right w:val="none" w:sz="0" w:space="0" w:color="auto"/>
      </w:divBdr>
    </w:div>
    <w:div w:id="1191262035">
      <w:bodyDiv w:val="1"/>
      <w:marLeft w:val="0"/>
      <w:marRight w:val="0"/>
      <w:marTop w:val="0"/>
      <w:marBottom w:val="0"/>
      <w:divBdr>
        <w:top w:val="none" w:sz="0" w:space="0" w:color="auto"/>
        <w:left w:val="none" w:sz="0" w:space="0" w:color="auto"/>
        <w:bottom w:val="none" w:sz="0" w:space="0" w:color="auto"/>
        <w:right w:val="none" w:sz="0" w:space="0" w:color="auto"/>
      </w:divBdr>
      <w:divsChild>
        <w:div w:id="512764152">
          <w:marLeft w:val="0"/>
          <w:marRight w:val="0"/>
          <w:marTop w:val="0"/>
          <w:marBottom w:val="0"/>
          <w:divBdr>
            <w:top w:val="none" w:sz="0" w:space="0" w:color="auto"/>
            <w:left w:val="none" w:sz="0" w:space="0" w:color="auto"/>
            <w:bottom w:val="none" w:sz="0" w:space="0" w:color="auto"/>
            <w:right w:val="none" w:sz="0" w:space="0" w:color="auto"/>
          </w:divBdr>
        </w:div>
      </w:divsChild>
    </w:div>
    <w:div w:id="1255823495">
      <w:bodyDiv w:val="1"/>
      <w:marLeft w:val="0"/>
      <w:marRight w:val="0"/>
      <w:marTop w:val="0"/>
      <w:marBottom w:val="0"/>
      <w:divBdr>
        <w:top w:val="none" w:sz="0" w:space="0" w:color="auto"/>
        <w:left w:val="none" w:sz="0" w:space="0" w:color="auto"/>
        <w:bottom w:val="none" w:sz="0" w:space="0" w:color="auto"/>
        <w:right w:val="none" w:sz="0" w:space="0" w:color="auto"/>
      </w:divBdr>
    </w:div>
    <w:div w:id="1261372240">
      <w:bodyDiv w:val="1"/>
      <w:marLeft w:val="0"/>
      <w:marRight w:val="0"/>
      <w:marTop w:val="0"/>
      <w:marBottom w:val="0"/>
      <w:divBdr>
        <w:top w:val="none" w:sz="0" w:space="0" w:color="auto"/>
        <w:left w:val="none" w:sz="0" w:space="0" w:color="auto"/>
        <w:bottom w:val="none" w:sz="0" w:space="0" w:color="auto"/>
        <w:right w:val="none" w:sz="0" w:space="0" w:color="auto"/>
      </w:divBdr>
      <w:divsChild>
        <w:div w:id="1975406589">
          <w:marLeft w:val="0"/>
          <w:marRight w:val="0"/>
          <w:marTop w:val="0"/>
          <w:marBottom w:val="0"/>
          <w:divBdr>
            <w:top w:val="none" w:sz="0" w:space="0" w:color="auto"/>
            <w:left w:val="none" w:sz="0" w:space="0" w:color="auto"/>
            <w:bottom w:val="none" w:sz="0" w:space="0" w:color="auto"/>
            <w:right w:val="none" w:sz="0" w:space="0" w:color="auto"/>
          </w:divBdr>
          <w:divsChild>
            <w:div w:id="458691798">
              <w:marLeft w:val="0"/>
              <w:marRight w:val="0"/>
              <w:marTop w:val="0"/>
              <w:marBottom w:val="0"/>
              <w:divBdr>
                <w:top w:val="none" w:sz="0" w:space="0" w:color="auto"/>
                <w:left w:val="none" w:sz="0" w:space="0" w:color="auto"/>
                <w:bottom w:val="none" w:sz="0" w:space="0" w:color="auto"/>
                <w:right w:val="none" w:sz="0" w:space="0" w:color="auto"/>
              </w:divBdr>
              <w:divsChild>
                <w:div w:id="1635525261">
                  <w:marLeft w:val="0"/>
                  <w:marRight w:val="0"/>
                  <w:marTop w:val="0"/>
                  <w:marBottom w:val="0"/>
                  <w:divBdr>
                    <w:top w:val="none" w:sz="0" w:space="0" w:color="auto"/>
                    <w:left w:val="none" w:sz="0" w:space="0" w:color="auto"/>
                    <w:bottom w:val="none" w:sz="0" w:space="0" w:color="auto"/>
                    <w:right w:val="none" w:sz="0" w:space="0" w:color="auto"/>
                  </w:divBdr>
                  <w:divsChild>
                    <w:div w:id="1234393570">
                      <w:marLeft w:val="0"/>
                      <w:marRight w:val="0"/>
                      <w:marTop w:val="0"/>
                      <w:marBottom w:val="0"/>
                      <w:divBdr>
                        <w:top w:val="none" w:sz="0" w:space="0" w:color="auto"/>
                        <w:left w:val="none" w:sz="0" w:space="0" w:color="auto"/>
                        <w:bottom w:val="none" w:sz="0" w:space="0" w:color="auto"/>
                        <w:right w:val="none" w:sz="0" w:space="0" w:color="auto"/>
                      </w:divBdr>
                      <w:divsChild>
                        <w:div w:id="546260522">
                          <w:marLeft w:val="0"/>
                          <w:marRight w:val="0"/>
                          <w:marTop w:val="0"/>
                          <w:marBottom w:val="0"/>
                          <w:divBdr>
                            <w:top w:val="none" w:sz="0" w:space="0" w:color="auto"/>
                            <w:left w:val="none" w:sz="0" w:space="0" w:color="auto"/>
                            <w:bottom w:val="none" w:sz="0" w:space="0" w:color="auto"/>
                            <w:right w:val="none" w:sz="0" w:space="0" w:color="auto"/>
                          </w:divBdr>
                          <w:divsChild>
                            <w:div w:id="966548160">
                              <w:marLeft w:val="0"/>
                              <w:marRight w:val="0"/>
                              <w:marTop w:val="0"/>
                              <w:marBottom w:val="0"/>
                              <w:divBdr>
                                <w:top w:val="none" w:sz="0" w:space="0" w:color="auto"/>
                                <w:left w:val="none" w:sz="0" w:space="0" w:color="auto"/>
                                <w:bottom w:val="none" w:sz="0" w:space="0" w:color="auto"/>
                                <w:right w:val="none" w:sz="0" w:space="0" w:color="auto"/>
                              </w:divBdr>
                              <w:divsChild>
                                <w:div w:id="314576645">
                                  <w:marLeft w:val="0"/>
                                  <w:marRight w:val="0"/>
                                  <w:marTop w:val="0"/>
                                  <w:marBottom w:val="0"/>
                                  <w:divBdr>
                                    <w:top w:val="none" w:sz="0" w:space="0" w:color="auto"/>
                                    <w:left w:val="none" w:sz="0" w:space="0" w:color="auto"/>
                                    <w:bottom w:val="none" w:sz="0" w:space="0" w:color="auto"/>
                                    <w:right w:val="none" w:sz="0" w:space="0" w:color="auto"/>
                                  </w:divBdr>
                                  <w:divsChild>
                                    <w:div w:id="851410328">
                                      <w:marLeft w:val="0"/>
                                      <w:marRight w:val="0"/>
                                      <w:marTop w:val="0"/>
                                      <w:marBottom w:val="0"/>
                                      <w:divBdr>
                                        <w:top w:val="none" w:sz="0" w:space="0" w:color="auto"/>
                                        <w:left w:val="none" w:sz="0" w:space="0" w:color="auto"/>
                                        <w:bottom w:val="none" w:sz="0" w:space="0" w:color="auto"/>
                                        <w:right w:val="none" w:sz="0" w:space="0" w:color="auto"/>
                                      </w:divBdr>
                                    </w:div>
                                    <w:div w:id="1436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988607">
      <w:bodyDiv w:val="1"/>
      <w:marLeft w:val="0"/>
      <w:marRight w:val="0"/>
      <w:marTop w:val="0"/>
      <w:marBottom w:val="0"/>
      <w:divBdr>
        <w:top w:val="none" w:sz="0" w:space="0" w:color="auto"/>
        <w:left w:val="none" w:sz="0" w:space="0" w:color="auto"/>
        <w:bottom w:val="none" w:sz="0" w:space="0" w:color="auto"/>
        <w:right w:val="none" w:sz="0" w:space="0" w:color="auto"/>
      </w:divBdr>
    </w:div>
    <w:div w:id="1286883239">
      <w:bodyDiv w:val="1"/>
      <w:marLeft w:val="0"/>
      <w:marRight w:val="0"/>
      <w:marTop w:val="0"/>
      <w:marBottom w:val="0"/>
      <w:divBdr>
        <w:top w:val="none" w:sz="0" w:space="0" w:color="auto"/>
        <w:left w:val="none" w:sz="0" w:space="0" w:color="auto"/>
        <w:bottom w:val="none" w:sz="0" w:space="0" w:color="auto"/>
        <w:right w:val="none" w:sz="0" w:space="0" w:color="auto"/>
      </w:divBdr>
    </w:div>
    <w:div w:id="1352298294">
      <w:bodyDiv w:val="1"/>
      <w:marLeft w:val="0"/>
      <w:marRight w:val="0"/>
      <w:marTop w:val="0"/>
      <w:marBottom w:val="0"/>
      <w:divBdr>
        <w:top w:val="none" w:sz="0" w:space="0" w:color="auto"/>
        <w:left w:val="none" w:sz="0" w:space="0" w:color="auto"/>
        <w:bottom w:val="none" w:sz="0" w:space="0" w:color="auto"/>
        <w:right w:val="none" w:sz="0" w:space="0" w:color="auto"/>
      </w:divBdr>
    </w:div>
    <w:div w:id="1380478420">
      <w:bodyDiv w:val="1"/>
      <w:marLeft w:val="0"/>
      <w:marRight w:val="0"/>
      <w:marTop w:val="0"/>
      <w:marBottom w:val="0"/>
      <w:divBdr>
        <w:top w:val="none" w:sz="0" w:space="0" w:color="auto"/>
        <w:left w:val="none" w:sz="0" w:space="0" w:color="auto"/>
        <w:bottom w:val="none" w:sz="0" w:space="0" w:color="auto"/>
        <w:right w:val="none" w:sz="0" w:space="0" w:color="auto"/>
      </w:divBdr>
    </w:div>
    <w:div w:id="1451782300">
      <w:bodyDiv w:val="1"/>
      <w:marLeft w:val="0"/>
      <w:marRight w:val="0"/>
      <w:marTop w:val="0"/>
      <w:marBottom w:val="0"/>
      <w:divBdr>
        <w:top w:val="none" w:sz="0" w:space="0" w:color="auto"/>
        <w:left w:val="none" w:sz="0" w:space="0" w:color="auto"/>
        <w:bottom w:val="none" w:sz="0" w:space="0" w:color="auto"/>
        <w:right w:val="none" w:sz="0" w:space="0" w:color="auto"/>
      </w:divBdr>
    </w:div>
    <w:div w:id="1455516096">
      <w:bodyDiv w:val="1"/>
      <w:marLeft w:val="0"/>
      <w:marRight w:val="0"/>
      <w:marTop w:val="0"/>
      <w:marBottom w:val="0"/>
      <w:divBdr>
        <w:top w:val="none" w:sz="0" w:space="0" w:color="auto"/>
        <w:left w:val="none" w:sz="0" w:space="0" w:color="auto"/>
        <w:bottom w:val="none" w:sz="0" w:space="0" w:color="auto"/>
        <w:right w:val="none" w:sz="0" w:space="0" w:color="auto"/>
      </w:divBdr>
    </w:div>
    <w:div w:id="1458714926">
      <w:bodyDiv w:val="1"/>
      <w:marLeft w:val="0"/>
      <w:marRight w:val="0"/>
      <w:marTop w:val="0"/>
      <w:marBottom w:val="0"/>
      <w:divBdr>
        <w:top w:val="none" w:sz="0" w:space="0" w:color="auto"/>
        <w:left w:val="none" w:sz="0" w:space="0" w:color="auto"/>
        <w:bottom w:val="none" w:sz="0" w:space="0" w:color="auto"/>
        <w:right w:val="none" w:sz="0" w:space="0" w:color="auto"/>
      </w:divBdr>
      <w:divsChild>
        <w:div w:id="547228268">
          <w:marLeft w:val="0"/>
          <w:marRight w:val="0"/>
          <w:marTop w:val="0"/>
          <w:marBottom w:val="0"/>
          <w:divBdr>
            <w:top w:val="none" w:sz="0" w:space="0" w:color="auto"/>
            <w:left w:val="none" w:sz="0" w:space="0" w:color="auto"/>
            <w:bottom w:val="none" w:sz="0" w:space="0" w:color="auto"/>
            <w:right w:val="none" w:sz="0" w:space="0" w:color="auto"/>
          </w:divBdr>
        </w:div>
        <w:div w:id="1251618460">
          <w:marLeft w:val="0"/>
          <w:marRight w:val="0"/>
          <w:marTop w:val="0"/>
          <w:marBottom w:val="0"/>
          <w:divBdr>
            <w:top w:val="none" w:sz="0" w:space="0" w:color="auto"/>
            <w:left w:val="none" w:sz="0" w:space="0" w:color="auto"/>
            <w:bottom w:val="none" w:sz="0" w:space="0" w:color="auto"/>
            <w:right w:val="none" w:sz="0" w:space="0" w:color="auto"/>
          </w:divBdr>
        </w:div>
        <w:div w:id="1019621019">
          <w:marLeft w:val="0"/>
          <w:marRight w:val="0"/>
          <w:marTop w:val="0"/>
          <w:marBottom w:val="0"/>
          <w:divBdr>
            <w:top w:val="none" w:sz="0" w:space="0" w:color="auto"/>
            <w:left w:val="none" w:sz="0" w:space="0" w:color="auto"/>
            <w:bottom w:val="none" w:sz="0" w:space="0" w:color="auto"/>
            <w:right w:val="none" w:sz="0" w:space="0" w:color="auto"/>
          </w:divBdr>
        </w:div>
        <w:div w:id="209417968">
          <w:marLeft w:val="0"/>
          <w:marRight w:val="0"/>
          <w:marTop w:val="0"/>
          <w:marBottom w:val="0"/>
          <w:divBdr>
            <w:top w:val="none" w:sz="0" w:space="0" w:color="auto"/>
            <w:left w:val="none" w:sz="0" w:space="0" w:color="auto"/>
            <w:bottom w:val="none" w:sz="0" w:space="0" w:color="auto"/>
            <w:right w:val="none" w:sz="0" w:space="0" w:color="auto"/>
          </w:divBdr>
        </w:div>
        <w:div w:id="204147977">
          <w:marLeft w:val="0"/>
          <w:marRight w:val="0"/>
          <w:marTop w:val="0"/>
          <w:marBottom w:val="0"/>
          <w:divBdr>
            <w:top w:val="none" w:sz="0" w:space="0" w:color="auto"/>
            <w:left w:val="none" w:sz="0" w:space="0" w:color="auto"/>
            <w:bottom w:val="none" w:sz="0" w:space="0" w:color="auto"/>
            <w:right w:val="none" w:sz="0" w:space="0" w:color="auto"/>
          </w:divBdr>
        </w:div>
        <w:div w:id="188029187">
          <w:marLeft w:val="720"/>
          <w:marRight w:val="0"/>
          <w:marTop w:val="0"/>
          <w:marBottom w:val="0"/>
          <w:divBdr>
            <w:top w:val="none" w:sz="0" w:space="0" w:color="auto"/>
            <w:left w:val="none" w:sz="0" w:space="0" w:color="auto"/>
            <w:bottom w:val="none" w:sz="0" w:space="0" w:color="auto"/>
            <w:right w:val="none" w:sz="0" w:space="0" w:color="auto"/>
          </w:divBdr>
        </w:div>
        <w:div w:id="99377945">
          <w:marLeft w:val="0"/>
          <w:marRight w:val="0"/>
          <w:marTop w:val="0"/>
          <w:marBottom w:val="0"/>
          <w:divBdr>
            <w:top w:val="none" w:sz="0" w:space="0" w:color="auto"/>
            <w:left w:val="none" w:sz="0" w:space="0" w:color="auto"/>
            <w:bottom w:val="none" w:sz="0" w:space="0" w:color="auto"/>
            <w:right w:val="none" w:sz="0" w:space="0" w:color="auto"/>
          </w:divBdr>
        </w:div>
        <w:div w:id="1228540770">
          <w:marLeft w:val="0"/>
          <w:marRight w:val="0"/>
          <w:marTop w:val="0"/>
          <w:marBottom w:val="0"/>
          <w:divBdr>
            <w:top w:val="none" w:sz="0" w:space="0" w:color="auto"/>
            <w:left w:val="none" w:sz="0" w:space="0" w:color="auto"/>
            <w:bottom w:val="none" w:sz="0" w:space="0" w:color="auto"/>
            <w:right w:val="none" w:sz="0" w:space="0" w:color="auto"/>
          </w:divBdr>
        </w:div>
        <w:div w:id="1255671116">
          <w:marLeft w:val="0"/>
          <w:marRight w:val="0"/>
          <w:marTop w:val="0"/>
          <w:marBottom w:val="0"/>
          <w:divBdr>
            <w:top w:val="none" w:sz="0" w:space="0" w:color="auto"/>
            <w:left w:val="none" w:sz="0" w:space="0" w:color="auto"/>
            <w:bottom w:val="none" w:sz="0" w:space="0" w:color="auto"/>
            <w:right w:val="none" w:sz="0" w:space="0" w:color="auto"/>
          </w:divBdr>
        </w:div>
        <w:div w:id="1130322564">
          <w:marLeft w:val="0"/>
          <w:marRight w:val="0"/>
          <w:marTop w:val="0"/>
          <w:marBottom w:val="0"/>
          <w:divBdr>
            <w:top w:val="none" w:sz="0" w:space="0" w:color="auto"/>
            <w:left w:val="none" w:sz="0" w:space="0" w:color="auto"/>
            <w:bottom w:val="none" w:sz="0" w:space="0" w:color="auto"/>
            <w:right w:val="none" w:sz="0" w:space="0" w:color="auto"/>
          </w:divBdr>
        </w:div>
        <w:div w:id="186139258">
          <w:marLeft w:val="1080"/>
          <w:marRight w:val="0"/>
          <w:marTop w:val="0"/>
          <w:marBottom w:val="0"/>
          <w:divBdr>
            <w:top w:val="none" w:sz="0" w:space="0" w:color="auto"/>
            <w:left w:val="none" w:sz="0" w:space="0" w:color="auto"/>
            <w:bottom w:val="none" w:sz="0" w:space="0" w:color="auto"/>
            <w:right w:val="none" w:sz="0" w:space="0" w:color="auto"/>
          </w:divBdr>
        </w:div>
        <w:div w:id="1329210964">
          <w:marLeft w:val="1080"/>
          <w:marRight w:val="0"/>
          <w:marTop w:val="0"/>
          <w:marBottom w:val="0"/>
          <w:divBdr>
            <w:top w:val="none" w:sz="0" w:space="0" w:color="auto"/>
            <w:left w:val="none" w:sz="0" w:space="0" w:color="auto"/>
            <w:bottom w:val="none" w:sz="0" w:space="0" w:color="auto"/>
            <w:right w:val="none" w:sz="0" w:space="0" w:color="auto"/>
          </w:divBdr>
        </w:div>
        <w:div w:id="1691570398">
          <w:marLeft w:val="1080"/>
          <w:marRight w:val="0"/>
          <w:marTop w:val="0"/>
          <w:marBottom w:val="0"/>
          <w:divBdr>
            <w:top w:val="none" w:sz="0" w:space="0" w:color="auto"/>
            <w:left w:val="none" w:sz="0" w:space="0" w:color="auto"/>
            <w:bottom w:val="none" w:sz="0" w:space="0" w:color="auto"/>
            <w:right w:val="none" w:sz="0" w:space="0" w:color="auto"/>
          </w:divBdr>
        </w:div>
        <w:div w:id="1957635017">
          <w:marLeft w:val="1080"/>
          <w:marRight w:val="0"/>
          <w:marTop w:val="0"/>
          <w:marBottom w:val="0"/>
          <w:divBdr>
            <w:top w:val="none" w:sz="0" w:space="0" w:color="auto"/>
            <w:left w:val="none" w:sz="0" w:space="0" w:color="auto"/>
            <w:bottom w:val="none" w:sz="0" w:space="0" w:color="auto"/>
            <w:right w:val="none" w:sz="0" w:space="0" w:color="auto"/>
          </w:divBdr>
        </w:div>
        <w:div w:id="1527599065">
          <w:marLeft w:val="720"/>
          <w:marRight w:val="0"/>
          <w:marTop w:val="0"/>
          <w:marBottom w:val="0"/>
          <w:divBdr>
            <w:top w:val="none" w:sz="0" w:space="0" w:color="auto"/>
            <w:left w:val="none" w:sz="0" w:space="0" w:color="auto"/>
            <w:bottom w:val="none" w:sz="0" w:space="0" w:color="auto"/>
            <w:right w:val="none" w:sz="0" w:space="0" w:color="auto"/>
          </w:divBdr>
        </w:div>
        <w:div w:id="1712614114">
          <w:marLeft w:val="0"/>
          <w:marRight w:val="0"/>
          <w:marTop w:val="0"/>
          <w:marBottom w:val="0"/>
          <w:divBdr>
            <w:top w:val="none" w:sz="0" w:space="0" w:color="auto"/>
            <w:left w:val="none" w:sz="0" w:space="0" w:color="auto"/>
            <w:bottom w:val="none" w:sz="0" w:space="0" w:color="auto"/>
            <w:right w:val="none" w:sz="0" w:space="0" w:color="auto"/>
          </w:divBdr>
        </w:div>
        <w:div w:id="289946295">
          <w:marLeft w:val="0"/>
          <w:marRight w:val="0"/>
          <w:marTop w:val="0"/>
          <w:marBottom w:val="0"/>
          <w:divBdr>
            <w:top w:val="none" w:sz="0" w:space="0" w:color="auto"/>
            <w:left w:val="none" w:sz="0" w:space="0" w:color="auto"/>
            <w:bottom w:val="none" w:sz="0" w:space="0" w:color="auto"/>
            <w:right w:val="none" w:sz="0" w:space="0" w:color="auto"/>
          </w:divBdr>
        </w:div>
        <w:div w:id="606733906">
          <w:marLeft w:val="0"/>
          <w:marRight w:val="0"/>
          <w:marTop w:val="0"/>
          <w:marBottom w:val="0"/>
          <w:divBdr>
            <w:top w:val="none" w:sz="0" w:space="0" w:color="auto"/>
            <w:left w:val="none" w:sz="0" w:space="0" w:color="auto"/>
            <w:bottom w:val="none" w:sz="0" w:space="0" w:color="auto"/>
            <w:right w:val="none" w:sz="0" w:space="0" w:color="auto"/>
          </w:divBdr>
        </w:div>
        <w:div w:id="2005401744">
          <w:marLeft w:val="0"/>
          <w:marRight w:val="0"/>
          <w:marTop w:val="0"/>
          <w:marBottom w:val="0"/>
          <w:divBdr>
            <w:top w:val="none" w:sz="0" w:space="0" w:color="auto"/>
            <w:left w:val="none" w:sz="0" w:space="0" w:color="auto"/>
            <w:bottom w:val="none" w:sz="0" w:space="0" w:color="auto"/>
            <w:right w:val="none" w:sz="0" w:space="0" w:color="auto"/>
          </w:divBdr>
        </w:div>
        <w:div w:id="718673824">
          <w:marLeft w:val="0"/>
          <w:marRight w:val="0"/>
          <w:marTop w:val="0"/>
          <w:marBottom w:val="0"/>
          <w:divBdr>
            <w:top w:val="none" w:sz="0" w:space="0" w:color="auto"/>
            <w:left w:val="none" w:sz="0" w:space="0" w:color="auto"/>
            <w:bottom w:val="none" w:sz="0" w:space="0" w:color="auto"/>
            <w:right w:val="none" w:sz="0" w:space="0" w:color="auto"/>
          </w:divBdr>
        </w:div>
        <w:div w:id="1852600700">
          <w:marLeft w:val="720"/>
          <w:marRight w:val="0"/>
          <w:marTop w:val="0"/>
          <w:marBottom w:val="0"/>
          <w:divBdr>
            <w:top w:val="none" w:sz="0" w:space="0" w:color="auto"/>
            <w:left w:val="none" w:sz="0" w:space="0" w:color="auto"/>
            <w:bottom w:val="none" w:sz="0" w:space="0" w:color="auto"/>
            <w:right w:val="none" w:sz="0" w:space="0" w:color="auto"/>
          </w:divBdr>
        </w:div>
        <w:div w:id="1143304307">
          <w:marLeft w:val="720"/>
          <w:marRight w:val="0"/>
          <w:marTop w:val="0"/>
          <w:marBottom w:val="0"/>
          <w:divBdr>
            <w:top w:val="none" w:sz="0" w:space="0" w:color="auto"/>
            <w:left w:val="none" w:sz="0" w:space="0" w:color="auto"/>
            <w:bottom w:val="none" w:sz="0" w:space="0" w:color="auto"/>
            <w:right w:val="none" w:sz="0" w:space="0" w:color="auto"/>
          </w:divBdr>
        </w:div>
        <w:div w:id="391083287">
          <w:marLeft w:val="720"/>
          <w:marRight w:val="0"/>
          <w:marTop w:val="0"/>
          <w:marBottom w:val="0"/>
          <w:divBdr>
            <w:top w:val="none" w:sz="0" w:space="0" w:color="auto"/>
            <w:left w:val="none" w:sz="0" w:space="0" w:color="auto"/>
            <w:bottom w:val="none" w:sz="0" w:space="0" w:color="auto"/>
            <w:right w:val="none" w:sz="0" w:space="0" w:color="auto"/>
          </w:divBdr>
        </w:div>
        <w:div w:id="530804994">
          <w:marLeft w:val="720"/>
          <w:marRight w:val="0"/>
          <w:marTop w:val="0"/>
          <w:marBottom w:val="0"/>
          <w:divBdr>
            <w:top w:val="none" w:sz="0" w:space="0" w:color="auto"/>
            <w:left w:val="none" w:sz="0" w:space="0" w:color="auto"/>
            <w:bottom w:val="none" w:sz="0" w:space="0" w:color="auto"/>
            <w:right w:val="none" w:sz="0" w:space="0" w:color="auto"/>
          </w:divBdr>
        </w:div>
        <w:div w:id="246117113">
          <w:marLeft w:val="720"/>
          <w:marRight w:val="0"/>
          <w:marTop w:val="0"/>
          <w:marBottom w:val="0"/>
          <w:divBdr>
            <w:top w:val="none" w:sz="0" w:space="0" w:color="auto"/>
            <w:left w:val="none" w:sz="0" w:space="0" w:color="auto"/>
            <w:bottom w:val="none" w:sz="0" w:space="0" w:color="auto"/>
            <w:right w:val="none" w:sz="0" w:space="0" w:color="auto"/>
          </w:divBdr>
        </w:div>
        <w:div w:id="1962689086">
          <w:marLeft w:val="0"/>
          <w:marRight w:val="0"/>
          <w:marTop w:val="0"/>
          <w:marBottom w:val="0"/>
          <w:divBdr>
            <w:top w:val="none" w:sz="0" w:space="0" w:color="auto"/>
            <w:left w:val="none" w:sz="0" w:space="0" w:color="auto"/>
            <w:bottom w:val="none" w:sz="0" w:space="0" w:color="auto"/>
            <w:right w:val="none" w:sz="0" w:space="0" w:color="auto"/>
          </w:divBdr>
        </w:div>
        <w:div w:id="1477798623">
          <w:marLeft w:val="720"/>
          <w:marRight w:val="0"/>
          <w:marTop w:val="0"/>
          <w:marBottom w:val="0"/>
          <w:divBdr>
            <w:top w:val="none" w:sz="0" w:space="0" w:color="auto"/>
            <w:left w:val="none" w:sz="0" w:space="0" w:color="auto"/>
            <w:bottom w:val="none" w:sz="0" w:space="0" w:color="auto"/>
            <w:right w:val="none" w:sz="0" w:space="0" w:color="auto"/>
          </w:divBdr>
        </w:div>
        <w:div w:id="337123746">
          <w:marLeft w:val="0"/>
          <w:marRight w:val="0"/>
          <w:marTop w:val="0"/>
          <w:marBottom w:val="0"/>
          <w:divBdr>
            <w:top w:val="none" w:sz="0" w:space="0" w:color="auto"/>
            <w:left w:val="none" w:sz="0" w:space="0" w:color="auto"/>
            <w:bottom w:val="none" w:sz="0" w:space="0" w:color="auto"/>
            <w:right w:val="none" w:sz="0" w:space="0" w:color="auto"/>
          </w:divBdr>
        </w:div>
        <w:div w:id="1527670797">
          <w:marLeft w:val="0"/>
          <w:marRight w:val="0"/>
          <w:marTop w:val="0"/>
          <w:marBottom w:val="0"/>
          <w:divBdr>
            <w:top w:val="none" w:sz="0" w:space="0" w:color="auto"/>
            <w:left w:val="none" w:sz="0" w:space="0" w:color="auto"/>
            <w:bottom w:val="none" w:sz="0" w:space="0" w:color="auto"/>
            <w:right w:val="none" w:sz="0" w:space="0" w:color="auto"/>
          </w:divBdr>
        </w:div>
        <w:div w:id="1405302337">
          <w:marLeft w:val="0"/>
          <w:marRight w:val="0"/>
          <w:marTop w:val="0"/>
          <w:marBottom w:val="0"/>
          <w:divBdr>
            <w:top w:val="none" w:sz="0" w:space="0" w:color="auto"/>
            <w:left w:val="none" w:sz="0" w:space="0" w:color="auto"/>
            <w:bottom w:val="none" w:sz="0" w:space="0" w:color="auto"/>
            <w:right w:val="none" w:sz="0" w:space="0" w:color="auto"/>
          </w:divBdr>
        </w:div>
        <w:div w:id="1961640647">
          <w:marLeft w:val="0"/>
          <w:marRight w:val="0"/>
          <w:marTop w:val="0"/>
          <w:marBottom w:val="0"/>
          <w:divBdr>
            <w:top w:val="none" w:sz="0" w:space="0" w:color="auto"/>
            <w:left w:val="none" w:sz="0" w:space="0" w:color="auto"/>
            <w:bottom w:val="none" w:sz="0" w:space="0" w:color="auto"/>
            <w:right w:val="none" w:sz="0" w:space="0" w:color="auto"/>
          </w:divBdr>
        </w:div>
        <w:div w:id="1458645314">
          <w:marLeft w:val="0"/>
          <w:marRight w:val="0"/>
          <w:marTop w:val="0"/>
          <w:marBottom w:val="0"/>
          <w:divBdr>
            <w:top w:val="none" w:sz="0" w:space="0" w:color="auto"/>
            <w:left w:val="none" w:sz="0" w:space="0" w:color="auto"/>
            <w:bottom w:val="none" w:sz="0" w:space="0" w:color="auto"/>
            <w:right w:val="none" w:sz="0" w:space="0" w:color="auto"/>
          </w:divBdr>
        </w:div>
        <w:div w:id="1863516616">
          <w:marLeft w:val="0"/>
          <w:marRight w:val="0"/>
          <w:marTop w:val="0"/>
          <w:marBottom w:val="0"/>
          <w:divBdr>
            <w:top w:val="none" w:sz="0" w:space="0" w:color="auto"/>
            <w:left w:val="none" w:sz="0" w:space="0" w:color="auto"/>
            <w:bottom w:val="none" w:sz="0" w:space="0" w:color="auto"/>
            <w:right w:val="none" w:sz="0" w:space="0" w:color="auto"/>
          </w:divBdr>
        </w:div>
        <w:div w:id="1312565831">
          <w:marLeft w:val="0"/>
          <w:marRight w:val="0"/>
          <w:marTop w:val="0"/>
          <w:marBottom w:val="0"/>
          <w:divBdr>
            <w:top w:val="none" w:sz="0" w:space="0" w:color="auto"/>
            <w:left w:val="none" w:sz="0" w:space="0" w:color="auto"/>
            <w:bottom w:val="none" w:sz="0" w:space="0" w:color="auto"/>
            <w:right w:val="none" w:sz="0" w:space="0" w:color="auto"/>
          </w:divBdr>
        </w:div>
        <w:div w:id="2063629269">
          <w:marLeft w:val="0"/>
          <w:marRight w:val="0"/>
          <w:marTop w:val="0"/>
          <w:marBottom w:val="0"/>
          <w:divBdr>
            <w:top w:val="none" w:sz="0" w:space="0" w:color="auto"/>
            <w:left w:val="none" w:sz="0" w:space="0" w:color="auto"/>
            <w:bottom w:val="none" w:sz="0" w:space="0" w:color="auto"/>
            <w:right w:val="none" w:sz="0" w:space="0" w:color="auto"/>
          </w:divBdr>
        </w:div>
        <w:div w:id="1435058328">
          <w:marLeft w:val="0"/>
          <w:marRight w:val="0"/>
          <w:marTop w:val="0"/>
          <w:marBottom w:val="0"/>
          <w:divBdr>
            <w:top w:val="none" w:sz="0" w:space="0" w:color="auto"/>
            <w:left w:val="none" w:sz="0" w:space="0" w:color="auto"/>
            <w:bottom w:val="none" w:sz="0" w:space="0" w:color="auto"/>
            <w:right w:val="none" w:sz="0" w:space="0" w:color="auto"/>
          </w:divBdr>
        </w:div>
        <w:div w:id="525607676">
          <w:marLeft w:val="720"/>
          <w:marRight w:val="0"/>
          <w:marTop w:val="0"/>
          <w:marBottom w:val="0"/>
          <w:divBdr>
            <w:top w:val="none" w:sz="0" w:space="0" w:color="auto"/>
            <w:left w:val="none" w:sz="0" w:space="0" w:color="auto"/>
            <w:bottom w:val="none" w:sz="0" w:space="0" w:color="auto"/>
            <w:right w:val="none" w:sz="0" w:space="0" w:color="auto"/>
          </w:divBdr>
        </w:div>
        <w:div w:id="514466359">
          <w:marLeft w:val="0"/>
          <w:marRight w:val="0"/>
          <w:marTop w:val="0"/>
          <w:marBottom w:val="0"/>
          <w:divBdr>
            <w:top w:val="none" w:sz="0" w:space="0" w:color="auto"/>
            <w:left w:val="none" w:sz="0" w:space="0" w:color="auto"/>
            <w:bottom w:val="none" w:sz="0" w:space="0" w:color="auto"/>
            <w:right w:val="none" w:sz="0" w:space="0" w:color="auto"/>
          </w:divBdr>
        </w:div>
        <w:div w:id="597368382">
          <w:marLeft w:val="0"/>
          <w:marRight w:val="0"/>
          <w:marTop w:val="0"/>
          <w:marBottom w:val="0"/>
          <w:divBdr>
            <w:top w:val="none" w:sz="0" w:space="0" w:color="auto"/>
            <w:left w:val="none" w:sz="0" w:space="0" w:color="auto"/>
            <w:bottom w:val="none" w:sz="0" w:space="0" w:color="auto"/>
            <w:right w:val="none" w:sz="0" w:space="0" w:color="auto"/>
          </w:divBdr>
        </w:div>
        <w:div w:id="874582055">
          <w:marLeft w:val="0"/>
          <w:marRight w:val="0"/>
          <w:marTop w:val="0"/>
          <w:marBottom w:val="0"/>
          <w:divBdr>
            <w:top w:val="none" w:sz="0" w:space="0" w:color="auto"/>
            <w:left w:val="none" w:sz="0" w:space="0" w:color="auto"/>
            <w:bottom w:val="none" w:sz="0" w:space="0" w:color="auto"/>
            <w:right w:val="none" w:sz="0" w:space="0" w:color="auto"/>
          </w:divBdr>
        </w:div>
        <w:div w:id="1135440792">
          <w:marLeft w:val="0"/>
          <w:marRight w:val="0"/>
          <w:marTop w:val="0"/>
          <w:marBottom w:val="0"/>
          <w:divBdr>
            <w:top w:val="none" w:sz="0" w:space="0" w:color="auto"/>
            <w:left w:val="none" w:sz="0" w:space="0" w:color="auto"/>
            <w:bottom w:val="none" w:sz="0" w:space="0" w:color="auto"/>
            <w:right w:val="none" w:sz="0" w:space="0" w:color="auto"/>
          </w:divBdr>
        </w:div>
        <w:div w:id="1249193395">
          <w:marLeft w:val="720"/>
          <w:marRight w:val="0"/>
          <w:marTop w:val="0"/>
          <w:marBottom w:val="0"/>
          <w:divBdr>
            <w:top w:val="none" w:sz="0" w:space="0" w:color="auto"/>
            <w:left w:val="none" w:sz="0" w:space="0" w:color="auto"/>
            <w:bottom w:val="none" w:sz="0" w:space="0" w:color="auto"/>
            <w:right w:val="none" w:sz="0" w:space="0" w:color="auto"/>
          </w:divBdr>
        </w:div>
        <w:div w:id="951478119">
          <w:marLeft w:val="720"/>
          <w:marRight w:val="0"/>
          <w:marTop w:val="0"/>
          <w:marBottom w:val="0"/>
          <w:divBdr>
            <w:top w:val="none" w:sz="0" w:space="0" w:color="auto"/>
            <w:left w:val="none" w:sz="0" w:space="0" w:color="auto"/>
            <w:bottom w:val="none" w:sz="0" w:space="0" w:color="auto"/>
            <w:right w:val="none" w:sz="0" w:space="0" w:color="auto"/>
          </w:divBdr>
        </w:div>
        <w:div w:id="60450423">
          <w:marLeft w:val="720"/>
          <w:marRight w:val="0"/>
          <w:marTop w:val="0"/>
          <w:marBottom w:val="0"/>
          <w:divBdr>
            <w:top w:val="none" w:sz="0" w:space="0" w:color="auto"/>
            <w:left w:val="none" w:sz="0" w:space="0" w:color="auto"/>
            <w:bottom w:val="none" w:sz="0" w:space="0" w:color="auto"/>
            <w:right w:val="none" w:sz="0" w:space="0" w:color="auto"/>
          </w:divBdr>
        </w:div>
        <w:div w:id="2038777211">
          <w:marLeft w:val="720"/>
          <w:marRight w:val="0"/>
          <w:marTop w:val="0"/>
          <w:marBottom w:val="0"/>
          <w:divBdr>
            <w:top w:val="none" w:sz="0" w:space="0" w:color="auto"/>
            <w:left w:val="none" w:sz="0" w:space="0" w:color="auto"/>
            <w:bottom w:val="none" w:sz="0" w:space="0" w:color="auto"/>
            <w:right w:val="none" w:sz="0" w:space="0" w:color="auto"/>
          </w:divBdr>
        </w:div>
        <w:div w:id="787435590">
          <w:marLeft w:val="720"/>
          <w:marRight w:val="0"/>
          <w:marTop w:val="0"/>
          <w:marBottom w:val="0"/>
          <w:divBdr>
            <w:top w:val="none" w:sz="0" w:space="0" w:color="auto"/>
            <w:left w:val="none" w:sz="0" w:space="0" w:color="auto"/>
            <w:bottom w:val="none" w:sz="0" w:space="0" w:color="auto"/>
            <w:right w:val="none" w:sz="0" w:space="0" w:color="auto"/>
          </w:divBdr>
        </w:div>
        <w:div w:id="777919234">
          <w:marLeft w:val="720"/>
          <w:marRight w:val="0"/>
          <w:marTop w:val="0"/>
          <w:marBottom w:val="0"/>
          <w:divBdr>
            <w:top w:val="none" w:sz="0" w:space="0" w:color="auto"/>
            <w:left w:val="none" w:sz="0" w:space="0" w:color="auto"/>
            <w:bottom w:val="none" w:sz="0" w:space="0" w:color="auto"/>
            <w:right w:val="none" w:sz="0" w:space="0" w:color="auto"/>
          </w:divBdr>
        </w:div>
        <w:div w:id="730494536">
          <w:marLeft w:val="720"/>
          <w:marRight w:val="0"/>
          <w:marTop w:val="0"/>
          <w:marBottom w:val="0"/>
          <w:divBdr>
            <w:top w:val="none" w:sz="0" w:space="0" w:color="auto"/>
            <w:left w:val="none" w:sz="0" w:space="0" w:color="auto"/>
            <w:bottom w:val="none" w:sz="0" w:space="0" w:color="auto"/>
            <w:right w:val="none" w:sz="0" w:space="0" w:color="auto"/>
          </w:divBdr>
        </w:div>
        <w:div w:id="1717663458">
          <w:marLeft w:val="720"/>
          <w:marRight w:val="0"/>
          <w:marTop w:val="0"/>
          <w:marBottom w:val="0"/>
          <w:divBdr>
            <w:top w:val="none" w:sz="0" w:space="0" w:color="auto"/>
            <w:left w:val="none" w:sz="0" w:space="0" w:color="auto"/>
            <w:bottom w:val="none" w:sz="0" w:space="0" w:color="auto"/>
            <w:right w:val="none" w:sz="0" w:space="0" w:color="auto"/>
          </w:divBdr>
        </w:div>
        <w:div w:id="1890221531">
          <w:marLeft w:val="720"/>
          <w:marRight w:val="0"/>
          <w:marTop w:val="0"/>
          <w:marBottom w:val="0"/>
          <w:divBdr>
            <w:top w:val="none" w:sz="0" w:space="0" w:color="auto"/>
            <w:left w:val="none" w:sz="0" w:space="0" w:color="auto"/>
            <w:bottom w:val="none" w:sz="0" w:space="0" w:color="auto"/>
            <w:right w:val="none" w:sz="0" w:space="0" w:color="auto"/>
          </w:divBdr>
        </w:div>
        <w:div w:id="1884437061">
          <w:marLeft w:val="720"/>
          <w:marRight w:val="0"/>
          <w:marTop w:val="0"/>
          <w:marBottom w:val="0"/>
          <w:divBdr>
            <w:top w:val="none" w:sz="0" w:space="0" w:color="auto"/>
            <w:left w:val="none" w:sz="0" w:space="0" w:color="auto"/>
            <w:bottom w:val="none" w:sz="0" w:space="0" w:color="auto"/>
            <w:right w:val="none" w:sz="0" w:space="0" w:color="auto"/>
          </w:divBdr>
        </w:div>
        <w:div w:id="116149539">
          <w:marLeft w:val="720"/>
          <w:marRight w:val="0"/>
          <w:marTop w:val="0"/>
          <w:marBottom w:val="0"/>
          <w:divBdr>
            <w:top w:val="none" w:sz="0" w:space="0" w:color="auto"/>
            <w:left w:val="none" w:sz="0" w:space="0" w:color="auto"/>
            <w:bottom w:val="none" w:sz="0" w:space="0" w:color="auto"/>
            <w:right w:val="none" w:sz="0" w:space="0" w:color="auto"/>
          </w:divBdr>
        </w:div>
        <w:div w:id="1467577091">
          <w:marLeft w:val="720"/>
          <w:marRight w:val="0"/>
          <w:marTop w:val="0"/>
          <w:marBottom w:val="0"/>
          <w:divBdr>
            <w:top w:val="none" w:sz="0" w:space="0" w:color="auto"/>
            <w:left w:val="none" w:sz="0" w:space="0" w:color="auto"/>
            <w:bottom w:val="none" w:sz="0" w:space="0" w:color="auto"/>
            <w:right w:val="none" w:sz="0" w:space="0" w:color="auto"/>
          </w:divBdr>
        </w:div>
        <w:div w:id="1958366975">
          <w:marLeft w:val="720"/>
          <w:marRight w:val="0"/>
          <w:marTop w:val="0"/>
          <w:marBottom w:val="0"/>
          <w:divBdr>
            <w:top w:val="none" w:sz="0" w:space="0" w:color="auto"/>
            <w:left w:val="none" w:sz="0" w:space="0" w:color="auto"/>
            <w:bottom w:val="none" w:sz="0" w:space="0" w:color="auto"/>
            <w:right w:val="none" w:sz="0" w:space="0" w:color="auto"/>
          </w:divBdr>
        </w:div>
        <w:div w:id="690650615">
          <w:marLeft w:val="720"/>
          <w:marRight w:val="0"/>
          <w:marTop w:val="0"/>
          <w:marBottom w:val="0"/>
          <w:divBdr>
            <w:top w:val="none" w:sz="0" w:space="0" w:color="auto"/>
            <w:left w:val="none" w:sz="0" w:space="0" w:color="auto"/>
            <w:bottom w:val="none" w:sz="0" w:space="0" w:color="auto"/>
            <w:right w:val="none" w:sz="0" w:space="0" w:color="auto"/>
          </w:divBdr>
        </w:div>
        <w:div w:id="714547944">
          <w:marLeft w:val="720"/>
          <w:marRight w:val="0"/>
          <w:marTop w:val="0"/>
          <w:marBottom w:val="0"/>
          <w:divBdr>
            <w:top w:val="none" w:sz="0" w:space="0" w:color="auto"/>
            <w:left w:val="none" w:sz="0" w:space="0" w:color="auto"/>
            <w:bottom w:val="none" w:sz="0" w:space="0" w:color="auto"/>
            <w:right w:val="none" w:sz="0" w:space="0" w:color="auto"/>
          </w:divBdr>
        </w:div>
        <w:div w:id="546331846">
          <w:marLeft w:val="720"/>
          <w:marRight w:val="0"/>
          <w:marTop w:val="0"/>
          <w:marBottom w:val="0"/>
          <w:divBdr>
            <w:top w:val="none" w:sz="0" w:space="0" w:color="auto"/>
            <w:left w:val="none" w:sz="0" w:space="0" w:color="auto"/>
            <w:bottom w:val="none" w:sz="0" w:space="0" w:color="auto"/>
            <w:right w:val="none" w:sz="0" w:space="0" w:color="auto"/>
          </w:divBdr>
        </w:div>
        <w:div w:id="1126116406">
          <w:marLeft w:val="720"/>
          <w:marRight w:val="0"/>
          <w:marTop w:val="0"/>
          <w:marBottom w:val="0"/>
          <w:divBdr>
            <w:top w:val="none" w:sz="0" w:space="0" w:color="auto"/>
            <w:left w:val="none" w:sz="0" w:space="0" w:color="auto"/>
            <w:bottom w:val="none" w:sz="0" w:space="0" w:color="auto"/>
            <w:right w:val="none" w:sz="0" w:space="0" w:color="auto"/>
          </w:divBdr>
        </w:div>
        <w:div w:id="451486934">
          <w:marLeft w:val="720"/>
          <w:marRight w:val="0"/>
          <w:marTop w:val="0"/>
          <w:marBottom w:val="0"/>
          <w:divBdr>
            <w:top w:val="none" w:sz="0" w:space="0" w:color="auto"/>
            <w:left w:val="none" w:sz="0" w:space="0" w:color="auto"/>
            <w:bottom w:val="none" w:sz="0" w:space="0" w:color="auto"/>
            <w:right w:val="none" w:sz="0" w:space="0" w:color="auto"/>
          </w:divBdr>
        </w:div>
        <w:div w:id="1113524428">
          <w:marLeft w:val="720"/>
          <w:marRight w:val="0"/>
          <w:marTop w:val="0"/>
          <w:marBottom w:val="0"/>
          <w:divBdr>
            <w:top w:val="none" w:sz="0" w:space="0" w:color="auto"/>
            <w:left w:val="none" w:sz="0" w:space="0" w:color="auto"/>
            <w:bottom w:val="none" w:sz="0" w:space="0" w:color="auto"/>
            <w:right w:val="none" w:sz="0" w:space="0" w:color="auto"/>
          </w:divBdr>
        </w:div>
        <w:div w:id="323315576">
          <w:marLeft w:val="0"/>
          <w:marRight w:val="0"/>
          <w:marTop w:val="0"/>
          <w:marBottom w:val="0"/>
          <w:divBdr>
            <w:top w:val="none" w:sz="0" w:space="0" w:color="auto"/>
            <w:left w:val="none" w:sz="0" w:space="0" w:color="auto"/>
            <w:bottom w:val="none" w:sz="0" w:space="0" w:color="auto"/>
            <w:right w:val="none" w:sz="0" w:space="0" w:color="auto"/>
          </w:divBdr>
        </w:div>
        <w:div w:id="171653060">
          <w:marLeft w:val="0"/>
          <w:marRight w:val="0"/>
          <w:marTop w:val="0"/>
          <w:marBottom w:val="0"/>
          <w:divBdr>
            <w:top w:val="none" w:sz="0" w:space="0" w:color="auto"/>
            <w:left w:val="none" w:sz="0" w:space="0" w:color="auto"/>
            <w:bottom w:val="none" w:sz="0" w:space="0" w:color="auto"/>
            <w:right w:val="none" w:sz="0" w:space="0" w:color="auto"/>
          </w:divBdr>
        </w:div>
        <w:div w:id="1911037724">
          <w:marLeft w:val="720"/>
          <w:marRight w:val="0"/>
          <w:marTop w:val="0"/>
          <w:marBottom w:val="0"/>
          <w:divBdr>
            <w:top w:val="none" w:sz="0" w:space="0" w:color="auto"/>
            <w:left w:val="none" w:sz="0" w:space="0" w:color="auto"/>
            <w:bottom w:val="none" w:sz="0" w:space="0" w:color="auto"/>
            <w:right w:val="none" w:sz="0" w:space="0" w:color="auto"/>
          </w:divBdr>
        </w:div>
        <w:div w:id="195847310">
          <w:marLeft w:val="0"/>
          <w:marRight w:val="0"/>
          <w:marTop w:val="0"/>
          <w:marBottom w:val="0"/>
          <w:divBdr>
            <w:top w:val="none" w:sz="0" w:space="0" w:color="auto"/>
            <w:left w:val="none" w:sz="0" w:space="0" w:color="auto"/>
            <w:bottom w:val="none" w:sz="0" w:space="0" w:color="auto"/>
            <w:right w:val="none" w:sz="0" w:space="0" w:color="auto"/>
          </w:divBdr>
        </w:div>
        <w:div w:id="1056005597">
          <w:marLeft w:val="0"/>
          <w:marRight w:val="0"/>
          <w:marTop w:val="0"/>
          <w:marBottom w:val="0"/>
          <w:divBdr>
            <w:top w:val="none" w:sz="0" w:space="0" w:color="auto"/>
            <w:left w:val="none" w:sz="0" w:space="0" w:color="auto"/>
            <w:bottom w:val="none" w:sz="0" w:space="0" w:color="auto"/>
            <w:right w:val="none" w:sz="0" w:space="0" w:color="auto"/>
          </w:divBdr>
        </w:div>
        <w:div w:id="354699145">
          <w:marLeft w:val="0"/>
          <w:marRight w:val="0"/>
          <w:marTop w:val="0"/>
          <w:marBottom w:val="0"/>
          <w:divBdr>
            <w:top w:val="none" w:sz="0" w:space="0" w:color="auto"/>
            <w:left w:val="none" w:sz="0" w:space="0" w:color="auto"/>
            <w:bottom w:val="none" w:sz="0" w:space="0" w:color="auto"/>
            <w:right w:val="none" w:sz="0" w:space="0" w:color="auto"/>
          </w:divBdr>
        </w:div>
        <w:div w:id="2127776746">
          <w:marLeft w:val="0"/>
          <w:marRight w:val="0"/>
          <w:marTop w:val="0"/>
          <w:marBottom w:val="0"/>
          <w:divBdr>
            <w:top w:val="none" w:sz="0" w:space="0" w:color="auto"/>
            <w:left w:val="none" w:sz="0" w:space="0" w:color="auto"/>
            <w:bottom w:val="none" w:sz="0" w:space="0" w:color="auto"/>
            <w:right w:val="none" w:sz="0" w:space="0" w:color="auto"/>
          </w:divBdr>
        </w:div>
        <w:div w:id="1909681569">
          <w:marLeft w:val="0"/>
          <w:marRight w:val="0"/>
          <w:marTop w:val="0"/>
          <w:marBottom w:val="0"/>
          <w:divBdr>
            <w:top w:val="none" w:sz="0" w:space="0" w:color="auto"/>
            <w:left w:val="none" w:sz="0" w:space="0" w:color="auto"/>
            <w:bottom w:val="none" w:sz="0" w:space="0" w:color="auto"/>
            <w:right w:val="none" w:sz="0" w:space="0" w:color="auto"/>
          </w:divBdr>
        </w:div>
        <w:div w:id="1699962946">
          <w:marLeft w:val="0"/>
          <w:marRight w:val="0"/>
          <w:marTop w:val="0"/>
          <w:marBottom w:val="0"/>
          <w:divBdr>
            <w:top w:val="none" w:sz="0" w:space="0" w:color="auto"/>
            <w:left w:val="none" w:sz="0" w:space="0" w:color="auto"/>
            <w:bottom w:val="none" w:sz="0" w:space="0" w:color="auto"/>
            <w:right w:val="none" w:sz="0" w:space="0" w:color="auto"/>
          </w:divBdr>
        </w:div>
        <w:div w:id="1522932290">
          <w:marLeft w:val="0"/>
          <w:marRight w:val="0"/>
          <w:marTop w:val="0"/>
          <w:marBottom w:val="0"/>
          <w:divBdr>
            <w:top w:val="none" w:sz="0" w:space="0" w:color="auto"/>
            <w:left w:val="none" w:sz="0" w:space="0" w:color="auto"/>
            <w:bottom w:val="none" w:sz="0" w:space="0" w:color="auto"/>
            <w:right w:val="none" w:sz="0" w:space="0" w:color="auto"/>
          </w:divBdr>
        </w:div>
        <w:div w:id="1477717598">
          <w:marLeft w:val="0"/>
          <w:marRight w:val="0"/>
          <w:marTop w:val="0"/>
          <w:marBottom w:val="0"/>
          <w:divBdr>
            <w:top w:val="none" w:sz="0" w:space="0" w:color="auto"/>
            <w:left w:val="none" w:sz="0" w:space="0" w:color="auto"/>
            <w:bottom w:val="none" w:sz="0" w:space="0" w:color="auto"/>
            <w:right w:val="none" w:sz="0" w:space="0" w:color="auto"/>
          </w:divBdr>
        </w:div>
        <w:div w:id="1511217410">
          <w:marLeft w:val="0"/>
          <w:marRight w:val="0"/>
          <w:marTop w:val="0"/>
          <w:marBottom w:val="0"/>
          <w:divBdr>
            <w:top w:val="none" w:sz="0" w:space="0" w:color="auto"/>
            <w:left w:val="none" w:sz="0" w:space="0" w:color="auto"/>
            <w:bottom w:val="none" w:sz="0" w:space="0" w:color="auto"/>
            <w:right w:val="none" w:sz="0" w:space="0" w:color="auto"/>
          </w:divBdr>
        </w:div>
        <w:div w:id="881400074">
          <w:marLeft w:val="0"/>
          <w:marRight w:val="0"/>
          <w:marTop w:val="0"/>
          <w:marBottom w:val="0"/>
          <w:divBdr>
            <w:top w:val="none" w:sz="0" w:space="0" w:color="auto"/>
            <w:left w:val="none" w:sz="0" w:space="0" w:color="auto"/>
            <w:bottom w:val="none" w:sz="0" w:space="0" w:color="auto"/>
            <w:right w:val="none" w:sz="0" w:space="0" w:color="auto"/>
          </w:divBdr>
        </w:div>
        <w:div w:id="490022074">
          <w:marLeft w:val="0"/>
          <w:marRight w:val="0"/>
          <w:marTop w:val="0"/>
          <w:marBottom w:val="0"/>
          <w:divBdr>
            <w:top w:val="none" w:sz="0" w:space="0" w:color="auto"/>
            <w:left w:val="none" w:sz="0" w:space="0" w:color="auto"/>
            <w:bottom w:val="none" w:sz="0" w:space="0" w:color="auto"/>
            <w:right w:val="none" w:sz="0" w:space="0" w:color="auto"/>
          </w:divBdr>
        </w:div>
        <w:div w:id="2072187324">
          <w:marLeft w:val="0"/>
          <w:marRight w:val="0"/>
          <w:marTop w:val="0"/>
          <w:marBottom w:val="0"/>
          <w:divBdr>
            <w:top w:val="none" w:sz="0" w:space="0" w:color="auto"/>
            <w:left w:val="none" w:sz="0" w:space="0" w:color="auto"/>
            <w:bottom w:val="none" w:sz="0" w:space="0" w:color="auto"/>
            <w:right w:val="none" w:sz="0" w:space="0" w:color="auto"/>
          </w:divBdr>
        </w:div>
        <w:div w:id="1850948068">
          <w:marLeft w:val="1080"/>
          <w:marRight w:val="0"/>
          <w:marTop w:val="0"/>
          <w:marBottom w:val="0"/>
          <w:divBdr>
            <w:top w:val="none" w:sz="0" w:space="0" w:color="auto"/>
            <w:left w:val="none" w:sz="0" w:space="0" w:color="auto"/>
            <w:bottom w:val="none" w:sz="0" w:space="0" w:color="auto"/>
            <w:right w:val="none" w:sz="0" w:space="0" w:color="auto"/>
          </w:divBdr>
        </w:div>
        <w:div w:id="1770156046">
          <w:marLeft w:val="1080"/>
          <w:marRight w:val="0"/>
          <w:marTop w:val="0"/>
          <w:marBottom w:val="0"/>
          <w:divBdr>
            <w:top w:val="none" w:sz="0" w:space="0" w:color="auto"/>
            <w:left w:val="none" w:sz="0" w:space="0" w:color="auto"/>
            <w:bottom w:val="none" w:sz="0" w:space="0" w:color="auto"/>
            <w:right w:val="none" w:sz="0" w:space="0" w:color="auto"/>
          </w:divBdr>
        </w:div>
        <w:div w:id="1834103710">
          <w:marLeft w:val="1080"/>
          <w:marRight w:val="0"/>
          <w:marTop w:val="0"/>
          <w:marBottom w:val="0"/>
          <w:divBdr>
            <w:top w:val="none" w:sz="0" w:space="0" w:color="auto"/>
            <w:left w:val="none" w:sz="0" w:space="0" w:color="auto"/>
            <w:bottom w:val="none" w:sz="0" w:space="0" w:color="auto"/>
            <w:right w:val="none" w:sz="0" w:space="0" w:color="auto"/>
          </w:divBdr>
        </w:div>
        <w:div w:id="1093939710">
          <w:marLeft w:val="720"/>
          <w:marRight w:val="0"/>
          <w:marTop w:val="0"/>
          <w:marBottom w:val="0"/>
          <w:divBdr>
            <w:top w:val="none" w:sz="0" w:space="0" w:color="auto"/>
            <w:left w:val="none" w:sz="0" w:space="0" w:color="auto"/>
            <w:bottom w:val="none" w:sz="0" w:space="0" w:color="auto"/>
            <w:right w:val="none" w:sz="0" w:space="0" w:color="auto"/>
          </w:divBdr>
        </w:div>
        <w:div w:id="1665350635">
          <w:marLeft w:val="1080"/>
          <w:marRight w:val="0"/>
          <w:marTop w:val="0"/>
          <w:marBottom w:val="0"/>
          <w:divBdr>
            <w:top w:val="none" w:sz="0" w:space="0" w:color="auto"/>
            <w:left w:val="none" w:sz="0" w:space="0" w:color="auto"/>
            <w:bottom w:val="none" w:sz="0" w:space="0" w:color="auto"/>
            <w:right w:val="none" w:sz="0" w:space="0" w:color="auto"/>
          </w:divBdr>
        </w:div>
        <w:div w:id="943850197">
          <w:marLeft w:val="360"/>
          <w:marRight w:val="0"/>
          <w:marTop w:val="0"/>
          <w:marBottom w:val="0"/>
          <w:divBdr>
            <w:top w:val="none" w:sz="0" w:space="0" w:color="auto"/>
            <w:left w:val="none" w:sz="0" w:space="0" w:color="auto"/>
            <w:bottom w:val="none" w:sz="0" w:space="0" w:color="auto"/>
            <w:right w:val="none" w:sz="0" w:space="0" w:color="auto"/>
          </w:divBdr>
        </w:div>
        <w:div w:id="808782820">
          <w:marLeft w:val="0"/>
          <w:marRight w:val="0"/>
          <w:marTop w:val="0"/>
          <w:marBottom w:val="0"/>
          <w:divBdr>
            <w:top w:val="none" w:sz="0" w:space="0" w:color="auto"/>
            <w:left w:val="none" w:sz="0" w:space="0" w:color="auto"/>
            <w:bottom w:val="none" w:sz="0" w:space="0" w:color="auto"/>
            <w:right w:val="none" w:sz="0" w:space="0" w:color="auto"/>
          </w:divBdr>
        </w:div>
      </w:divsChild>
    </w:div>
    <w:div w:id="1467702388">
      <w:bodyDiv w:val="1"/>
      <w:marLeft w:val="0"/>
      <w:marRight w:val="0"/>
      <w:marTop w:val="0"/>
      <w:marBottom w:val="0"/>
      <w:divBdr>
        <w:top w:val="none" w:sz="0" w:space="0" w:color="auto"/>
        <w:left w:val="none" w:sz="0" w:space="0" w:color="auto"/>
        <w:bottom w:val="none" w:sz="0" w:space="0" w:color="auto"/>
        <w:right w:val="none" w:sz="0" w:space="0" w:color="auto"/>
      </w:divBdr>
    </w:div>
    <w:div w:id="1572232470">
      <w:bodyDiv w:val="1"/>
      <w:marLeft w:val="0"/>
      <w:marRight w:val="0"/>
      <w:marTop w:val="0"/>
      <w:marBottom w:val="0"/>
      <w:divBdr>
        <w:top w:val="none" w:sz="0" w:space="0" w:color="auto"/>
        <w:left w:val="none" w:sz="0" w:space="0" w:color="auto"/>
        <w:bottom w:val="none" w:sz="0" w:space="0" w:color="auto"/>
        <w:right w:val="none" w:sz="0" w:space="0" w:color="auto"/>
      </w:divBdr>
    </w:div>
    <w:div w:id="1572276813">
      <w:bodyDiv w:val="1"/>
      <w:marLeft w:val="0"/>
      <w:marRight w:val="0"/>
      <w:marTop w:val="0"/>
      <w:marBottom w:val="0"/>
      <w:divBdr>
        <w:top w:val="none" w:sz="0" w:space="0" w:color="auto"/>
        <w:left w:val="none" w:sz="0" w:space="0" w:color="auto"/>
        <w:bottom w:val="none" w:sz="0" w:space="0" w:color="auto"/>
        <w:right w:val="none" w:sz="0" w:space="0" w:color="auto"/>
      </w:divBdr>
      <w:divsChild>
        <w:div w:id="1227111791">
          <w:marLeft w:val="0"/>
          <w:marRight w:val="0"/>
          <w:marTop w:val="0"/>
          <w:marBottom w:val="0"/>
          <w:divBdr>
            <w:top w:val="none" w:sz="0" w:space="0" w:color="auto"/>
            <w:left w:val="none" w:sz="0" w:space="0" w:color="auto"/>
            <w:bottom w:val="none" w:sz="0" w:space="0" w:color="auto"/>
            <w:right w:val="none" w:sz="0" w:space="0" w:color="auto"/>
          </w:divBdr>
          <w:divsChild>
            <w:div w:id="17150413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76238820">
      <w:bodyDiv w:val="1"/>
      <w:marLeft w:val="0"/>
      <w:marRight w:val="0"/>
      <w:marTop w:val="0"/>
      <w:marBottom w:val="0"/>
      <w:divBdr>
        <w:top w:val="none" w:sz="0" w:space="0" w:color="auto"/>
        <w:left w:val="none" w:sz="0" w:space="0" w:color="auto"/>
        <w:bottom w:val="none" w:sz="0" w:space="0" w:color="auto"/>
        <w:right w:val="none" w:sz="0" w:space="0" w:color="auto"/>
      </w:divBdr>
    </w:div>
    <w:div w:id="1586180931">
      <w:bodyDiv w:val="1"/>
      <w:marLeft w:val="0"/>
      <w:marRight w:val="0"/>
      <w:marTop w:val="0"/>
      <w:marBottom w:val="0"/>
      <w:divBdr>
        <w:top w:val="none" w:sz="0" w:space="0" w:color="auto"/>
        <w:left w:val="none" w:sz="0" w:space="0" w:color="auto"/>
        <w:bottom w:val="none" w:sz="0" w:space="0" w:color="auto"/>
        <w:right w:val="none" w:sz="0" w:space="0" w:color="auto"/>
      </w:divBdr>
    </w:div>
    <w:div w:id="1691951171">
      <w:bodyDiv w:val="1"/>
      <w:marLeft w:val="0"/>
      <w:marRight w:val="0"/>
      <w:marTop w:val="0"/>
      <w:marBottom w:val="0"/>
      <w:divBdr>
        <w:top w:val="none" w:sz="0" w:space="0" w:color="auto"/>
        <w:left w:val="none" w:sz="0" w:space="0" w:color="auto"/>
        <w:bottom w:val="none" w:sz="0" w:space="0" w:color="auto"/>
        <w:right w:val="none" w:sz="0" w:space="0" w:color="auto"/>
      </w:divBdr>
    </w:div>
    <w:div w:id="1692561746">
      <w:bodyDiv w:val="1"/>
      <w:marLeft w:val="0"/>
      <w:marRight w:val="0"/>
      <w:marTop w:val="0"/>
      <w:marBottom w:val="0"/>
      <w:divBdr>
        <w:top w:val="none" w:sz="0" w:space="0" w:color="auto"/>
        <w:left w:val="none" w:sz="0" w:space="0" w:color="auto"/>
        <w:bottom w:val="none" w:sz="0" w:space="0" w:color="auto"/>
        <w:right w:val="none" w:sz="0" w:space="0" w:color="auto"/>
      </w:divBdr>
    </w:div>
    <w:div w:id="1822841539">
      <w:bodyDiv w:val="1"/>
      <w:marLeft w:val="0"/>
      <w:marRight w:val="0"/>
      <w:marTop w:val="0"/>
      <w:marBottom w:val="0"/>
      <w:divBdr>
        <w:top w:val="none" w:sz="0" w:space="0" w:color="auto"/>
        <w:left w:val="none" w:sz="0" w:space="0" w:color="auto"/>
        <w:bottom w:val="none" w:sz="0" w:space="0" w:color="auto"/>
        <w:right w:val="none" w:sz="0" w:space="0" w:color="auto"/>
      </w:divBdr>
    </w:div>
    <w:div w:id="1882278928">
      <w:bodyDiv w:val="1"/>
      <w:marLeft w:val="0"/>
      <w:marRight w:val="0"/>
      <w:marTop w:val="0"/>
      <w:marBottom w:val="0"/>
      <w:divBdr>
        <w:top w:val="none" w:sz="0" w:space="0" w:color="auto"/>
        <w:left w:val="none" w:sz="0" w:space="0" w:color="auto"/>
        <w:bottom w:val="none" w:sz="0" w:space="0" w:color="auto"/>
        <w:right w:val="none" w:sz="0" w:space="0" w:color="auto"/>
      </w:divBdr>
    </w:div>
    <w:div w:id="1956867281">
      <w:bodyDiv w:val="1"/>
      <w:marLeft w:val="0"/>
      <w:marRight w:val="0"/>
      <w:marTop w:val="0"/>
      <w:marBottom w:val="0"/>
      <w:divBdr>
        <w:top w:val="none" w:sz="0" w:space="0" w:color="auto"/>
        <w:left w:val="none" w:sz="0" w:space="0" w:color="auto"/>
        <w:bottom w:val="none" w:sz="0" w:space="0" w:color="auto"/>
        <w:right w:val="none" w:sz="0" w:space="0" w:color="auto"/>
      </w:divBdr>
    </w:div>
    <w:div w:id="1984263754">
      <w:bodyDiv w:val="1"/>
      <w:marLeft w:val="0"/>
      <w:marRight w:val="0"/>
      <w:marTop w:val="0"/>
      <w:marBottom w:val="0"/>
      <w:divBdr>
        <w:top w:val="none" w:sz="0" w:space="0" w:color="auto"/>
        <w:left w:val="none" w:sz="0" w:space="0" w:color="auto"/>
        <w:bottom w:val="none" w:sz="0" w:space="0" w:color="auto"/>
        <w:right w:val="none" w:sz="0" w:space="0" w:color="auto"/>
      </w:divBdr>
    </w:div>
    <w:div w:id="2023580305">
      <w:bodyDiv w:val="1"/>
      <w:marLeft w:val="0"/>
      <w:marRight w:val="0"/>
      <w:marTop w:val="0"/>
      <w:marBottom w:val="0"/>
      <w:divBdr>
        <w:top w:val="none" w:sz="0" w:space="0" w:color="auto"/>
        <w:left w:val="none" w:sz="0" w:space="0" w:color="auto"/>
        <w:bottom w:val="none" w:sz="0" w:space="0" w:color="auto"/>
        <w:right w:val="none" w:sz="0" w:space="0" w:color="auto"/>
      </w:divBdr>
    </w:div>
    <w:div w:id="2029331501">
      <w:bodyDiv w:val="1"/>
      <w:marLeft w:val="0"/>
      <w:marRight w:val="0"/>
      <w:marTop w:val="0"/>
      <w:marBottom w:val="0"/>
      <w:divBdr>
        <w:top w:val="none" w:sz="0" w:space="0" w:color="auto"/>
        <w:left w:val="none" w:sz="0" w:space="0" w:color="auto"/>
        <w:bottom w:val="none" w:sz="0" w:space="0" w:color="auto"/>
        <w:right w:val="none" w:sz="0" w:space="0" w:color="auto"/>
      </w:divBdr>
    </w:div>
    <w:div w:id="21246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law.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uk/downloads/courts/administrative-court/aco-costs-guidance-dec-1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uk/courts/rcj-rolls-building/administrative-court/listing-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gallagher@doughtystreet.co.uk"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iicl.org/files/2223_skeleton_arguments_guide.pdf" TargetMode="External"/><Relationship Id="rId1" Type="http://schemas.openxmlformats.org/officeDocument/2006/relationships/hyperlink" Target="https://assets.publishing.service.gov.uk/government/uploads/system/uploads/attachment_data/file/540585/administrative-court-fee-increa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Wassouf_threec\AppData\Local\Microsoft\Windows\Temporary%20Internet%20Files\Content.Outlook\WIPQZ65S\Memo%20Template.dotm" TargetMode="External"/></Relationships>
</file>

<file path=word/theme/theme1.xml><?xml version="1.0" encoding="utf-8"?>
<a:theme xmlns:a="http://schemas.openxmlformats.org/drawingml/2006/main" name="Office Theme">
  <a:themeElements>
    <a:clrScheme name="3C">
      <a:dk1>
        <a:sysClr val="windowText" lastClr="000000"/>
      </a:dk1>
      <a:lt1>
        <a:sysClr val="window" lastClr="FFFFFF"/>
      </a:lt1>
      <a:dk2>
        <a:srgbClr val="000000"/>
      </a:dk2>
      <a:lt2>
        <a:srgbClr val="FFFFFF"/>
      </a:lt2>
      <a:accent1>
        <a:srgbClr val="90825D"/>
      </a:accent1>
      <a:accent2>
        <a:srgbClr val="777877"/>
      </a:accent2>
      <a:accent3>
        <a:srgbClr val="C8C1AE"/>
      </a:accent3>
      <a:accent4>
        <a:srgbClr val="BBBCBB"/>
      </a:accent4>
      <a:accent5>
        <a:srgbClr val="E9E6DF"/>
      </a:accent5>
      <a:accent6>
        <a:srgbClr val="E4E4E4"/>
      </a:accent6>
      <a:hlink>
        <a:srgbClr val="0000FF"/>
      </a:hlink>
      <a:folHlink>
        <a:srgbClr val="800080"/>
      </a:folHlink>
    </a:clrScheme>
    <a:fontScheme name="3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9051CE-A143-4C88-A14A-B4D4AA23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1</TotalTime>
  <Pages>35</Pages>
  <Words>8721</Words>
  <Characters>49710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Wassouf</dc:creator>
  <cp:lastModifiedBy>Susan Monteiro</cp:lastModifiedBy>
  <cp:revision>2</cp:revision>
  <cp:lastPrinted>2018-11-22T13:59:00Z</cp:lastPrinted>
  <dcterms:created xsi:type="dcterms:W3CDTF">2020-01-06T17:59:00Z</dcterms:created>
  <dcterms:modified xsi:type="dcterms:W3CDTF">2020-01-06T17:59:00Z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PathToINIFile">
    <vt:lpwstr>TC_Global.ini</vt:lpwstr>
  </property>
  <property fmtid="{D5CDD505-2E9C-101B-9397-08002B2CF9AE}" pid="3" name="MS_Version">
    <vt:lpwstr>1.0.2</vt:lpwstr>
  </property>
</Properties>
</file>