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9CFDC" w14:textId="77777777" w:rsidR="00EB5785" w:rsidRPr="00EB5785" w:rsidRDefault="00EB5785" w:rsidP="00EB5785">
      <w:pPr>
        <w:pStyle w:val="Title"/>
        <w:jc w:val="center"/>
        <w:rPr>
          <w:rFonts w:ascii="Arial" w:hAnsi="Arial" w:cs="Arial"/>
          <w:sz w:val="28"/>
          <w:szCs w:val="22"/>
        </w:rPr>
      </w:pPr>
      <w:bookmarkStart w:id="0" w:name="_GoBack"/>
      <w:bookmarkEnd w:id="0"/>
      <w:r w:rsidRPr="00EB5785">
        <w:rPr>
          <w:rFonts w:ascii="Arial" w:hAnsi="Arial" w:cs="Arial"/>
          <w:sz w:val="28"/>
          <w:szCs w:val="22"/>
        </w:rPr>
        <w:t>INTRODUCTION TO JUDICIAL REVIEW</w:t>
      </w:r>
    </w:p>
    <w:p w14:paraId="1CC8334B" w14:textId="77777777" w:rsidR="00EB5785" w:rsidRPr="00EB5785" w:rsidRDefault="00EB5785" w:rsidP="00EB5785">
      <w:pPr>
        <w:pStyle w:val="Title"/>
        <w:jc w:val="center"/>
        <w:rPr>
          <w:rFonts w:ascii="Arial" w:hAnsi="Arial" w:cs="Arial"/>
          <w:sz w:val="28"/>
          <w:szCs w:val="22"/>
        </w:rPr>
      </w:pPr>
    </w:p>
    <w:p w14:paraId="47648E33" w14:textId="0EFABD8C" w:rsidR="00EB5785" w:rsidRPr="00EB5785" w:rsidRDefault="00EB5785" w:rsidP="00EB5785">
      <w:pPr>
        <w:pStyle w:val="Title"/>
        <w:jc w:val="center"/>
        <w:rPr>
          <w:rFonts w:ascii="Arial" w:hAnsi="Arial" w:cs="Arial"/>
          <w:b w:val="0"/>
          <w:i/>
          <w:sz w:val="28"/>
          <w:szCs w:val="22"/>
        </w:rPr>
      </w:pPr>
      <w:r w:rsidRPr="00EB5785">
        <w:rPr>
          <w:rFonts w:ascii="Arial" w:hAnsi="Arial" w:cs="Arial"/>
          <w:b w:val="0"/>
          <w:i/>
          <w:sz w:val="28"/>
          <w:szCs w:val="22"/>
        </w:rPr>
        <w:t xml:space="preserve">Administrative Law Bar Association, </w:t>
      </w:r>
      <w:r>
        <w:rPr>
          <w:rFonts w:ascii="Arial" w:hAnsi="Arial" w:cs="Arial"/>
          <w:b w:val="0"/>
          <w:i/>
          <w:sz w:val="28"/>
          <w:szCs w:val="22"/>
        </w:rPr>
        <w:t>A</w:t>
      </w:r>
      <w:r w:rsidR="003573CE">
        <w:rPr>
          <w:rFonts w:ascii="Arial" w:hAnsi="Arial" w:cs="Arial"/>
          <w:b w:val="0"/>
          <w:i/>
          <w:sz w:val="28"/>
          <w:szCs w:val="22"/>
        </w:rPr>
        <w:t>utumn 2017</w:t>
      </w:r>
    </w:p>
    <w:p w14:paraId="15ED2B6D" w14:textId="24800C33" w:rsidR="00EB5785" w:rsidRPr="00EB5785" w:rsidRDefault="00EB5785" w:rsidP="00EB5785">
      <w:pPr>
        <w:pStyle w:val="Title"/>
        <w:jc w:val="both"/>
        <w:rPr>
          <w:rFonts w:ascii="Arial" w:hAnsi="Arial" w:cs="Arial"/>
          <w:b w:val="0"/>
          <w:sz w:val="28"/>
          <w:szCs w:val="22"/>
        </w:rPr>
      </w:pPr>
    </w:p>
    <w:p w14:paraId="77A22B83" w14:textId="77777777" w:rsidR="00EB5785" w:rsidRDefault="00EB5785" w:rsidP="00EB5785">
      <w:pPr>
        <w:pStyle w:val="Title"/>
        <w:jc w:val="both"/>
        <w:rPr>
          <w:rFonts w:ascii="Arial" w:hAnsi="Arial" w:cs="Arial"/>
          <w:b w:val="0"/>
          <w:sz w:val="22"/>
          <w:szCs w:val="22"/>
        </w:rPr>
      </w:pPr>
    </w:p>
    <w:p w14:paraId="5F60CE60" w14:textId="14A49BD4" w:rsidR="00EB5785" w:rsidRPr="00EB5785" w:rsidRDefault="00EB5785" w:rsidP="00EB5785">
      <w:pPr>
        <w:pStyle w:val="Title"/>
        <w:jc w:val="both"/>
        <w:rPr>
          <w:rFonts w:ascii="Arial" w:hAnsi="Arial" w:cs="Arial"/>
          <w:sz w:val="24"/>
          <w:szCs w:val="22"/>
        </w:rPr>
      </w:pPr>
      <w:r>
        <w:rPr>
          <w:rFonts w:ascii="Arial" w:hAnsi="Arial" w:cs="Arial"/>
          <w:sz w:val="24"/>
          <w:szCs w:val="22"/>
        </w:rPr>
        <w:t>Preliminary P</w:t>
      </w:r>
      <w:r w:rsidRPr="00EB5785">
        <w:rPr>
          <w:rFonts w:ascii="Arial" w:hAnsi="Arial" w:cs="Arial"/>
          <w:sz w:val="24"/>
          <w:szCs w:val="22"/>
        </w:rPr>
        <w:t>rocedural Issues</w:t>
      </w:r>
    </w:p>
    <w:p w14:paraId="3EB60754" w14:textId="28067275" w:rsidR="00EB5785" w:rsidRPr="00EB5785" w:rsidRDefault="00EB5785" w:rsidP="00EB5785">
      <w:pPr>
        <w:pStyle w:val="Title"/>
        <w:jc w:val="both"/>
        <w:rPr>
          <w:rFonts w:ascii="Arial" w:hAnsi="Arial" w:cs="Arial"/>
          <w:sz w:val="20"/>
          <w:szCs w:val="22"/>
        </w:rPr>
      </w:pPr>
    </w:p>
    <w:p w14:paraId="1A61CA3F" w14:textId="1C5E5320" w:rsidR="00EB5785" w:rsidRPr="00EB5785" w:rsidRDefault="00EB5785" w:rsidP="00EB5785">
      <w:pPr>
        <w:pStyle w:val="Title"/>
        <w:jc w:val="both"/>
        <w:rPr>
          <w:rFonts w:ascii="Arial" w:hAnsi="Arial" w:cs="Arial"/>
          <w:sz w:val="24"/>
          <w:szCs w:val="22"/>
        </w:rPr>
      </w:pPr>
      <w:r w:rsidRPr="00EB5785">
        <w:rPr>
          <w:rFonts w:ascii="Arial" w:hAnsi="Arial" w:cs="Arial"/>
          <w:sz w:val="24"/>
          <w:szCs w:val="22"/>
        </w:rPr>
        <w:t>James Cornwell</w:t>
      </w:r>
    </w:p>
    <w:p w14:paraId="77B01F14" w14:textId="77777777" w:rsidR="00EB5785" w:rsidRPr="00653948" w:rsidRDefault="00EB5785" w:rsidP="00EB5785">
      <w:pPr>
        <w:jc w:val="center"/>
        <w:rPr>
          <w:rFonts w:ascii="Arial" w:hAnsi="Arial" w:cs="Arial"/>
          <w:b/>
          <w:szCs w:val="22"/>
        </w:rPr>
      </w:pPr>
    </w:p>
    <w:p w14:paraId="3AA53954" w14:textId="77777777" w:rsidR="00EB5785" w:rsidRPr="00653948" w:rsidRDefault="00EB5785" w:rsidP="00EB5785">
      <w:pPr>
        <w:jc w:val="center"/>
        <w:rPr>
          <w:rFonts w:ascii="Arial" w:hAnsi="Arial" w:cs="Arial"/>
          <w:b/>
          <w:szCs w:val="22"/>
        </w:rPr>
      </w:pPr>
    </w:p>
    <w:p w14:paraId="6F95171E" w14:textId="77777777" w:rsidR="00EB5785" w:rsidRPr="00653948" w:rsidRDefault="00EB5785" w:rsidP="00EB5785">
      <w:pPr>
        <w:jc w:val="both"/>
        <w:rPr>
          <w:rFonts w:ascii="Arial" w:hAnsi="Arial" w:cs="Arial"/>
          <w:b/>
          <w:szCs w:val="22"/>
        </w:rPr>
      </w:pPr>
      <w:r w:rsidRPr="00653948">
        <w:rPr>
          <w:rFonts w:ascii="Arial" w:hAnsi="Arial" w:cs="Arial"/>
          <w:b/>
          <w:szCs w:val="22"/>
        </w:rPr>
        <w:t xml:space="preserve">Introduction </w:t>
      </w:r>
    </w:p>
    <w:p w14:paraId="45A4BE4D" w14:textId="77777777" w:rsidR="00EB5785" w:rsidRPr="00653948" w:rsidRDefault="00EB5785" w:rsidP="00EB5785">
      <w:pPr>
        <w:jc w:val="both"/>
        <w:rPr>
          <w:rFonts w:ascii="Arial" w:hAnsi="Arial" w:cs="Arial"/>
          <w:szCs w:val="22"/>
        </w:rPr>
      </w:pPr>
    </w:p>
    <w:p w14:paraId="5C257918" w14:textId="3DB96E47" w:rsidR="00EB5785"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The topics covered in this paper are as follows:-</w:t>
      </w:r>
      <w:r w:rsidRPr="00653948">
        <w:rPr>
          <w:rFonts w:ascii="Arial" w:hAnsi="Arial" w:cs="Arial"/>
          <w:sz w:val="22"/>
          <w:szCs w:val="22"/>
        </w:rPr>
        <w:tab/>
      </w:r>
    </w:p>
    <w:p w14:paraId="0DC8682C" w14:textId="77777777" w:rsidR="00EB5785" w:rsidRPr="00653948" w:rsidRDefault="00EB5785" w:rsidP="00EB5785">
      <w:pPr>
        <w:pStyle w:val="ListParagraph"/>
        <w:ind w:left="360"/>
        <w:jc w:val="both"/>
        <w:rPr>
          <w:rFonts w:ascii="Arial" w:hAnsi="Arial" w:cs="Arial"/>
          <w:sz w:val="22"/>
          <w:szCs w:val="22"/>
        </w:rPr>
      </w:pPr>
    </w:p>
    <w:p w14:paraId="32DE47E4" w14:textId="77777777" w:rsidR="00EB5785" w:rsidRDefault="00EB5785" w:rsidP="00EB5785">
      <w:pPr>
        <w:pStyle w:val="ListParagraph"/>
        <w:numPr>
          <w:ilvl w:val="0"/>
          <w:numId w:val="35"/>
        </w:numPr>
        <w:ind w:left="1100"/>
        <w:jc w:val="both"/>
        <w:rPr>
          <w:rFonts w:ascii="Arial" w:hAnsi="Arial" w:cs="Arial"/>
          <w:sz w:val="22"/>
          <w:szCs w:val="22"/>
        </w:rPr>
      </w:pPr>
      <w:r w:rsidRPr="00653948">
        <w:rPr>
          <w:rFonts w:ascii="Arial" w:hAnsi="Arial" w:cs="Arial"/>
          <w:sz w:val="22"/>
          <w:szCs w:val="22"/>
        </w:rPr>
        <w:t>Outline of CPR Part 54 procedure</w:t>
      </w:r>
      <w:r>
        <w:rPr>
          <w:rFonts w:ascii="Arial" w:hAnsi="Arial" w:cs="Arial"/>
          <w:sz w:val="22"/>
          <w:szCs w:val="22"/>
        </w:rPr>
        <w:t>;</w:t>
      </w:r>
    </w:p>
    <w:p w14:paraId="24A387DB" w14:textId="72FB6F00" w:rsidR="00EB5785" w:rsidRPr="00653948" w:rsidRDefault="00EB5785" w:rsidP="00EB5785">
      <w:pPr>
        <w:pStyle w:val="ListParagraph"/>
        <w:ind w:left="1100"/>
        <w:jc w:val="both"/>
        <w:rPr>
          <w:rFonts w:ascii="Arial" w:hAnsi="Arial" w:cs="Arial"/>
          <w:sz w:val="22"/>
          <w:szCs w:val="22"/>
        </w:rPr>
      </w:pPr>
      <w:r w:rsidRPr="00653948">
        <w:rPr>
          <w:rFonts w:ascii="Arial" w:hAnsi="Arial" w:cs="Arial"/>
          <w:sz w:val="22"/>
          <w:szCs w:val="22"/>
        </w:rPr>
        <w:t xml:space="preserve"> </w:t>
      </w:r>
    </w:p>
    <w:p w14:paraId="309F92E2" w14:textId="69700F07" w:rsidR="00EB5785" w:rsidRDefault="00EB5785" w:rsidP="00EB5785">
      <w:pPr>
        <w:pStyle w:val="ListParagraph"/>
        <w:numPr>
          <w:ilvl w:val="0"/>
          <w:numId w:val="35"/>
        </w:numPr>
        <w:ind w:left="1100"/>
        <w:jc w:val="both"/>
        <w:rPr>
          <w:rFonts w:ascii="Arial" w:hAnsi="Arial" w:cs="Arial"/>
          <w:sz w:val="22"/>
          <w:szCs w:val="22"/>
        </w:rPr>
      </w:pPr>
      <w:r w:rsidRPr="00653948">
        <w:rPr>
          <w:rFonts w:ascii="Arial" w:hAnsi="Arial" w:cs="Arial"/>
          <w:sz w:val="22"/>
          <w:szCs w:val="22"/>
        </w:rPr>
        <w:t>Standing</w:t>
      </w:r>
      <w:r>
        <w:rPr>
          <w:rFonts w:ascii="Arial" w:hAnsi="Arial" w:cs="Arial"/>
          <w:sz w:val="22"/>
          <w:szCs w:val="22"/>
        </w:rPr>
        <w:t>;</w:t>
      </w:r>
    </w:p>
    <w:p w14:paraId="3F773CC5" w14:textId="77777777" w:rsidR="00EB5785" w:rsidRPr="00EB5785" w:rsidRDefault="00EB5785" w:rsidP="00EB5785">
      <w:pPr>
        <w:pStyle w:val="ListParagraph"/>
        <w:rPr>
          <w:rFonts w:ascii="Arial" w:hAnsi="Arial" w:cs="Arial"/>
          <w:sz w:val="22"/>
          <w:szCs w:val="22"/>
        </w:rPr>
      </w:pPr>
    </w:p>
    <w:p w14:paraId="74D2B606" w14:textId="35439FF6" w:rsidR="00EB5785" w:rsidRDefault="00EB5785" w:rsidP="00EB5785">
      <w:pPr>
        <w:pStyle w:val="ListParagraph"/>
        <w:numPr>
          <w:ilvl w:val="0"/>
          <w:numId w:val="35"/>
        </w:numPr>
        <w:ind w:left="1100"/>
        <w:jc w:val="both"/>
        <w:rPr>
          <w:rFonts w:ascii="Arial" w:hAnsi="Arial" w:cs="Arial"/>
          <w:sz w:val="22"/>
          <w:szCs w:val="22"/>
        </w:rPr>
      </w:pPr>
      <w:r w:rsidRPr="00653948">
        <w:rPr>
          <w:rFonts w:ascii="Arial" w:hAnsi="Arial" w:cs="Arial"/>
          <w:sz w:val="22"/>
          <w:szCs w:val="22"/>
        </w:rPr>
        <w:t>Time limits</w:t>
      </w:r>
      <w:r>
        <w:rPr>
          <w:rFonts w:ascii="Arial" w:hAnsi="Arial" w:cs="Arial"/>
          <w:sz w:val="22"/>
          <w:szCs w:val="22"/>
        </w:rPr>
        <w:t>;</w:t>
      </w:r>
    </w:p>
    <w:p w14:paraId="7A239582" w14:textId="77777777" w:rsidR="00EB5785" w:rsidRPr="00EB5785" w:rsidRDefault="00EB5785" w:rsidP="00EB5785">
      <w:pPr>
        <w:pStyle w:val="ListParagraph"/>
        <w:rPr>
          <w:rFonts w:ascii="Arial" w:hAnsi="Arial" w:cs="Arial"/>
          <w:sz w:val="22"/>
          <w:szCs w:val="22"/>
        </w:rPr>
      </w:pPr>
    </w:p>
    <w:p w14:paraId="529E00C9" w14:textId="6016891E" w:rsidR="00EB5785" w:rsidRDefault="00EB5785" w:rsidP="00EB5785">
      <w:pPr>
        <w:pStyle w:val="ListParagraph"/>
        <w:numPr>
          <w:ilvl w:val="0"/>
          <w:numId w:val="35"/>
        </w:numPr>
        <w:ind w:left="1100"/>
        <w:jc w:val="both"/>
        <w:rPr>
          <w:rFonts w:ascii="Arial" w:hAnsi="Arial" w:cs="Arial"/>
          <w:sz w:val="22"/>
          <w:szCs w:val="22"/>
        </w:rPr>
      </w:pPr>
      <w:r>
        <w:rPr>
          <w:rFonts w:ascii="Arial" w:hAnsi="Arial" w:cs="Arial"/>
          <w:sz w:val="22"/>
          <w:szCs w:val="22"/>
        </w:rPr>
        <w:t>Alternative remedies;</w:t>
      </w:r>
    </w:p>
    <w:p w14:paraId="1168ED9F" w14:textId="77777777" w:rsidR="00EB5785" w:rsidRPr="00EB5785" w:rsidRDefault="00EB5785" w:rsidP="00EB5785">
      <w:pPr>
        <w:pStyle w:val="ListParagraph"/>
        <w:rPr>
          <w:rFonts w:ascii="Arial" w:hAnsi="Arial" w:cs="Arial"/>
          <w:sz w:val="22"/>
          <w:szCs w:val="22"/>
        </w:rPr>
      </w:pPr>
    </w:p>
    <w:p w14:paraId="1290FB8F" w14:textId="4AF6E37D" w:rsidR="00EB5785" w:rsidRDefault="00EB5785" w:rsidP="00EB5785">
      <w:pPr>
        <w:pStyle w:val="ListParagraph"/>
        <w:numPr>
          <w:ilvl w:val="0"/>
          <w:numId w:val="35"/>
        </w:numPr>
        <w:ind w:left="1100"/>
        <w:jc w:val="both"/>
        <w:rPr>
          <w:rFonts w:ascii="Arial" w:hAnsi="Arial" w:cs="Arial"/>
          <w:sz w:val="22"/>
          <w:szCs w:val="22"/>
        </w:rPr>
      </w:pPr>
      <w:r w:rsidRPr="00653948">
        <w:rPr>
          <w:rFonts w:ascii="Arial" w:hAnsi="Arial" w:cs="Arial"/>
          <w:i/>
          <w:sz w:val="22"/>
          <w:szCs w:val="22"/>
        </w:rPr>
        <w:t xml:space="preserve">Cart </w:t>
      </w:r>
      <w:r>
        <w:rPr>
          <w:rFonts w:ascii="Arial" w:hAnsi="Arial" w:cs="Arial"/>
          <w:sz w:val="22"/>
          <w:szCs w:val="22"/>
        </w:rPr>
        <w:t>challenges;</w:t>
      </w:r>
    </w:p>
    <w:p w14:paraId="7F01A59E" w14:textId="77777777" w:rsidR="00EB5785" w:rsidRPr="00EB5785" w:rsidRDefault="00EB5785" w:rsidP="00EB5785">
      <w:pPr>
        <w:pStyle w:val="ListParagraph"/>
        <w:rPr>
          <w:rFonts w:ascii="Arial" w:hAnsi="Arial" w:cs="Arial"/>
          <w:sz w:val="22"/>
          <w:szCs w:val="22"/>
        </w:rPr>
      </w:pPr>
    </w:p>
    <w:p w14:paraId="5F0F5CF0" w14:textId="4422F9B3" w:rsidR="00EB5785" w:rsidRDefault="00EB5785" w:rsidP="00EB5785">
      <w:pPr>
        <w:pStyle w:val="ListParagraph"/>
        <w:numPr>
          <w:ilvl w:val="0"/>
          <w:numId w:val="35"/>
        </w:numPr>
        <w:ind w:left="1100"/>
        <w:jc w:val="both"/>
        <w:rPr>
          <w:rFonts w:ascii="Arial" w:hAnsi="Arial" w:cs="Arial"/>
          <w:sz w:val="22"/>
          <w:szCs w:val="22"/>
        </w:rPr>
      </w:pPr>
      <w:r>
        <w:rPr>
          <w:rFonts w:ascii="Arial" w:hAnsi="Arial" w:cs="Arial"/>
          <w:sz w:val="22"/>
          <w:szCs w:val="22"/>
        </w:rPr>
        <w:t>Collateral challenges and the “</w:t>
      </w:r>
      <w:r w:rsidRPr="003573CE">
        <w:rPr>
          <w:rFonts w:ascii="Arial" w:hAnsi="Arial" w:cs="Arial"/>
          <w:i/>
          <w:sz w:val="22"/>
          <w:szCs w:val="22"/>
        </w:rPr>
        <w:t>exclusivity</w:t>
      </w:r>
      <w:r>
        <w:rPr>
          <w:rFonts w:ascii="Arial" w:hAnsi="Arial" w:cs="Arial"/>
          <w:sz w:val="22"/>
          <w:szCs w:val="22"/>
        </w:rPr>
        <w:t>” r</w:t>
      </w:r>
      <w:r w:rsidRPr="00653948">
        <w:rPr>
          <w:rFonts w:ascii="Arial" w:hAnsi="Arial" w:cs="Arial"/>
          <w:sz w:val="22"/>
          <w:szCs w:val="22"/>
        </w:rPr>
        <w:t>ule</w:t>
      </w:r>
      <w:r>
        <w:rPr>
          <w:rFonts w:ascii="Arial" w:hAnsi="Arial" w:cs="Arial"/>
          <w:sz w:val="22"/>
          <w:szCs w:val="22"/>
        </w:rPr>
        <w:t>;</w:t>
      </w:r>
    </w:p>
    <w:p w14:paraId="5F4FF1FA" w14:textId="77777777" w:rsidR="00EB5785" w:rsidRPr="00EB5785" w:rsidRDefault="00EB5785" w:rsidP="00EB5785">
      <w:pPr>
        <w:pStyle w:val="ListParagraph"/>
        <w:rPr>
          <w:rFonts w:ascii="Arial" w:hAnsi="Arial" w:cs="Arial"/>
          <w:sz w:val="22"/>
          <w:szCs w:val="22"/>
        </w:rPr>
      </w:pPr>
    </w:p>
    <w:p w14:paraId="6B6D41AB" w14:textId="0C062D5B" w:rsidR="00EB5785" w:rsidRDefault="00EB5785" w:rsidP="00EB5785">
      <w:pPr>
        <w:pStyle w:val="ListParagraph"/>
        <w:numPr>
          <w:ilvl w:val="0"/>
          <w:numId w:val="35"/>
        </w:numPr>
        <w:ind w:left="1100"/>
        <w:jc w:val="both"/>
        <w:rPr>
          <w:rFonts w:ascii="Arial" w:hAnsi="Arial" w:cs="Arial"/>
          <w:sz w:val="22"/>
          <w:szCs w:val="22"/>
        </w:rPr>
      </w:pPr>
      <w:r>
        <w:rPr>
          <w:rFonts w:ascii="Arial" w:hAnsi="Arial" w:cs="Arial"/>
          <w:sz w:val="22"/>
          <w:szCs w:val="22"/>
        </w:rPr>
        <w:t>Remedies, including interim r</w:t>
      </w:r>
      <w:r w:rsidRPr="00653948">
        <w:rPr>
          <w:rFonts w:ascii="Arial" w:hAnsi="Arial" w:cs="Arial"/>
          <w:sz w:val="22"/>
          <w:szCs w:val="22"/>
        </w:rPr>
        <w:t>emedies</w:t>
      </w:r>
      <w:r>
        <w:rPr>
          <w:rFonts w:ascii="Arial" w:hAnsi="Arial" w:cs="Arial"/>
          <w:sz w:val="22"/>
          <w:szCs w:val="22"/>
        </w:rPr>
        <w:t>;</w:t>
      </w:r>
    </w:p>
    <w:p w14:paraId="536A0A2B" w14:textId="77777777" w:rsidR="00EB5785" w:rsidRPr="00EB5785" w:rsidRDefault="00EB5785" w:rsidP="00EB5785">
      <w:pPr>
        <w:pStyle w:val="ListParagraph"/>
        <w:rPr>
          <w:rFonts w:ascii="Arial" w:hAnsi="Arial" w:cs="Arial"/>
          <w:sz w:val="22"/>
          <w:szCs w:val="22"/>
        </w:rPr>
      </w:pPr>
    </w:p>
    <w:p w14:paraId="597D3F32" w14:textId="5745D2DD" w:rsidR="00EB5785" w:rsidRDefault="00EB5785" w:rsidP="00EB5785">
      <w:pPr>
        <w:pStyle w:val="ListParagraph"/>
        <w:numPr>
          <w:ilvl w:val="0"/>
          <w:numId w:val="35"/>
        </w:numPr>
        <w:ind w:left="1100"/>
        <w:jc w:val="both"/>
        <w:rPr>
          <w:rFonts w:ascii="Arial" w:hAnsi="Arial" w:cs="Arial"/>
          <w:sz w:val="22"/>
          <w:szCs w:val="22"/>
        </w:rPr>
      </w:pPr>
      <w:r w:rsidRPr="00653948">
        <w:rPr>
          <w:rFonts w:ascii="Arial" w:hAnsi="Arial" w:cs="Arial"/>
          <w:sz w:val="22"/>
          <w:szCs w:val="22"/>
        </w:rPr>
        <w:t xml:space="preserve">Immigration cases - transfer to </w:t>
      </w:r>
      <w:r>
        <w:rPr>
          <w:rFonts w:ascii="Arial" w:hAnsi="Arial" w:cs="Arial"/>
          <w:sz w:val="22"/>
          <w:szCs w:val="22"/>
        </w:rPr>
        <w:t xml:space="preserve">the </w:t>
      </w:r>
      <w:r w:rsidRPr="00653948">
        <w:rPr>
          <w:rFonts w:ascii="Arial" w:hAnsi="Arial" w:cs="Arial"/>
          <w:sz w:val="22"/>
          <w:szCs w:val="22"/>
        </w:rPr>
        <w:t>Upper Tribunal</w:t>
      </w:r>
      <w:r>
        <w:rPr>
          <w:rFonts w:ascii="Arial" w:hAnsi="Arial" w:cs="Arial"/>
          <w:sz w:val="22"/>
          <w:szCs w:val="22"/>
        </w:rPr>
        <w:t>.</w:t>
      </w:r>
    </w:p>
    <w:p w14:paraId="5FA737E7" w14:textId="77777777" w:rsidR="00EB5785" w:rsidRPr="00EB5785" w:rsidRDefault="00EB5785" w:rsidP="00EB5785">
      <w:pPr>
        <w:pStyle w:val="ListParagraph"/>
        <w:rPr>
          <w:rFonts w:ascii="Arial" w:hAnsi="Arial" w:cs="Arial"/>
          <w:sz w:val="22"/>
          <w:szCs w:val="22"/>
        </w:rPr>
      </w:pPr>
    </w:p>
    <w:p w14:paraId="34EE4798" w14:textId="77777777" w:rsidR="00EB5785" w:rsidRPr="00653948" w:rsidRDefault="00EB5785" w:rsidP="00EB5785">
      <w:pPr>
        <w:jc w:val="both"/>
        <w:rPr>
          <w:rFonts w:ascii="Arial" w:hAnsi="Arial" w:cs="Arial"/>
          <w:szCs w:val="22"/>
        </w:rPr>
      </w:pPr>
    </w:p>
    <w:p w14:paraId="343D514F" w14:textId="77777777" w:rsidR="00EB5785" w:rsidRPr="00653948" w:rsidRDefault="00EB5785" w:rsidP="00EB5785">
      <w:pPr>
        <w:pStyle w:val="Heading5"/>
        <w:rPr>
          <w:rFonts w:ascii="Arial" w:hAnsi="Arial" w:cs="Arial"/>
          <w:sz w:val="22"/>
          <w:szCs w:val="22"/>
        </w:rPr>
      </w:pPr>
      <w:r w:rsidRPr="00653948">
        <w:rPr>
          <w:rFonts w:ascii="Arial" w:hAnsi="Arial" w:cs="Arial"/>
          <w:sz w:val="22"/>
          <w:szCs w:val="22"/>
        </w:rPr>
        <w:t>(1) CPR Part 54</w:t>
      </w:r>
    </w:p>
    <w:p w14:paraId="2F651B4B" w14:textId="77777777" w:rsidR="00EB5785" w:rsidRPr="00653948" w:rsidRDefault="00EB5785" w:rsidP="00EB5785">
      <w:pPr>
        <w:jc w:val="both"/>
        <w:rPr>
          <w:rFonts w:ascii="Arial" w:hAnsi="Arial" w:cs="Arial"/>
          <w:szCs w:val="22"/>
        </w:rPr>
      </w:pPr>
    </w:p>
    <w:p w14:paraId="54D4CCAF" w14:textId="77777777"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Applications for judicial review in the Administrative Court are governed by C</w:t>
      </w:r>
      <w:r>
        <w:rPr>
          <w:rFonts w:ascii="Arial" w:hAnsi="Arial" w:cs="Arial"/>
          <w:sz w:val="22"/>
          <w:szCs w:val="22"/>
        </w:rPr>
        <w:t>PR Part 54</w:t>
      </w:r>
      <w:r w:rsidRPr="00653948">
        <w:rPr>
          <w:rFonts w:ascii="Arial" w:hAnsi="Arial" w:cs="Arial"/>
          <w:sz w:val="22"/>
          <w:szCs w:val="22"/>
        </w:rPr>
        <w:t>.</w:t>
      </w:r>
    </w:p>
    <w:p w14:paraId="02BD3782" w14:textId="77777777" w:rsidR="00EB5785" w:rsidRPr="00653948" w:rsidRDefault="00EB5785" w:rsidP="00EB5785">
      <w:pPr>
        <w:pStyle w:val="BodyText"/>
        <w:spacing w:line="240" w:lineRule="auto"/>
        <w:ind w:left="720"/>
        <w:rPr>
          <w:rFonts w:ascii="Arial" w:hAnsi="Arial" w:cs="Arial"/>
          <w:sz w:val="22"/>
          <w:szCs w:val="22"/>
        </w:rPr>
      </w:pPr>
    </w:p>
    <w:p w14:paraId="30073937" w14:textId="0FFC530B"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This is the judicial review procedure referred to in s</w:t>
      </w:r>
      <w:r>
        <w:rPr>
          <w:rFonts w:ascii="Arial" w:hAnsi="Arial" w:cs="Arial"/>
          <w:sz w:val="22"/>
          <w:szCs w:val="22"/>
        </w:rPr>
        <w:t>.</w:t>
      </w:r>
      <w:r w:rsidRPr="00653948">
        <w:rPr>
          <w:rFonts w:ascii="Arial" w:hAnsi="Arial" w:cs="Arial"/>
          <w:sz w:val="22"/>
          <w:szCs w:val="22"/>
        </w:rPr>
        <w:t>31 of the Senior Courts Act 1981</w:t>
      </w:r>
      <w:r>
        <w:rPr>
          <w:rFonts w:ascii="Arial" w:hAnsi="Arial" w:cs="Arial"/>
          <w:sz w:val="22"/>
          <w:szCs w:val="22"/>
        </w:rPr>
        <w:t xml:space="preserve"> (“</w:t>
      </w:r>
      <w:r w:rsidRPr="003573CE">
        <w:rPr>
          <w:rFonts w:ascii="Arial" w:hAnsi="Arial" w:cs="Arial"/>
          <w:b/>
          <w:sz w:val="22"/>
          <w:szCs w:val="22"/>
        </w:rPr>
        <w:t>SCA 1981</w:t>
      </w:r>
      <w:r>
        <w:rPr>
          <w:rFonts w:ascii="Arial" w:hAnsi="Arial" w:cs="Arial"/>
          <w:sz w:val="22"/>
          <w:szCs w:val="22"/>
        </w:rPr>
        <w:t>”)</w:t>
      </w:r>
      <w:r w:rsidRPr="00653948">
        <w:rPr>
          <w:rFonts w:ascii="Arial" w:hAnsi="Arial" w:cs="Arial"/>
          <w:sz w:val="22"/>
          <w:szCs w:val="22"/>
        </w:rPr>
        <w:t>, to which reference should also be made (along with s</w:t>
      </w:r>
      <w:r>
        <w:rPr>
          <w:rFonts w:ascii="Arial" w:hAnsi="Arial" w:cs="Arial"/>
          <w:sz w:val="22"/>
          <w:szCs w:val="22"/>
        </w:rPr>
        <w:t>.</w:t>
      </w:r>
      <w:r w:rsidRPr="00653948">
        <w:rPr>
          <w:rFonts w:ascii="Arial" w:hAnsi="Arial" w:cs="Arial"/>
          <w:sz w:val="22"/>
          <w:szCs w:val="22"/>
        </w:rPr>
        <w:t>29, the High Court’s jurisdiction to grant the prerogative orders). Note that it is also now possible in many cases for claims for judicial review to be transferred to, and sometimes</w:t>
      </w:r>
      <w:r w:rsidRPr="00653948">
        <w:rPr>
          <w:rStyle w:val="FootnoteReference"/>
          <w:rFonts w:ascii="Arial" w:hAnsi="Arial" w:cs="Arial"/>
          <w:sz w:val="22"/>
          <w:szCs w:val="22"/>
        </w:rPr>
        <w:footnoteReference w:id="1"/>
      </w:r>
      <w:r w:rsidRPr="00653948">
        <w:rPr>
          <w:rFonts w:ascii="Arial" w:hAnsi="Arial" w:cs="Arial"/>
          <w:sz w:val="22"/>
          <w:szCs w:val="22"/>
        </w:rPr>
        <w:t xml:space="preserve"> to be commenced in, the Upper Tribunal: see SCA </w:t>
      </w:r>
      <w:r>
        <w:rPr>
          <w:rFonts w:ascii="Arial" w:hAnsi="Arial" w:cs="Arial"/>
          <w:sz w:val="22"/>
          <w:szCs w:val="22"/>
        </w:rPr>
        <w:t>1981 s.</w:t>
      </w:r>
      <w:r w:rsidRPr="00653948">
        <w:rPr>
          <w:rFonts w:ascii="Arial" w:hAnsi="Arial" w:cs="Arial"/>
          <w:sz w:val="22"/>
          <w:szCs w:val="22"/>
        </w:rPr>
        <w:t xml:space="preserve">31A, and the explanation of this jurisdiction in </w:t>
      </w:r>
      <w:r w:rsidR="003573CE">
        <w:rPr>
          <w:rFonts w:ascii="Arial" w:hAnsi="Arial" w:cs="Arial"/>
          <w:i/>
          <w:sz w:val="22"/>
          <w:szCs w:val="22"/>
        </w:rPr>
        <w:t>R (C</w:t>
      </w:r>
      <w:r w:rsidRPr="00653948">
        <w:rPr>
          <w:rFonts w:ascii="Arial" w:hAnsi="Arial" w:cs="Arial"/>
          <w:i/>
          <w:sz w:val="22"/>
          <w:szCs w:val="22"/>
        </w:rPr>
        <w:t>art</w:t>
      </w:r>
      <w:r w:rsidR="003573CE">
        <w:rPr>
          <w:rFonts w:ascii="Arial" w:hAnsi="Arial" w:cs="Arial"/>
          <w:i/>
          <w:sz w:val="22"/>
          <w:szCs w:val="22"/>
        </w:rPr>
        <w:t>)</w:t>
      </w:r>
      <w:r w:rsidRPr="00653948">
        <w:rPr>
          <w:rFonts w:ascii="Arial" w:hAnsi="Arial" w:cs="Arial"/>
          <w:i/>
          <w:sz w:val="22"/>
          <w:szCs w:val="22"/>
        </w:rPr>
        <w:t xml:space="preserve"> v The Upper Tribunal </w:t>
      </w:r>
      <w:r w:rsidR="003573CE">
        <w:rPr>
          <w:rFonts w:ascii="Arial" w:hAnsi="Arial" w:cs="Arial"/>
          <w:sz w:val="22"/>
          <w:szCs w:val="22"/>
        </w:rPr>
        <w:t xml:space="preserve">[2011] UKSC 28, </w:t>
      </w:r>
      <w:r w:rsidRPr="00653948">
        <w:rPr>
          <w:rFonts w:ascii="Arial" w:hAnsi="Arial" w:cs="Arial"/>
          <w:sz w:val="22"/>
          <w:szCs w:val="22"/>
        </w:rPr>
        <w:t xml:space="preserve">[2012] 1 AC 663 at </w:t>
      </w:r>
      <w:r>
        <w:rPr>
          <w:rFonts w:ascii="Arial" w:hAnsi="Arial" w:cs="Arial"/>
          <w:sz w:val="22"/>
          <w:szCs w:val="22"/>
        </w:rPr>
        <w:t>[</w:t>
      </w:r>
      <w:r w:rsidRPr="00653948">
        <w:rPr>
          <w:rFonts w:ascii="Arial" w:hAnsi="Arial" w:cs="Arial"/>
          <w:sz w:val="22"/>
          <w:szCs w:val="22"/>
        </w:rPr>
        <w:t>25</w:t>
      </w:r>
      <w:r>
        <w:rPr>
          <w:rFonts w:ascii="Arial" w:hAnsi="Arial" w:cs="Arial"/>
          <w:sz w:val="22"/>
          <w:szCs w:val="22"/>
        </w:rPr>
        <w:t>]</w:t>
      </w:r>
      <w:r w:rsidRPr="00653948">
        <w:rPr>
          <w:rFonts w:ascii="Arial" w:hAnsi="Arial" w:cs="Arial"/>
          <w:sz w:val="22"/>
          <w:szCs w:val="22"/>
        </w:rPr>
        <w:t xml:space="preserve">. This jurisdiction is discussed further below in the context of immigration cases. </w:t>
      </w:r>
    </w:p>
    <w:p w14:paraId="202AB54C" w14:textId="77777777" w:rsidR="00EB5785" w:rsidRPr="00653948" w:rsidRDefault="00EB5785" w:rsidP="00EB5785">
      <w:pPr>
        <w:pStyle w:val="BodyText"/>
        <w:spacing w:line="240" w:lineRule="auto"/>
        <w:rPr>
          <w:rFonts w:ascii="Arial" w:hAnsi="Arial" w:cs="Arial"/>
          <w:sz w:val="22"/>
          <w:szCs w:val="22"/>
        </w:rPr>
      </w:pPr>
    </w:p>
    <w:p w14:paraId="2179E593" w14:textId="058C76AE"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The judicial review procedure </w:t>
      </w:r>
      <w:r w:rsidRPr="00653948">
        <w:rPr>
          <w:rFonts w:ascii="Arial" w:hAnsi="Arial" w:cs="Arial"/>
          <w:i/>
          <w:sz w:val="22"/>
          <w:szCs w:val="22"/>
        </w:rPr>
        <w:t>must</w:t>
      </w:r>
      <w:r w:rsidRPr="00653948">
        <w:rPr>
          <w:rFonts w:ascii="Arial" w:hAnsi="Arial" w:cs="Arial"/>
          <w:sz w:val="22"/>
          <w:szCs w:val="22"/>
        </w:rPr>
        <w:t xml:space="preserve"> be used where the claimant is seeking one of the so-called prerogative orders</w:t>
      </w:r>
      <w:r w:rsidR="003573CE">
        <w:rPr>
          <w:rFonts w:ascii="Arial" w:hAnsi="Arial" w:cs="Arial"/>
          <w:sz w:val="22"/>
          <w:szCs w:val="22"/>
        </w:rPr>
        <w:t>,</w:t>
      </w:r>
      <w:r w:rsidRPr="00653948">
        <w:rPr>
          <w:rStyle w:val="FootnoteReference"/>
          <w:rFonts w:ascii="Arial" w:hAnsi="Arial" w:cs="Arial"/>
          <w:sz w:val="22"/>
          <w:szCs w:val="22"/>
        </w:rPr>
        <w:footnoteReference w:id="2"/>
      </w:r>
      <w:r w:rsidRPr="00653948">
        <w:rPr>
          <w:rFonts w:ascii="Arial" w:hAnsi="Arial" w:cs="Arial"/>
          <w:sz w:val="22"/>
          <w:szCs w:val="22"/>
        </w:rPr>
        <w:t xml:space="preserve"> i.e. a mandatory order, prohibiting order or quashing order (formerly known as </w:t>
      </w:r>
      <w:r w:rsidRPr="00EB5785">
        <w:rPr>
          <w:rFonts w:ascii="Arial" w:hAnsi="Arial" w:cs="Arial"/>
          <w:i/>
          <w:sz w:val="22"/>
          <w:szCs w:val="22"/>
        </w:rPr>
        <w:t>mandamus</w:t>
      </w:r>
      <w:r w:rsidRPr="00653948">
        <w:rPr>
          <w:rFonts w:ascii="Arial" w:hAnsi="Arial" w:cs="Arial"/>
          <w:sz w:val="22"/>
          <w:szCs w:val="22"/>
        </w:rPr>
        <w:t xml:space="preserve">, prohibition and </w:t>
      </w:r>
      <w:r w:rsidRPr="00EB5785">
        <w:rPr>
          <w:rFonts w:ascii="Arial" w:hAnsi="Arial" w:cs="Arial"/>
          <w:i/>
          <w:sz w:val="22"/>
          <w:szCs w:val="22"/>
        </w:rPr>
        <w:t>certiorari</w:t>
      </w:r>
      <w:r w:rsidRPr="00653948">
        <w:rPr>
          <w:rFonts w:ascii="Arial" w:hAnsi="Arial" w:cs="Arial"/>
          <w:sz w:val="22"/>
          <w:szCs w:val="22"/>
        </w:rPr>
        <w:t xml:space="preserve">): CPR r.54.2. It </w:t>
      </w:r>
      <w:r w:rsidRPr="00653948">
        <w:rPr>
          <w:rFonts w:ascii="Arial" w:hAnsi="Arial" w:cs="Arial"/>
          <w:i/>
          <w:sz w:val="22"/>
          <w:szCs w:val="22"/>
        </w:rPr>
        <w:t>may</w:t>
      </w:r>
      <w:r w:rsidRPr="00653948">
        <w:rPr>
          <w:rFonts w:ascii="Arial" w:hAnsi="Arial" w:cs="Arial"/>
          <w:sz w:val="22"/>
          <w:szCs w:val="22"/>
        </w:rPr>
        <w:t xml:space="preserve"> be used where the </w:t>
      </w:r>
      <w:r w:rsidRPr="00653948">
        <w:rPr>
          <w:rFonts w:ascii="Arial" w:hAnsi="Arial" w:cs="Arial"/>
          <w:sz w:val="22"/>
          <w:szCs w:val="22"/>
        </w:rPr>
        <w:lastRenderedPageBreak/>
        <w:t>claimant is seeking a declaration or injunction: CPR r.54.3(1). See also SCA</w:t>
      </w:r>
      <w:r>
        <w:rPr>
          <w:rFonts w:ascii="Arial" w:hAnsi="Arial" w:cs="Arial"/>
          <w:sz w:val="22"/>
          <w:szCs w:val="22"/>
        </w:rPr>
        <w:t xml:space="preserve"> 19</w:t>
      </w:r>
      <w:r w:rsidRPr="00653948">
        <w:rPr>
          <w:rFonts w:ascii="Arial" w:hAnsi="Arial" w:cs="Arial"/>
          <w:sz w:val="22"/>
          <w:szCs w:val="22"/>
        </w:rPr>
        <w:t>81 ss</w:t>
      </w:r>
      <w:r>
        <w:rPr>
          <w:rFonts w:ascii="Arial" w:hAnsi="Arial" w:cs="Arial"/>
          <w:sz w:val="22"/>
          <w:szCs w:val="22"/>
        </w:rPr>
        <w:t>.</w:t>
      </w:r>
      <w:r w:rsidRPr="00653948">
        <w:rPr>
          <w:rFonts w:ascii="Arial" w:hAnsi="Arial" w:cs="Arial"/>
          <w:sz w:val="22"/>
          <w:szCs w:val="22"/>
        </w:rPr>
        <w:t>31(1), (2).</w:t>
      </w:r>
    </w:p>
    <w:p w14:paraId="5C68FE62" w14:textId="77777777" w:rsidR="00EB5785" w:rsidRPr="00653948" w:rsidRDefault="00EB5785" w:rsidP="00EB5785">
      <w:pPr>
        <w:pStyle w:val="BodyText"/>
        <w:spacing w:line="240" w:lineRule="auto"/>
        <w:rPr>
          <w:rFonts w:ascii="Arial" w:hAnsi="Arial" w:cs="Arial"/>
          <w:sz w:val="22"/>
          <w:szCs w:val="22"/>
        </w:rPr>
      </w:pPr>
    </w:p>
    <w:p w14:paraId="42F3E877" w14:textId="738AE19F"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CPR r.54.3(2) provides that a claim for judicial review may include a claim for damages, restitution, or the recovery of a sum due, but may not seek such a remedy alone. See also SCA</w:t>
      </w:r>
      <w:r>
        <w:rPr>
          <w:rFonts w:ascii="Arial" w:hAnsi="Arial" w:cs="Arial"/>
          <w:sz w:val="22"/>
          <w:szCs w:val="22"/>
        </w:rPr>
        <w:t xml:space="preserve"> 1981 s.</w:t>
      </w:r>
      <w:r w:rsidRPr="00653948">
        <w:rPr>
          <w:rFonts w:ascii="Arial" w:hAnsi="Arial" w:cs="Arial"/>
          <w:sz w:val="22"/>
          <w:szCs w:val="22"/>
        </w:rPr>
        <w:t>31(4).</w:t>
      </w:r>
    </w:p>
    <w:p w14:paraId="222A0888" w14:textId="77777777" w:rsidR="00EB5785" w:rsidRPr="00653948" w:rsidRDefault="00EB5785" w:rsidP="00EB5785">
      <w:pPr>
        <w:pStyle w:val="BodyText"/>
        <w:spacing w:line="240" w:lineRule="auto"/>
        <w:rPr>
          <w:rFonts w:ascii="Arial" w:hAnsi="Arial" w:cs="Arial"/>
          <w:sz w:val="22"/>
          <w:szCs w:val="22"/>
        </w:rPr>
      </w:pPr>
    </w:p>
    <w:p w14:paraId="41960114" w14:textId="5E51B602" w:rsidR="00EB5785"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It is important to note that CPR Part 54 is not a “</w:t>
      </w:r>
      <w:r w:rsidRPr="003573CE">
        <w:rPr>
          <w:rFonts w:ascii="Arial" w:hAnsi="Arial" w:cs="Arial"/>
          <w:i/>
          <w:sz w:val="22"/>
          <w:szCs w:val="22"/>
        </w:rPr>
        <w:t>stand alone</w:t>
      </w:r>
      <w:r w:rsidRPr="00653948">
        <w:rPr>
          <w:rFonts w:ascii="Arial" w:hAnsi="Arial" w:cs="Arial"/>
          <w:sz w:val="22"/>
          <w:szCs w:val="22"/>
        </w:rPr>
        <w:t>” code. As the definition of “</w:t>
      </w:r>
      <w:r w:rsidRPr="003573CE">
        <w:rPr>
          <w:rFonts w:ascii="Arial" w:hAnsi="Arial" w:cs="Arial"/>
          <w:i/>
          <w:sz w:val="22"/>
          <w:szCs w:val="22"/>
        </w:rPr>
        <w:t>judicial review procedure</w:t>
      </w:r>
      <w:r w:rsidRPr="00653948">
        <w:rPr>
          <w:rFonts w:ascii="Arial" w:hAnsi="Arial" w:cs="Arial"/>
          <w:sz w:val="22"/>
          <w:szCs w:val="22"/>
        </w:rPr>
        <w:t>” in CPR r.54.1(2)(e) shows, the procedure is a modified form of the CPR Part 8 procedure</w:t>
      </w:r>
      <w:r>
        <w:rPr>
          <w:rFonts w:ascii="Arial" w:hAnsi="Arial" w:cs="Arial"/>
          <w:sz w:val="22"/>
          <w:szCs w:val="22"/>
        </w:rPr>
        <w:t>.</w:t>
      </w:r>
      <w:r w:rsidRPr="00653948">
        <w:rPr>
          <w:rFonts w:ascii="Arial" w:hAnsi="Arial" w:cs="Arial"/>
          <w:sz w:val="22"/>
          <w:szCs w:val="22"/>
        </w:rPr>
        <w:t xml:space="preserve"> Thus</w:t>
      </w:r>
      <w:r w:rsidR="00C10D1E">
        <w:rPr>
          <w:rFonts w:ascii="Arial" w:hAnsi="Arial" w:cs="Arial"/>
          <w:sz w:val="22"/>
          <w:szCs w:val="22"/>
        </w:rPr>
        <w:t>,</w:t>
      </w:r>
      <w:r w:rsidRPr="00653948">
        <w:rPr>
          <w:rFonts w:ascii="Arial" w:hAnsi="Arial" w:cs="Arial"/>
          <w:sz w:val="22"/>
          <w:szCs w:val="22"/>
        </w:rPr>
        <w:t xml:space="preserve"> CPR Part 54 has to be read, save to the extent that it provides otherwise, with CPR Part 1 (overriding objective), Part 2 (application/interpretation of rules), and </w:t>
      </w:r>
      <w:r>
        <w:rPr>
          <w:rFonts w:ascii="Arial" w:hAnsi="Arial" w:cs="Arial"/>
          <w:sz w:val="22"/>
          <w:szCs w:val="22"/>
        </w:rPr>
        <w:t>Part 3 (case management powers) and other provisions of the CPR. The following provisions are dis-applied:</w:t>
      </w:r>
    </w:p>
    <w:p w14:paraId="32B43488" w14:textId="77777777" w:rsidR="00EB5785" w:rsidRDefault="00EB5785" w:rsidP="00EB5785">
      <w:pPr>
        <w:pStyle w:val="ListParagraph"/>
        <w:rPr>
          <w:rFonts w:ascii="Arial" w:hAnsi="Arial" w:cs="Arial"/>
          <w:sz w:val="22"/>
          <w:szCs w:val="22"/>
        </w:rPr>
      </w:pPr>
    </w:p>
    <w:p w14:paraId="46501E32" w14:textId="2CC8CD21" w:rsidR="00EB5785" w:rsidRDefault="00EB5785" w:rsidP="00C10D1E">
      <w:pPr>
        <w:pStyle w:val="BodyText"/>
        <w:numPr>
          <w:ilvl w:val="0"/>
          <w:numId w:val="42"/>
        </w:numPr>
        <w:spacing w:line="240" w:lineRule="auto"/>
        <w:ind w:left="720"/>
        <w:rPr>
          <w:rFonts w:ascii="Arial" w:hAnsi="Arial" w:cs="Arial"/>
          <w:sz w:val="22"/>
          <w:szCs w:val="22"/>
        </w:rPr>
      </w:pPr>
      <w:r>
        <w:rPr>
          <w:rFonts w:ascii="Arial" w:hAnsi="Arial" w:cs="Arial"/>
          <w:sz w:val="22"/>
          <w:szCs w:val="22"/>
        </w:rPr>
        <w:t>CPR Parts 15,16 and 26 (by CPR r.8.9</w:t>
      </w:r>
      <w:r w:rsidR="003573CE">
        <w:rPr>
          <w:rFonts w:ascii="Arial" w:hAnsi="Arial" w:cs="Arial"/>
          <w:sz w:val="22"/>
          <w:szCs w:val="22"/>
        </w:rPr>
        <w:t>,</w:t>
      </w:r>
      <w:r>
        <w:rPr>
          <w:rFonts w:ascii="Arial" w:hAnsi="Arial" w:cs="Arial"/>
          <w:sz w:val="22"/>
          <w:szCs w:val="22"/>
        </w:rPr>
        <w:t xml:space="preserve"> although CPR r.54.8 reapplies CPR PD 1, para</w:t>
      </w:r>
      <w:r w:rsidR="00C10D1E">
        <w:rPr>
          <w:rFonts w:ascii="Arial" w:hAnsi="Arial" w:cs="Arial"/>
          <w:sz w:val="22"/>
          <w:szCs w:val="22"/>
        </w:rPr>
        <w:t>.</w:t>
      </w:r>
      <w:r>
        <w:rPr>
          <w:rFonts w:ascii="Arial" w:hAnsi="Arial" w:cs="Arial"/>
          <w:sz w:val="22"/>
          <w:szCs w:val="22"/>
        </w:rPr>
        <w:t>15);</w:t>
      </w:r>
    </w:p>
    <w:p w14:paraId="0CB4B2E2" w14:textId="77777777" w:rsidR="00EB5785" w:rsidRDefault="00EB5785" w:rsidP="00C10D1E">
      <w:pPr>
        <w:pStyle w:val="BodyText"/>
        <w:spacing w:line="240" w:lineRule="auto"/>
        <w:ind w:left="720"/>
        <w:rPr>
          <w:rFonts w:ascii="Arial" w:hAnsi="Arial" w:cs="Arial"/>
          <w:sz w:val="22"/>
          <w:szCs w:val="22"/>
        </w:rPr>
      </w:pPr>
    </w:p>
    <w:p w14:paraId="0AA3475F" w14:textId="20F70B0C" w:rsidR="00EB5785" w:rsidRDefault="00EB5785" w:rsidP="00C10D1E">
      <w:pPr>
        <w:pStyle w:val="BodyText"/>
        <w:numPr>
          <w:ilvl w:val="0"/>
          <w:numId w:val="42"/>
        </w:numPr>
        <w:spacing w:line="240" w:lineRule="auto"/>
        <w:ind w:left="720"/>
        <w:rPr>
          <w:rFonts w:ascii="Arial" w:hAnsi="Arial" w:cs="Arial"/>
          <w:sz w:val="22"/>
          <w:szCs w:val="22"/>
        </w:rPr>
      </w:pPr>
      <w:r>
        <w:rPr>
          <w:rFonts w:ascii="Arial" w:hAnsi="Arial" w:cs="Arial"/>
          <w:sz w:val="22"/>
          <w:szCs w:val="22"/>
        </w:rPr>
        <w:t>CPR r.10.3(2) (dis-applied by CPR r.54.8);</w:t>
      </w:r>
    </w:p>
    <w:p w14:paraId="73196E8E" w14:textId="77777777" w:rsidR="00EB5785" w:rsidRDefault="00EB5785" w:rsidP="00C10D1E">
      <w:pPr>
        <w:pStyle w:val="ListParagraph"/>
        <w:ind w:left="0"/>
        <w:rPr>
          <w:rFonts w:ascii="Arial" w:hAnsi="Arial" w:cs="Arial"/>
          <w:sz w:val="22"/>
          <w:szCs w:val="22"/>
        </w:rPr>
      </w:pPr>
    </w:p>
    <w:p w14:paraId="34F5CDDF" w14:textId="418F07E0" w:rsidR="00EB5785" w:rsidRDefault="00EB5785" w:rsidP="00C10D1E">
      <w:pPr>
        <w:pStyle w:val="BodyText"/>
        <w:numPr>
          <w:ilvl w:val="0"/>
          <w:numId w:val="42"/>
        </w:numPr>
        <w:spacing w:line="240" w:lineRule="auto"/>
        <w:ind w:left="720"/>
        <w:rPr>
          <w:rFonts w:ascii="Arial" w:hAnsi="Arial" w:cs="Arial"/>
          <w:sz w:val="22"/>
          <w:szCs w:val="22"/>
        </w:rPr>
      </w:pPr>
      <w:r>
        <w:rPr>
          <w:rFonts w:ascii="Arial" w:hAnsi="Arial" w:cs="Arial"/>
          <w:sz w:val="22"/>
          <w:szCs w:val="22"/>
        </w:rPr>
        <w:t>CPR r.8.4 (dis-applied by CPR r.54.9);</w:t>
      </w:r>
    </w:p>
    <w:p w14:paraId="13B52105" w14:textId="77777777" w:rsidR="00EB5785" w:rsidRDefault="00EB5785" w:rsidP="00C10D1E">
      <w:pPr>
        <w:pStyle w:val="ListParagraph"/>
        <w:ind w:left="0"/>
        <w:rPr>
          <w:rFonts w:ascii="Arial" w:hAnsi="Arial" w:cs="Arial"/>
          <w:sz w:val="22"/>
          <w:szCs w:val="22"/>
        </w:rPr>
      </w:pPr>
    </w:p>
    <w:p w14:paraId="54E7ACFE" w14:textId="44C3AF48" w:rsidR="00EB5785" w:rsidRDefault="00EB5785" w:rsidP="00C10D1E">
      <w:pPr>
        <w:pStyle w:val="BodyText"/>
        <w:numPr>
          <w:ilvl w:val="0"/>
          <w:numId w:val="42"/>
        </w:numPr>
        <w:spacing w:line="240" w:lineRule="auto"/>
        <w:ind w:left="720"/>
        <w:rPr>
          <w:rFonts w:ascii="Arial" w:hAnsi="Arial" w:cs="Arial"/>
          <w:sz w:val="22"/>
          <w:szCs w:val="22"/>
        </w:rPr>
      </w:pPr>
      <w:r>
        <w:rPr>
          <w:rFonts w:ascii="Arial" w:hAnsi="Arial" w:cs="Arial"/>
          <w:sz w:val="22"/>
          <w:szCs w:val="22"/>
        </w:rPr>
        <w:t>CPR r</w:t>
      </w:r>
      <w:r w:rsidR="00C10D1E">
        <w:rPr>
          <w:rFonts w:ascii="Arial" w:hAnsi="Arial" w:cs="Arial"/>
          <w:sz w:val="22"/>
          <w:szCs w:val="22"/>
        </w:rPr>
        <w:t>r.8.5(3)-</w:t>
      </w:r>
      <w:r>
        <w:rPr>
          <w:rFonts w:ascii="Arial" w:hAnsi="Arial" w:cs="Arial"/>
          <w:sz w:val="22"/>
          <w:szCs w:val="22"/>
        </w:rPr>
        <w:t>8.5(6) (dis-applied by CPR r.54.14);</w:t>
      </w:r>
    </w:p>
    <w:p w14:paraId="1F56E00B" w14:textId="77777777" w:rsidR="00EB5785" w:rsidRDefault="00EB5785" w:rsidP="00C10D1E">
      <w:pPr>
        <w:pStyle w:val="ListParagraph"/>
        <w:ind w:left="0"/>
        <w:rPr>
          <w:rFonts w:ascii="Arial" w:hAnsi="Arial" w:cs="Arial"/>
          <w:sz w:val="22"/>
          <w:szCs w:val="22"/>
        </w:rPr>
      </w:pPr>
    </w:p>
    <w:p w14:paraId="56E462F7" w14:textId="2F7097FC" w:rsidR="00EB5785" w:rsidRPr="00653948" w:rsidRDefault="00EB5785" w:rsidP="00C10D1E">
      <w:pPr>
        <w:pStyle w:val="BodyText"/>
        <w:numPr>
          <w:ilvl w:val="0"/>
          <w:numId w:val="42"/>
        </w:numPr>
        <w:spacing w:line="240" w:lineRule="auto"/>
        <w:ind w:left="720"/>
        <w:rPr>
          <w:rFonts w:ascii="Arial" w:hAnsi="Arial" w:cs="Arial"/>
          <w:sz w:val="22"/>
          <w:szCs w:val="22"/>
        </w:rPr>
      </w:pPr>
      <w:r>
        <w:rPr>
          <w:rFonts w:ascii="Arial" w:hAnsi="Arial" w:cs="Arial"/>
          <w:sz w:val="22"/>
          <w:szCs w:val="22"/>
        </w:rPr>
        <w:t>CPR r.8.6(1) (dis-applied by CPR r.54.16).</w:t>
      </w:r>
    </w:p>
    <w:p w14:paraId="12B57DA4" w14:textId="77777777" w:rsidR="00EB5785" w:rsidRPr="00653948" w:rsidRDefault="00EB5785" w:rsidP="00EB5785">
      <w:pPr>
        <w:pStyle w:val="BodyText"/>
        <w:spacing w:line="240" w:lineRule="auto"/>
        <w:rPr>
          <w:rFonts w:ascii="Arial" w:hAnsi="Arial" w:cs="Arial"/>
          <w:sz w:val="22"/>
          <w:szCs w:val="22"/>
        </w:rPr>
      </w:pPr>
    </w:p>
    <w:p w14:paraId="57A1C33C" w14:textId="77777777"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The main features of CPR Part 54 are:</w:t>
      </w:r>
    </w:p>
    <w:p w14:paraId="73CBB9A6" w14:textId="77777777" w:rsidR="00EB5785" w:rsidRPr="00653948" w:rsidRDefault="00EB5785" w:rsidP="00EB5785">
      <w:pPr>
        <w:jc w:val="both"/>
        <w:rPr>
          <w:rFonts w:ascii="Arial" w:hAnsi="Arial" w:cs="Arial"/>
          <w:szCs w:val="22"/>
        </w:rPr>
      </w:pPr>
    </w:p>
    <w:p w14:paraId="699E01E0" w14:textId="59EE3D61" w:rsidR="00EB5785" w:rsidRPr="00653948" w:rsidRDefault="00C10D1E" w:rsidP="00C10D1E">
      <w:pPr>
        <w:numPr>
          <w:ilvl w:val="0"/>
          <w:numId w:val="29"/>
        </w:numPr>
        <w:tabs>
          <w:tab w:val="num" w:pos="-720"/>
        </w:tabs>
        <w:spacing w:line="240" w:lineRule="auto"/>
        <w:jc w:val="both"/>
        <w:rPr>
          <w:rFonts w:ascii="Arial" w:hAnsi="Arial" w:cs="Arial"/>
          <w:szCs w:val="22"/>
        </w:rPr>
      </w:pPr>
      <w:r>
        <w:rPr>
          <w:rFonts w:ascii="Arial" w:hAnsi="Arial" w:cs="Arial"/>
          <w:szCs w:val="22"/>
        </w:rPr>
        <w:t>CPR rr.</w:t>
      </w:r>
      <w:r w:rsidR="00EB5785" w:rsidRPr="00653948">
        <w:rPr>
          <w:rFonts w:ascii="Arial" w:hAnsi="Arial" w:cs="Arial"/>
          <w:szCs w:val="22"/>
        </w:rPr>
        <w:t>54.4, 54.10-</w:t>
      </w:r>
      <w:r w:rsidR="006D5460">
        <w:rPr>
          <w:rFonts w:ascii="Arial" w:hAnsi="Arial" w:cs="Arial"/>
          <w:szCs w:val="22"/>
        </w:rPr>
        <w:t>54.</w:t>
      </w:r>
      <w:r w:rsidR="00EB5785" w:rsidRPr="00653948">
        <w:rPr>
          <w:rFonts w:ascii="Arial" w:hAnsi="Arial" w:cs="Arial"/>
          <w:szCs w:val="22"/>
        </w:rPr>
        <w:t>13 – The requirement for permission (see also SCA</w:t>
      </w:r>
      <w:r w:rsidR="00EB5785">
        <w:rPr>
          <w:rFonts w:ascii="Arial" w:hAnsi="Arial" w:cs="Arial"/>
          <w:szCs w:val="22"/>
        </w:rPr>
        <w:t xml:space="preserve"> 19</w:t>
      </w:r>
      <w:r w:rsidR="00EB5785" w:rsidRPr="00653948">
        <w:rPr>
          <w:rFonts w:ascii="Arial" w:hAnsi="Arial" w:cs="Arial"/>
          <w:szCs w:val="22"/>
        </w:rPr>
        <w:t>81 s</w:t>
      </w:r>
      <w:r w:rsidR="00EB5785">
        <w:rPr>
          <w:rFonts w:ascii="Arial" w:hAnsi="Arial" w:cs="Arial"/>
          <w:szCs w:val="22"/>
        </w:rPr>
        <w:t>.</w:t>
      </w:r>
      <w:r w:rsidR="00EB5785" w:rsidRPr="00653948">
        <w:rPr>
          <w:rFonts w:ascii="Arial" w:hAnsi="Arial" w:cs="Arial"/>
          <w:szCs w:val="22"/>
        </w:rPr>
        <w:t>31(3)), the grant or refusal of permission, the right to renew the application for permission orally (unless a claim is certified as being totally without merit), and the prohibition on applications to set permission aside</w:t>
      </w:r>
      <w:r w:rsidR="003573CE">
        <w:rPr>
          <w:rFonts w:ascii="Arial" w:hAnsi="Arial" w:cs="Arial"/>
          <w:szCs w:val="22"/>
        </w:rPr>
        <w:t>;</w:t>
      </w:r>
      <w:r w:rsidR="00EB5785" w:rsidRPr="00653948">
        <w:rPr>
          <w:rStyle w:val="FootnoteReference"/>
          <w:rFonts w:ascii="Arial" w:hAnsi="Arial" w:cs="Arial"/>
          <w:szCs w:val="22"/>
        </w:rPr>
        <w:footnoteReference w:id="3"/>
      </w:r>
    </w:p>
    <w:p w14:paraId="6DBACFDB" w14:textId="77777777" w:rsidR="00EB5785" w:rsidRPr="00653948" w:rsidRDefault="00EB5785" w:rsidP="00C10D1E">
      <w:pPr>
        <w:ind w:left="360"/>
        <w:jc w:val="both"/>
        <w:rPr>
          <w:rFonts w:ascii="Arial" w:hAnsi="Arial" w:cs="Arial"/>
          <w:szCs w:val="22"/>
        </w:rPr>
      </w:pPr>
    </w:p>
    <w:p w14:paraId="32C4EA76" w14:textId="36A7660E" w:rsidR="00EB5785" w:rsidRPr="00653948" w:rsidRDefault="00C10D1E" w:rsidP="00C10D1E">
      <w:pPr>
        <w:numPr>
          <w:ilvl w:val="0"/>
          <w:numId w:val="29"/>
        </w:numPr>
        <w:tabs>
          <w:tab w:val="num" w:pos="0"/>
        </w:tabs>
        <w:spacing w:line="240" w:lineRule="auto"/>
        <w:jc w:val="both"/>
        <w:rPr>
          <w:rFonts w:ascii="Arial" w:hAnsi="Arial" w:cs="Arial"/>
          <w:szCs w:val="22"/>
        </w:rPr>
      </w:pPr>
      <w:r>
        <w:rPr>
          <w:rFonts w:ascii="Arial" w:hAnsi="Arial" w:cs="Arial"/>
          <w:szCs w:val="22"/>
        </w:rPr>
        <w:t>CPR rr.</w:t>
      </w:r>
      <w:r w:rsidR="00EB5785" w:rsidRPr="00653948">
        <w:rPr>
          <w:rFonts w:ascii="Arial" w:hAnsi="Arial" w:cs="Arial"/>
          <w:szCs w:val="22"/>
        </w:rPr>
        <w:t>54.5 – The time limit for filing the claim form (see below);</w:t>
      </w:r>
    </w:p>
    <w:p w14:paraId="47638BE8" w14:textId="77777777" w:rsidR="00EB5785" w:rsidRPr="00653948" w:rsidRDefault="00EB5785" w:rsidP="00C10D1E">
      <w:pPr>
        <w:jc w:val="both"/>
        <w:rPr>
          <w:rFonts w:ascii="Arial" w:hAnsi="Arial" w:cs="Arial"/>
          <w:szCs w:val="22"/>
        </w:rPr>
      </w:pPr>
    </w:p>
    <w:p w14:paraId="50FB115B" w14:textId="778314E7" w:rsidR="00EB5785" w:rsidRPr="00653948" w:rsidRDefault="00C10D1E" w:rsidP="00C10D1E">
      <w:pPr>
        <w:numPr>
          <w:ilvl w:val="0"/>
          <w:numId w:val="29"/>
        </w:numPr>
        <w:tabs>
          <w:tab w:val="num" w:pos="0"/>
        </w:tabs>
        <w:spacing w:line="240" w:lineRule="auto"/>
        <w:jc w:val="both"/>
        <w:rPr>
          <w:rFonts w:ascii="Arial" w:hAnsi="Arial" w:cs="Arial"/>
          <w:szCs w:val="22"/>
        </w:rPr>
      </w:pPr>
      <w:r>
        <w:rPr>
          <w:rFonts w:ascii="Arial" w:hAnsi="Arial" w:cs="Arial"/>
          <w:szCs w:val="22"/>
        </w:rPr>
        <w:t>CPR rr.</w:t>
      </w:r>
      <w:r w:rsidR="00EB5785" w:rsidRPr="00653948">
        <w:rPr>
          <w:rFonts w:ascii="Arial" w:hAnsi="Arial" w:cs="Arial"/>
          <w:szCs w:val="22"/>
        </w:rPr>
        <w:t xml:space="preserve">54.6 and </w:t>
      </w:r>
      <w:r w:rsidR="00EB5785">
        <w:rPr>
          <w:rFonts w:ascii="Arial" w:hAnsi="Arial" w:cs="Arial"/>
          <w:szCs w:val="22"/>
        </w:rPr>
        <w:t>54.</w:t>
      </w:r>
      <w:r w:rsidR="00EB5785" w:rsidRPr="00653948">
        <w:rPr>
          <w:rFonts w:ascii="Arial" w:hAnsi="Arial" w:cs="Arial"/>
          <w:szCs w:val="22"/>
        </w:rPr>
        <w:t>7 – Contents and service of the claim form;</w:t>
      </w:r>
    </w:p>
    <w:p w14:paraId="4AD5B43D" w14:textId="77777777" w:rsidR="00EB5785" w:rsidRPr="00653948" w:rsidRDefault="00EB5785" w:rsidP="00C10D1E">
      <w:pPr>
        <w:jc w:val="both"/>
        <w:rPr>
          <w:rFonts w:ascii="Arial" w:hAnsi="Arial" w:cs="Arial"/>
          <w:szCs w:val="22"/>
        </w:rPr>
      </w:pPr>
    </w:p>
    <w:p w14:paraId="03705C62" w14:textId="31982354" w:rsidR="00EB5785" w:rsidRPr="00653948" w:rsidRDefault="00EB5785" w:rsidP="00C10D1E">
      <w:pPr>
        <w:numPr>
          <w:ilvl w:val="0"/>
          <w:numId w:val="29"/>
        </w:numPr>
        <w:tabs>
          <w:tab w:val="num" w:pos="-360"/>
        </w:tabs>
        <w:spacing w:line="240" w:lineRule="auto"/>
        <w:jc w:val="both"/>
        <w:rPr>
          <w:rFonts w:ascii="Arial" w:hAnsi="Arial" w:cs="Arial"/>
          <w:szCs w:val="22"/>
        </w:rPr>
      </w:pPr>
      <w:r w:rsidRPr="00653948">
        <w:rPr>
          <w:rFonts w:ascii="Arial" w:hAnsi="Arial" w:cs="Arial"/>
          <w:szCs w:val="22"/>
        </w:rPr>
        <w:t>CP</w:t>
      </w:r>
      <w:r w:rsidR="00C10D1E">
        <w:rPr>
          <w:rFonts w:ascii="Arial" w:hAnsi="Arial" w:cs="Arial"/>
          <w:szCs w:val="22"/>
        </w:rPr>
        <w:t>R rr.</w:t>
      </w:r>
      <w:r w:rsidRPr="00653948">
        <w:rPr>
          <w:rFonts w:ascii="Arial" w:hAnsi="Arial" w:cs="Arial"/>
          <w:szCs w:val="22"/>
        </w:rPr>
        <w:t>54.8-</w:t>
      </w:r>
      <w:r>
        <w:rPr>
          <w:rFonts w:ascii="Arial" w:hAnsi="Arial" w:cs="Arial"/>
          <w:szCs w:val="22"/>
        </w:rPr>
        <w:t>54.</w:t>
      </w:r>
      <w:r w:rsidRPr="00653948">
        <w:rPr>
          <w:rFonts w:ascii="Arial" w:hAnsi="Arial" w:cs="Arial"/>
          <w:szCs w:val="22"/>
        </w:rPr>
        <w:t xml:space="preserve">9, </w:t>
      </w:r>
      <w:r>
        <w:rPr>
          <w:rFonts w:ascii="Arial" w:hAnsi="Arial" w:cs="Arial"/>
          <w:szCs w:val="22"/>
        </w:rPr>
        <w:t>54.</w:t>
      </w:r>
      <w:r w:rsidRPr="00653948">
        <w:rPr>
          <w:rFonts w:ascii="Arial" w:hAnsi="Arial" w:cs="Arial"/>
          <w:szCs w:val="22"/>
        </w:rPr>
        <w:t>14 – Defendant’s acknowledgment of service, detailed response and evidence;</w:t>
      </w:r>
    </w:p>
    <w:p w14:paraId="0894D560" w14:textId="77777777" w:rsidR="00EB5785" w:rsidRPr="00653948" w:rsidRDefault="00EB5785" w:rsidP="00C10D1E">
      <w:pPr>
        <w:jc w:val="both"/>
        <w:rPr>
          <w:rFonts w:ascii="Arial" w:hAnsi="Arial" w:cs="Arial"/>
          <w:szCs w:val="22"/>
        </w:rPr>
      </w:pPr>
    </w:p>
    <w:p w14:paraId="50CA7913" w14:textId="0BE8323E" w:rsidR="00EB5785" w:rsidRPr="00653948" w:rsidRDefault="00C10D1E" w:rsidP="00C10D1E">
      <w:pPr>
        <w:numPr>
          <w:ilvl w:val="0"/>
          <w:numId w:val="29"/>
        </w:numPr>
        <w:tabs>
          <w:tab w:val="num" w:pos="0"/>
        </w:tabs>
        <w:spacing w:line="240" w:lineRule="auto"/>
        <w:jc w:val="both"/>
        <w:rPr>
          <w:rFonts w:ascii="Arial" w:hAnsi="Arial" w:cs="Arial"/>
          <w:szCs w:val="22"/>
        </w:rPr>
      </w:pPr>
      <w:r>
        <w:rPr>
          <w:rFonts w:ascii="Arial" w:hAnsi="Arial" w:cs="Arial"/>
          <w:szCs w:val="22"/>
        </w:rPr>
        <w:t>CPR r.</w:t>
      </w:r>
      <w:r w:rsidR="00EB5785" w:rsidRPr="00653948">
        <w:rPr>
          <w:rFonts w:ascii="Arial" w:hAnsi="Arial" w:cs="Arial"/>
          <w:szCs w:val="22"/>
        </w:rPr>
        <w:t>54.15 – Claimant requires permission to rely on additional grounds</w:t>
      </w:r>
      <w:r w:rsidR="003573CE">
        <w:rPr>
          <w:rFonts w:ascii="Arial" w:hAnsi="Arial" w:cs="Arial"/>
          <w:szCs w:val="22"/>
        </w:rPr>
        <w:t>;</w:t>
      </w:r>
      <w:r w:rsidR="00EB5785" w:rsidRPr="00653948">
        <w:rPr>
          <w:rStyle w:val="FootnoteReference"/>
          <w:rFonts w:ascii="Arial" w:hAnsi="Arial" w:cs="Arial"/>
          <w:szCs w:val="22"/>
        </w:rPr>
        <w:footnoteReference w:id="4"/>
      </w:r>
    </w:p>
    <w:p w14:paraId="0293A666" w14:textId="77777777" w:rsidR="00EB5785" w:rsidRPr="00653948" w:rsidRDefault="00EB5785" w:rsidP="00C10D1E">
      <w:pPr>
        <w:jc w:val="both"/>
        <w:rPr>
          <w:rFonts w:ascii="Arial" w:hAnsi="Arial" w:cs="Arial"/>
          <w:szCs w:val="22"/>
        </w:rPr>
      </w:pPr>
    </w:p>
    <w:p w14:paraId="75633805" w14:textId="069ED654" w:rsidR="00EB5785" w:rsidRPr="00653948" w:rsidRDefault="00C10D1E" w:rsidP="00C10D1E">
      <w:pPr>
        <w:numPr>
          <w:ilvl w:val="0"/>
          <w:numId w:val="29"/>
        </w:numPr>
        <w:tabs>
          <w:tab w:val="num" w:pos="0"/>
        </w:tabs>
        <w:spacing w:line="240" w:lineRule="auto"/>
        <w:jc w:val="both"/>
        <w:rPr>
          <w:rFonts w:ascii="Arial" w:hAnsi="Arial" w:cs="Arial"/>
          <w:szCs w:val="22"/>
        </w:rPr>
      </w:pPr>
      <w:r>
        <w:rPr>
          <w:rFonts w:ascii="Arial" w:hAnsi="Arial" w:cs="Arial"/>
          <w:szCs w:val="22"/>
        </w:rPr>
        <w:t>CPR r.</w:t>
      </w:r>
      <w:r w:rsidR="00EB5785" w:rsidRPr="00653948">
        <w:rPr>
          <w:rFonts w:ascii="Arial" w:hAnsi="Arial" w:cs="Arial"/>
          <w:szCs w:val="22"/>
        </w:rPr>
        <w:t>54</w:t>
      </w:r>
      <w:r w:rsidR="00EB5785">
        <w:rPr>
          <w:rFonts w:ascii="Arial" w:hAnsi="Arial" w:cs="Arial"/>
          <w:szCs w:val="22"/>
        </w:rPr>
        <w:t>.</w:t>
      </w:r>
      <w:r w:rsidR="00EB5785" w:rsidRPr="00653948">
        <w:rPr>
          <w:rFonts w:ascii="Arial" w:hAnsi="Arial" w:cs="Arial"/>
          <w:szCs w:val="22"/>
        </w:rPr>
        <w:t>16 – Evidence;</w:t>
      </w:r>
    </w:p>
    <w:p w14:paraId="7A691505" w14:textId="77777777" w:rsidR="00EB5785" w:rsidRPr="00653948" w:rsidRDefault="00EB5785" w:rsidP="00C10D1E">
      <w:pPr>
        <w:jc w:val="both"/>
        <w:rPr>
          <w:rFonts w:ascii="Arial" w:hAnsi="Arial" w:cs="Arial"/>
          <w:szCs w:val="22"/>
        </w:rPr>
      </w:pPr>
    </w:p>
    <w:p w14:paraId="2C5865AA" w14:textId="3D598BC7" w:rsidR="00EB5785" w:rsidRPr="00653948" w:rsidRDefault="00C10D1E" w:rsidP="00C10D1E">
      <w:pPr>
        <w:numPr>
          <w:ilvl w:val="0"/>
          <w:numId w:val="29"/>
        </w:numPr>
        <w:tabs>
          <w:tab w:val="num" w:pos="0"/>
        </w:tabs>
        <w:spacing w:line="240" w:lineRule="auto"/>
        <w:jc w:val="both"/>
        <w:rPr>
          <w:rFonts w:ascii="Arial" w:hAnsi="Arial" w:cs="Arial"/>
          <w:szCs w:val="22"/>
        </w:rPr>
      </w:pPr>
      <w:r>
        <w:rPr>
          <w:rFonts w:ascii="Arial" w:hAnsi="Arial" w:cs="Arial"/>
          <w:szCs w:val="22"/>
        </w:rPr>
        <w:t>CPR r.</w:t>
      </w:r>
      <w:r w:rsidR="00EB5785" w:rsidRPr="00653948">
        <w:rPr>
          <w:rFonts w:ascii="Arial" w:hAnsi="Arial" w:cs="Arial"/>
          <w:szCs w:val="22"/>
        </w:rPr>
        <w:t>54.17 –</w:t>
      </w:r>
      <w:r w:rsidR="003573CE">
        <w:rPr>
          <w:rFonts w:ascii="Arial" w:hAnsi="Arial" w:cs="Arial"/>
          <w:szCs w:val="22"/>
        </w:rPr>
        <w:t xml:space="preserve"> </w:t>
      </w:r>
      <w:r w:rsidR="00EB5785" w:rsidRPr="00653948">
        <w:rPr>
          <w:rFonts w:ascii="Arial" w:hAnsi="Arial" w:cs="Arial"/>
          <w:szCs w:val="22"/>
        </w:rPr>
        <w:t>Applications to intervene;</w:t>
      </w:r>
    </w:p>
    <w:p w14:paraId="5641068B" w14:textId="77777777" w:rsidR="00EB5785" w:rsidRPr="00653948" w:rsidRDefault="00EB5785" w:rsidP="00C10D1E">
      <w:pPr>
        <w:jc w:val="both"/>
        <w:rPr>
          <w:rFonts w:ascii="Arial" w:hAnsi="Arial" w:cs="Arial"/>
          <w:szCs w:val="22"/>
        </w:rPr>
      </w:pPr>
    </w:p>
    <w:p w14:paraId="17A4EFE5" w14:textId="1BF51766" w:rsidR="00EB5785" w:rsidRPr="00653948" w:rsidRDefault="00C10D1E" w:rsidP="00C10D1E">
      <w:pPr>
        <w:numPr>
          <w:ilvl w:val="0"/>
          <w:numId w:val="29"/>
        </w:numPr>
        <w:tabs>
          <w:tab w:val="num" w:pos="0"/>
        </w:tabs>
        <w:spacing w:line="240" w:lineRule="auto"/>
        <w:jc w:val="both"/>
        <w:rPr>
          <w:rFonts w:ascii="Arial" w:hAnsi="Arial" w:cs="Arial"/>
          <w:szCs w:val="22"/>
        </w:rPr>
      </w:pPr>
      <w:r>
        <w:rPr>
          <w:rFonts w:ascii="Arial" w:hAnsi="Arial" w:cs="Arial"/>
          <w:szCs w:val="22"/>
        </w:rPr>
        <w:t>CPR r.</w:t>
      </w:r>
      <w:r w:rsidR="00EB5785" w:rsidRPr="00653948">
        <w:rPr>
          <w:rFonts w:ascii="Arial" w:hAnsi="Arial" w:cs="Arial"/>
          <w:szCs w:val="22"/>
        </w:rPr>
        <w:t>54.18 – Power to decide application without a hearing where all parties agree;</w:t>
      </w:r>
    </w:p>
    <w:p w14:paraId="2D93DF29" w14:textId="77777777" w:rsidR="00EB5785" w:rsidRPr="00653948" w:rsidRDefault="00EB5785" w:rsidP="00C10D1E">
      <w:pPr>
        <w:jc w:val="both"/>
        <w:rPr>
          <w:rFonts w:ascii="Arial" w:hAnsi="Arial" w:cs="Arial"/>
          <w:szCs w:val="22"/>
        </w:rPr>
      </w:pPr>
    </w:p>
    <w:p w14:paraId="1CE4FFDD" w14:textId="74B38F47" w:rsidR="00EB5785" w:rsidRPr="00653948" w:rsidRDefault="00C10D1E" w:rsidP="00C10D1E">
      <w:pPr>
        <w:numPr>
          <w:ilvl w:val="0"/>
          <w:numId w:val="29"/>
        </w:numPr>
        <w:tabs>
          <w:tab w:val="num" w:pos="0"/>
        </w:tabs>
        <w:spacing w:line="240" w:lineRule="auto"/>
        <w:jc w:val="both"/>
        <w:rPr>
          <w:rFonts w:ascii="Arial" w:hAnsi="Arial" w:cs="Arial"/>
          <w:szCs w:val="22"/>
        </w:rPr>
      </w:pPr>
      <w:r>
        <w:rPr>
          <w:rFonts w:ascii="Arial" w:hAnsi="Arial" w:cs="Arial"/>
          <w:szCs w:val="22"/>
        </w:rPr>
        <w:lastRenderedPageBreak/>
        <w:t>CPR r.</w:t>
      </w:r>
      <w:r w:rsidR="00EB5785" w:rsidRPr="00653948">
        <w:rPr>
          <w:rFonts w:ascii="Arial" w:hAnsi="Arial" w:cs="Arial"/>
          <w:szCs w:val="22"/>
        </w:rPr>
        <w:t>54.19 – Powers in respect of quashing orders (see below);</w:t>
      </w:r>
    </w:p>
    <w:p w14:paraId="18387E34" w14:textId="77777777" w:rsidR="00EB5785" w:rsidRPr="00653948" w:rsidRDefault="00EB5785" w:rsidP="00C10D1E">
      <w:pPr>
        <w:jc w:val="both"/>
        <w:rPr>
          <w:rFonts w:ascii="Arial" w:hAnsi="Arial" w:cs="Arial"/>
          <w:szCs w:val="22"/>
        </w:rPr>
      </w:pPr>
    </w:p>
    <w:p w14:paraId="4A4E5E37" w14:textId="2F1A5B45" w:rsidR="00EB5785" w:rsidRPr="00653948" w:rsidRDefault="00C10D1E" w:rsidP="00C10D1E">
      <w:pPr>
        <w:numPr>
          <w:ilvl w:val="0"/>
          <w:numId w:val="29"/>
        </w:numPr>
        <w:tabs>
          <w:tab w:val="num" w:pos="0"/>
        </w:tabs>
        <w:spacing w:line="240" w:lineRule="auto"/>
        <w:jc w:val="both"/>
        <w:rPr>
          <w:rFonts w:ascii="Arial" w:hAnsi="Arial" w:cs="Arial"/>
          <w:szCs w:val="22"/>
        </w:rPr>
      </w:pPr>
      <w:r>
        <w:rPr>
          <w:rFonts w:ascii="Arial" w:hAnsi="Arial" w:cs="Arial"/>
          <w:szCs w:val="22"/>
        </w:rPr>
        <w:t>CPR r.</w:t>
      </w:r>
      <w:r w:rsidR="00EB5785" w:rsidRPr="00653948">
        <w:rPr>
          <w:rFonts w:ascii="Arial" w:hAnsi="Arial" w:cs="Arial"/>
          <w:szCs w:val="22"/>
        </w:rPr>
        <w:t>54.20 – Transfer provisions - power to order claim to continue as if not brought by way of judicial review</w:t>
      </w:r>
      <w:r w:rsidR="006D5460">
        <w:rPr>
          <w:rFonts w:ascii="Arial" w:hAnsi="Arial" w:cs="Arial"/>
          <w:szCs w:val="22"/>
        </w:rPr>
        <w:t>;</w:t>
      </w:r>
    </w:p>
    <w:p w14:paraId="3B814F34" w14:textId="77777777" w:rsidR="00EB5785" w:rsidRDefault="00EB5785" w:rsidP="00C10D1E">
      <w:pPr>
        <w:jc w:val="both"/>
        <w:rPr>
          <w:rFonts w:ascii="Arial" w:hAnsi="Arial" w:cs="Arial"/>
          <w:szCs w:val="22"/>
        </w:rPr>
      </w:pPr>
    </w:p>
    <w:p w14:paraId="6AC854F4" w14:textId="3DDB916F" w:rsidR="00EB5785" w:rsidRDefault="00EB5785" w:rsidP="00C10D1E">
      <w:pPr>
        <w:pStyle w:val="ListParagraph"/>
        <w:numPr>
          <w:ilvl w:val="0"/>
          <w:numId w:val="29"/>
        </w:numPr>
        <w:jc w:val="both"/>
        <w:rPr>
          <w:rFonts w:ascii="Arial" w:hAnsi="Arial" w:cs="Arial"/>
          <w:sz w:val="22"/>
          <w:szCs w:val="22"/>
        </w:rPr>
      </w:pPr>
      <w:r>
        <w:rPr>
          <w:rFonts w:ascii="Arial" w:hAnsi="Arial" w:cs="Arial"/>
          <w:sz w:val="22"/>
          <w:szCs w:val="22"/>
        </w:rPr>
        <w:t xml:space="preserve">CPR </w:t>
      </w:r>
      <w:r w:rsidR="00C10D1E">
        <w:rPr>
          <w:rFonts w:ascii="Arial" w:hAnsi="Arial" w:cs="Arial"/>
          <w:sz w:val="22"/>
          <w:szCs w:val="22"/>
        </w:rPr>
        <w:t>rr.</w:t>
      </w:r>
      <w:r>
        <w:rPr>
          <w:rFonts w:ascii="Arial" w:hAnsi="Arial" w:cs="Arial"/>
          <w:sz w:val="22"/>
          <w:szCs w:val="22"/>
        </w:rPr>
        <w:t xml:space="preserve">54.21-54.24 </w:t>
      </w:r>
      <w:r w:rsidR="00C10D1E">
        <w:rPr>
          <w:rFonts w:ascii="Arial" w:hAnsi="Arial" w:cs="Arial"/>
          <w:sz w:val="22"/>
          <w:szCs w:val="22"/>
        </w:rPr>
        <w:t xml:space="preserve">- </w:t>
      </w:r>
      <w:r>
        <w:rPr>
          <w:rFonts w:ascii="Arial" w:hAnsi="Arial" w:cs="Arial"/>
          <w:sz w:val="22"/>
          <w:szCs w:val="22"/>
        </w:rPr>
        <w:t>The Planning Court</w:t>
      </w:r>
      <w:r w:rsidR="006D5460">
        <w:rPr>
          <w:rFonts w:ascii="Arial" w:hAnsi="Arial" w:cs="Arial"/>
          <w:sz w:val="22"/>
          <w:szCs w:val="22"/>
        </w:rPr>
        <w:t>,</w:t>
      </w:r>
      <w:r>
        <w:rPr>
          <w:rFonts w:ascii="Arial" w:hAnsi="Arial" w:cs="Arial"/>
          <w:sz w:val="22"/>
          <w:szCs w:val="22"/>
        </w:rPr>
        <w:t xml:space="preserve"> </w:t>
      </w:r>
      <w:r w:rsidRPr="00F33CB5">
        <w:rPr>
          <w:rFonts w:ascii="Arial" w:hAnsi="Arial" w:cs="Arial"/>
          <w:sz w:val="22"/>
          <w:szCs w:val="22"/>
        </w:rPr>
        <w:t>which hear</w:t>
      </w:r>
      <w:r w:rsidR="00F33CB5">
        <w:rPr>
          <w:rFonts w:ascii="Arial" w:hAnsi="Arial" w:cs="Arial"/>
          <w:sz w:val="22"/>
          <w:szCs w:val="22"/>
        </w:rPr>
        <w:t>s</w:t>
      </w:r>
      <w:r w:rsidRPr="00F33CB5">
        <w:rPr>
          <w:rFonts w:ascii="Arial" w:hAnsi="Arial" w:cs="Arial"/>
          <w:sz w:val="22"/>
          <w:szCs w:val="22"/>
        </w:rPr>
        <w:t xml:space="preserve"> planning challenges</w:t>
      </w:r>
      <w:r>
        <w:rPr>
          <w:rFonts w:ascii="Arial" w:hAnsi="Arial" w:cs="Arial"/>
          <w:sz w:val="22"/>
          <w:szCs w:val="22"/>
        </w:rPr>
        <w:t xml:space="preserve"> including planning judicial reviews</w:t>
      </w:r>
      <w:r w:rsidR="006D5460">
        <w:rPr>
          <w:rFonts w:ascii="Arial" w:hAnsi="Arial" w:cs="Arial"/>
          <w:sz w:val="22"/>
          <w:szCs w:val="22"/>
        </w:rPr>
        <w:t>.</w:t>
      </w:r>
    </w:p>
    <w:p w14:paraId="22701765" w14:textId="77777777" w:rsidR="00EB5785" w:rsidRPr="00DF0D31" w:rsidRDefault="00EB5785" w:rsidP="00EB5785">
      <w:pPr>
        <w:jc w:val="both"/>
        <w:rPr>
          <w:rFonts w:ascii="Arial" w:hAnsi="Arial" w:cs="Arial"/>
          <w:szCs w:val="22"/>
        </w:rPr>
      </w:pPr>
    </w:p>
    <w:p w14:paraId="413E2FD2" w14:textId="1D368DC9"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 xml:space="preserve">There </w:t>
      </w:r>
      <w:r>
        <w:rPr>
          <w:rFonts w:ascii="Arial" w:hAnsi="Arial" w:cs="Arial"/>
          <w:sz w:val="22"/>
          <w:szCs w:val="22"/>
        </w:rPr>
        <w:t>are four</w:t>
      </w:r>
      <w:r w:rsidRPr="00653948">
        <w:rPr>
          <w:rFonts w:ascii="Arial" w:hAnsi="Arial" w:cs="Arial"/>
          <w:sz w:val="22"/>
          <w:szCs w:val="22"/>
        </w:rPr>
        <w:t xml:space="preserve"> Practice Directions to supplement Part 54 (as well as a prescribed pre-action protocol). Practice Direction 54C refers to </w:t>
      </w:r>
      <w:r w:rsidR="006D5460">
        <w:rPr>
          <w:rFonts w:ascii="Arial" w:hAnsi="Arial" w:cs="Arial"/>
          <w:sz w:val="22"/>
          <w:szCs w:val="22"/>
        </w:rPr>
        <w:t xml:space="preserve">references by the </w:t>
      </w:r>
      <w:r w:rsidR="006175AD">
        <w:rPr>
          <w:rFonts w:ascii="Arial" w:hAnsi="Arial" w:cs="Arial"/>
          <w:sz w:val="22"/>
          <w:szCs w:val="22"/>
        </w:rPr>
        <w:t>Legal Aid Agency (“</w:t>
      </w:r>
      <w:r w:rsidR="006175AD" w:rsidRPr="006175AD">
        <w:rPr>
          <w:rFonts w:ascii="Arial" w:hAnsi="Arial" w:cs="Arial"/>
          <w:b/>
          <w:sz w:val="22"/>
          <w:szCs w:val="22"/>
        </w:rPr>
        <w:t>LAA</w:t>
      </w:r>
      <w:r w:rsidR="006175AD">
        <w:rPr>
          <w:rFonts w:ascii="Arial" w:hAnsi="Arial" w:cs="Arial"/>
          <w:sz w:val="22"/>
          <w:szCs w:val="22"/>
        </w:rPr>
        <w:t>”)</w:t>
      </w:r>
      <w:r w:rsidR="006D5460">
        <w:rPr>
          <w:rFonts w:ascii="Arial" w:hAnsi="Arial" w:cs="Arial"/>
          <w:sz w:val="22"/>
          <w:szCs w:val="22"/>
        </w:rPr>
        <w:t xml:space="preserve"> of questions concerning eligibility for funding in criminal cases</w:t>
      </w:r>
      <w:r w:rsidRPr="00653948">
        <w:rPr>
          <w:rFonts w:ascii="Arial" w:hAnsi="Arial" w:cs="Arial"/>
          <w:sz w:val="22"/>
          <w:szCs w:val="22"/>
        </w:rPr>
        <w:t xml:space="preserve">, and Practice Direction 54D is concerned with the appropriate venue for judicial review proceedings under the regionalisation policy implemented in 2009. The general expectation is that proceedings will be administered and determined in the region with which the claimant has the closest connection, subject to various countervailing factors set out in §5.2 of PD54D. There are certain “excepted” classes of claim that are not handled in the regional courts, including extradition appeals and Divisional Court hearings. </w:t>
      </w:r>
      <w:r>
        <w:rPr>
          <w:rFonts w:ascii="Arial" w:hAnsi="Arial" w:cs="Arial"/>
          <w:sz w:val="22"/>
          <w:szCs w:val="22"/>
        </w:rPr>
        <w:t xml:space="preserve"> Practice Direction 54E concerns Planning Court claims.</w:t>
      </w:r>
    </w:p>
    <w:p w14:paraId="09BD52A0" w14:textId="77777777" w:rsidR="00EB5785" w:rsidRPr="00653948" w:rsidRDefault="00EB5785" w:rsidP="00EB5785">
      <w:pPr>
        <w:pStyle w:val="ListParagraph"/>
        <w:jc w:val="both"/>
        <w:rPr>
          <w:rFonts w:ascii="Arial" w:hAnsi="Arial" w:cs="Arial"/>
          <w:sz w:val="22"/>
          <w:szCs w:val="22"/>
        </w:rPr>
      </w:pPr>
    </w:p>
    <w:p w14:paraId="3F17749B" w14:textId="77777777"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The general guidance on procedural matters is contained in Practice Direction 54A.  The most important features of general application include paragraphs 4 (date when grounds arise to challenge a judgment, order or conviction), 5.6 and 5.7 (documents to be filed with claim form), 8.5 and 8.6 (defendant not required to attend oral permission hearing and will not normally recover costs if it does so), 11 (minimum 7 days’ notice of reliance on additional grounds), 12 (no obligation of disclosure unless court orders otherwise), 15 (skeleton arguments), 16 (bundles) and 17 (agreed final orders).</w:t>
      </w:r>
    </w:p>
    <w:p w14:paraId="01E125CB" w14:textId="77777777" w:rsidR="00EB5785" w:rsidRPr="00653948" w:rsidRDefault="00EB5785" w:rsidP="00EB5785">
      <w:pPr>
        <w:jc w:val="both"/>
        <w:rPr>
          <w:rFonts w:ascii="Arial" w:hAnsi="Arial" w:cs="Arial"/>
          <w:szCs w:val="22"/>
        </w:rPr>
      </w:pPr>
    </w:p>
    <w:p w14:paraId="35739B2A" w14:textId="6354CE44"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A further Practice Statement ([2002] 1 WLR 810) deals</w:t>
      </w:r>
      <w:r w:rsidR="00C10D1E">
        <w:rPr>
          <w:rFonts w:ascii="Arial" w:hAnsi="Arial" w:cs="Arial"/>
          <w:sz w:val="22"/>
          <w:szCs w:val="22"/>
        </w:rPr>
        <w:t>,</w:t>
      </w:r>
      <w:r w:rsidRPr="00653948">
        <w:rPr>
          <w:rFonts w:ascii="Arial" w:hAnsi="Arial" w:cs="Arial"/>
          <w:sz w:val="22"/>
          <w:szCs w:val="22"/>
        </w:rPr>
        <w:t xml:space="preserve"> amongst other matters</w:t>
      </w:r>
      <w:r w:rsidR="00C10D1E">
        <w:rPr>
          <w:rFonts w:ascii="Arial" w:hAnsi="Arial" w:cs="Arial"/>
          <w:sz w:val="22"/>
          <w:szCs w:val="22"/>
        </w:rPr>
        <w:t>,</w:t>
      </w:r>
      <w:r w:rsidRPr="00653948">
        <w:rPr>
          <w:rFonts w:ascii="Arial" w:hAnsi="Arial" w:cs="Arial"/>
          <w:sz w:val="22"/>
          <w:szCs w:val="22"/>
        </w:rPr>
        <w:t xml:space="preserve"> with the procedure for urgent cases at the permission stage (application for urgent consideration / application for interim injunction, which must be accompanied by reasons for urgency and a draft order) and another ([2008] 1 WLR 1377) with uncontested proceedings.</w:t>
      </w:r>
    </w:p>
    <w:p w14:paraId="2F145980" w14:textId="77777777" w:rsidR="00EB5785" w:rsidRPr="00653948" w:rsidRDefault="00EB5785" w:rsidP="00EB5785">
      <w:pPr>
        <w:jc w:val="both"/>
        <w:rPr>
          <w:rFonts w:ascii="Arial" w:hAnsi="Arial" w:cs="Arial"/>
          <w:szCs w:val="22"/>
        </w:rPr>
      </w:pPr>
    </w:p>
    <w:p w14:paraId="3ABA59AB" w14:textId="5E9A404F" w:rsidR="00EB5785" w:rsidRPr="00653948" w:rsidRDefault="006D5460" w:rsidP="00EB5785">
      <w:pPr>
        <w:pStyle w:val="ListParagraph"/>
        <w:numPr>
          <w:ilvl w:val="0"/>
          <w:numId w:val="34"/>
        </w:numPr>
        <w:jc w:val="both"/>
        <w:rPr>
          <w:rFonts w:ascii="Arial" w:hAnsi="Arial" w:cs="Arial"/>
          <w:sz w:val="22"/>
          <w:szCs w:val="22"/>
        </w:rPr>
      </w:pPr>
      <w:r>
        <w:rPr>
          <w:rFonts w:ascii="Arial" w:hAnsi="Arial" w:cs="Arial"/>
          <w:sz w:val="22"/>
          <w:szCs w:val="22"/>
        </w:rPr>
        <w:t xml:space="preserve">It is now also necessary to consider </w:t>
      </w:r>
      <w:r w:rsidRPr="006D5460">
        <w:rPr>
          <w:rFonts w:ascii="Arial" w:hAnsi="Arial" w:cs="Arial"/>
          <w:i/>
          <w:sz w:val="22"/>
          <w:szCs w:val="22"/>
        </w:rPr>
        <w:t>The Administrative Court: Judicial Review Guide 201</w:t>
      </w:r>
      <w:r w:rsidR="003573CE">
        <w:rPr>
          <w:rFonts w:ascii="Arial" w:hAnsi="Arial" w:cs="Arial"/>
          <w:i/>
          <w:sz w:val="22"/>
          <w:szCs w:val="22"/>
        </w:rPr>
        <w:t>7</w:t>
      </w:r>
      <w:r>
        <w:rPr>
          <w:rFonts w:ascii="Arial" w:hAnsi="Arial" w:cs="Arial"/>
          <w:sz w:val="22"/>
          <w:szCs w:val="22"/>
        </w:rPr>
        <w:t xml:space="preserve">, which parties are expected to act in accordance with (see §1.1.3). </w:t>
      </w:r>
      <w:r w:rsidR="00EB5785" w:rsidRPr="00653948">
        <w:rPr>
          <w:rFonts w:ascii="Arial" w:hAnsi="Arial" w:cs="Arial"/>
          <w:sz w:val="22"/>
          <w:szCs w:val="22"/>
        </w:rPr>
        <w:t xml:space="preserve">See also the </w:t>
      </w:r>
      <w:r w:rsidR="00EB5785" w:rsidRPr="006D5460">
        <w:rPr>
          <w:rFonts w:ascii="Arial" w:hAnsi="Arial" w:cs="Arial"/>
          <w:i/>
          <w:sz w:val="22"/>
          <w:szCs w:val="22"/>
        </w:rPr>
        <w:t>Administrative Court Notes for Guidance on Applying for Judicial Review</w:t>
      </w:r>
      <w:r w:rsidR="00EB5785" w:rsidRPr="00653948">
        <w:rPr>
          <w:rFonts w:ascii="Arial" w:hAnsi="Arial" w:cs="Arial"/>
          <w:sz w:val="22"/>
          <w:szCs w:val="22"/>
        </w:rPr>
        <w:t xml:space="preserve"> (updated to </w:t>
      </w:r>
      <w:r w:rsidR="00EB5785" w:rsidRPr="00F33CB5">
        <w:rPr>
          <w:rFonts w:ascii="Arial" w:hAnsi="Arial" w:cs="Arial"/>
          <w:sz w:val="22"/>
          <w:szCs w:val="22"/>
        </w:rPr>
        <w:t>1 April 2011),</w:t>
      </w:r>
      <w:r w:rsidR="00EB5785" w:rsidRPr="00653948">
        <w:rPr>
          <w:rFonts w:ascii="Arial" w:hAnsi="Arial" w:cs="Arial"/>
          <w:sz w:val="22"/>
          <w:szCs w:val="22"/>
        </w:rPr>
        <w:t xml:space="preserve"> although these</w:t>
      </w:r>
      <w:r>
        <w:rPr>
          <w:rFonts w:ascii="Arial" w:hAnsi="Arial" w:cs="Arial"/>
          <w:sz w:val="22"/>
          <w:szCs w:val="22"/>
        </w:rPr>
        <w:t xml:space="preserve"> notes</w:t>
      </w:r>
      <w:r w:rsidR="00EB5785" w:rsidRPr="00653948">
        <w:rPr>
          <w:rFonts w:ascii="Arial" w:hAnsi="Arial" w:cs="Arial"/>
          <w:sz w:val="22"/>
          <w:szCs w:val="22"/>
        </w:rPr>
        <w:t xml:space="preserve"> are aimed largely at a non-professional audience.</w:t>
      </w:r>
    </w:p>
    <w:p w14:paraId="1A0ECA9E" w14:textId="77777777" w:rsidR="00EB5785" w:rsidRPr="00653948" w:rsidRDefault="00EB5785" w:rsidP="00EB5785">
      <w:pPr>
        <w:jc w:val="both"/>
        <w:rPr>
          <w:rFonts w:ascii="Arial" w:hAnsi="Arial" w:cs="Arial"/>
          <w:szCs w:val="22"/>
        </w:rPr>
      </w:pPr>
    </w:p>
    <w:p w14:paraId="447FCC8A" w14:textId="77777777" w:rsidR="00EB5785" w:rsidRPr="00653948" w:rsidRDefault="00EB5785" w:rsidP="00EB5785">
      <w:pPr>
        <w:jc w:val="both"/>
        <w:rPr>
          <w:rFonts w:ascii="Arial" w:hAnsi="Arial" w:cs="Arial"/>
          <w:szCs w:val="22"/>
        </w:rPr>
      </w:pPr>
    </w:p>
    <w:p w14:paraId="75D6AC5C" w14:textId="77777777" w:rsidR="00EB5785" w:rsidRPr="00653948" w:rsidRDefault="00EB5785" w:rsidP="00EB5785">
      <w:pPr>
        <w:pStyle w:val="Heading5"/>
        <w:rPr>
          <w:rFonts w:ascii="Arial" w:hAnsi="Arial" w:cs="Arial"/>
          <w:sz w:val="22"/>
          <w:szCs w:val="22"/>
        </w:rPr>
      </w:pPr>
      <w:r w:rsidRPr="00653948">
        <w:rPr>
          <w:rFonts w:ascii="Arial" w:hAnsi="Arial" w:cs="Arial"/>
          <w:sz w:val="22"/>
          <w:szCs w:val="22"/>
        </w:rPr>
        <w:t>(2) Standing</w:t>
      </w:r>
    </w:p>
    <w:p w14:paraId="479F4AA5" w14:textId="77777777" w:rsidR="00EB5785" w:rsidRPr="00653948" w:rsidRDefault="00EB5785" w:rsidP="00EB5785">
      <w:pPr>
        <w:jc w:val="both"/>
        <w:rPr>
          <w:rFonts w:ascii="Arial" w:hAnsi="Arial" w:cs="Arial"/>
          <w:szCs w:val="22"/>
        </w:rPr>
      </w:pPr>
    </w:p>
    <w:p w14:paraId="44FF7448" w14:textId="6E8EFCC2"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SCA</w:t>
      </w:r>
      <w:r w:rsidR="006D5460">
        <w:rPr>
          <w:rFonts w:ascii="Arial" w:hAnsi="Arial" w:cs="Arial"/>
          <w:sz w:val="22"/>
          <w:szCs w:val="22"/>
        </w:rPr>
        <w:t xml:space="preserve"> 1981 s.</w:t>
      </w:r>
      <w:r w:rsidRPr="00653948">
        <w:rPr>
          <w:rFonts w:ascii="Arial" w:hAnsi="Arial" w:cs="Arial"/>
          <w:sz w:val="22"/>
          <w:szCs w:val="22"/>
        </w:rPr>
        <w:t>31(3) provides that the court shall not grant permission to apply for judicial review:</w:t>
      </w:r>
    </w:p>
    <w:p w14:paraId="29936E9D" w14:textId="77777777" w:rsidR="006D5460" w:rsidRDefault="006D5460" w:rsidP="006D5460">
      <w:pPr>
        <w:pStyle w:val="ListParagraph"/>
        <w:jc w:val="both"/>
        <w:rPr>
          <w:rFonts w:ascii="Arial" w:hAnsi="Arial" w:cs="Arial"/>
          <w:i/>
          <w:sz w:val="22"/>
          <w:szCs w:val="22"/>
        </w:rPr>
      </w:pPr>
    </w:p>
    <w:p w14:paraId="171CCDEB" w14:textId="3941BA43" w:rsidR="00EB5785" w:rsidRPr="00653948" w:rsidRDefault="00EB5785" w:rsidP="006D5460">
      <w:pPr>
        <w:pStyle w:val="ListParagraph"/>
        <w:jc w:val="both"/>
        <w:rPr>
          <w:rFonts w:ascii="Arial" w:hAnsi="Arial" w:cs="Arial"/>
          <w:sz w:val="22"/>
          <w:szCs w:val="22"/>
        </w:rPr>
      </w:pPr>
      <w:r w:rsidRPr="006D5460">
        <w:rPr>
          <w:rFonts w:ascii="Arial" w:hAnsi="Arial" w:cs="Arial"/>
          <w:i/>
          <w:sz w:val="22"/>
          <w:szCs w:val="22"/>
        </w:rPr>
        <w:t>“. . . unless it considers that the applicant has a sufficient interest in the matter to which the application relates</w:t>
      </w:r>
      <w:r w:rsidRPr="00653948">
        <w:rPr>
          <w:rFonts w:ascii="Arial" w:hAnsi="Arial" w:cs="Arial"/>
          <w:sz w:val="22"/>
          <w:szCs w:val="22"/>
        </w:rPr>
        <w:t>.”</w:t>
      </w:r>
    </w:p>
    <w:p w14:paraId="47146917" w14:textId="77777777" w:rsidR="00EB5785" w:rsidRPr="00653948" w:rsidRDefault="00EB5785" w:rsidP="00EB5785">
      <w:pPr>
        <w:ind w:left="720"/>
        <w:jc w:val="both"/>
        <w:rPr>
          <w:rFonts w:ascii="Arial" w:hAnsi="Arial" w:cs="Arial"/>
          <w:szCs w:val="22"/>
        </w:rPr>
      </w:pPr>
    </w:p>
    <w:p w14:paraId="75108473" w14:textId="77777777"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In practice, a very broad approach is now taken, and it is unusual under the current approach for a claim to fail for lack of standing, assuming that the claimant is not a mere “</w:t>
      </w:r>
      <w:r w:rsidRPr="003573CE">
        <w:rPr>
          <w:rFonts w:ascii="Arial" w:hAnsi="Arial" w:cs="Arial"/>
          <w:i/>
          <w:sz w:val="22"/>
          <w:szCs w:val="22"/>
        </w:rPr>
        <w:t>busybody</w:t>
      </w:r>
      <w:r w:rsidRPr="00653948">
        <w:rPr>
          <w:rFonts w:ascii="Arial" w:hAnsi="Arial" w:cs="Arial"/>
          <w:sz w:val="22"/>
          <w:szCs w:val="22"/>
        </w:rPr>
        <w:t xml:space="preserve">”. </w:t>
      </w:r>
    </w:p>
    <w:p w14:paraId="15B61B9A" w14:textId="77777777" w:rsidR="00EB5785" w:rsidRPr="00653948" w:rsidRDefault="00EB5785" w:rsidP="00EB5785">
      <w:pPr>
        <w:pStyle w:val="BodyText"/>
        <w:spacing w:line="240" w:lineRule="auto"/>
        <w:ind w:left="720"/>
        <w:rPr>
          <w:rFonts w:ascii="Arial" w:hAnsi="Arial" w:cs="Arial"/>
          <w:sz w:val="22"/>
          <w:szCs w:val="22"/>
        </w:rPr>
      </w:pPr>
    </w:p>
    <w:p w14:paraId="064DA51C" w14:textId="445589AF"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An individual with a direct personal interest in the outcome of the claim will have standing. It is also clearly established, for example, that a responsible pressure group or campaign group may have the necessary standing to apply for judicial review: see e.g. </w:t>
      </w:r>
      <w:r w:rsidRPr="003573CE">
        <w:rPr>
          <w:rFonts w:ascii="Arial" w:hAnsi="Arial" w:cs="Arial"/>
          <w:b/>
          <w:i/>
          <w:sz w:val="22"/>
          <w:szCs w:val="22"/>
        </w:rPr>
        <w:t>R v Secretary of State for Foreign &amp; Commonwealth Affairs</w:t>
      </w:r>
      <w:r w:rsidR="00C10D1E" w:rsidRPr="003573CE">
        <w:rPr>
          <w:rFonts w:ascii="Arial" w:hAnsi="Arial" w:cs="Arial"/>
          <w:b/>
          <w:i/>
          <w:sz w:val="22"/>
          <w:szCs w:val="22"/>
        </w:rPr>
        <w:t>,</w:t>
      </w:r>
      <w:r w:rsidRPr="003573CE">
        <w:rPr>
          <w:rFonts w:ascii="Arial" w:hAnsi="Arial" w:cs="Arial"/>
          <w:b/>
          <w:i/>
          <w:sz w:val="22"/>
          <w:szCs w:val="22"/>
        </w:rPr>
        <w:t xml:space="preserve"> ex p. World Development </w:t>
      </w:r>
      <w:r w:rsidR="006D5460" w:rsidRPr="003573CE">
        <w:rPr>
          <w:rFonts w:ascii="Arial" w:hAnsi="Arial" w:cs="Arial"/>
          <w:b/>
          <w:i/>
          <w:sz w:val="22"/>
          <w:szCs w:val="22"/>
        </w:rPr>
        <w:t xml:space="preserve">Movement </w:t>
      </w:r>
      <w:r w:rsidRPr="003573CE">
        <w:rPr>
          <w:rFonts w:ascii="Arial" w:hAnsi="Arial" w:cs="Arial"/>
          <w:b/>
          <w:i/>
          <w:sz w:val="22"/>
          <w:szCs w:val="22"/>
        </w:rPr>
        <w:t>Ltd.</w:t>
      </w:r>
      <w:r w:rsidRPr="00653948">
        <w:rPr>
          <w:rFonts w:ascii="Arial" w:hAnsi="Arial" w:cs="Arial"/>
          <w:sz w:val="22"/>
          <w:szCs w:val="22"/>
        </w:rPr>
        <w:t xml:space="preserve"> [1995] 1 </w:t>
      </w:r>
      <w:r w:rsidRPr="00653948">
        <w:rPr>
          <w:rFonts w:ascii="Arial" w:hAnsi="Arial" w:cs="Arial"/>
          <w:sz w:val="22"/>
          <w:szCs w:val="22"/>
        </w:rPr>
        <w:lastRenderedPageBreak/>
        <w:t>WLR 386</w:t>
      </w:r>
      <w:r w:rsidR="003573CE">
        <w:rPr>
          <w:rFonts w:ascii="Arial" w:hAnsi="Arial" w:cs="Arial"/>
          <w:sz w:val="22"/>
          <w:szCs w:val="22"/>
        </w:rPr>
        <w:t>, DC</w:t>
      </w:r>
      <w:r w:rsidRPr="00653948">
        <w:rPr>
          <w:rFonts w:ascii="Arial" w:hAnsi="Arial" w:cs="Arial"/>
          <w:sz w:val="22"/>
          <w:szCs w:val="22"/>
        </w:rPr>
        <w:t xml:space="preserve">. So too </w:t>
      </w:r>
      <w:r w:rsidR="000164A3">
        <w:rPr>
          <w:rFonts w:ascii="Arial" w:hAnsi="Arial" w:cs="Arial"/>
          <w:sz w:val="22"/>
          <w:szCs w:val="22"/>
        </w:rPr>
        <w:t xml:space="preserve">will </w:t>
      </w:r>
      <w:r w:rsidRPr="00653948">
        <w:rPr>
          <w:rFonts w:ascii="Arial" w:hAnsi="Arial" w:cs="Arial"/>
          <w:sz w:val="22"/>
          <w:szCs w:val="22"/>
        </w:rPr>
        <w:t xml:space="preserve">an individual whose concern is, for example, with the environment rather than with any personal interest of his own: see e.g. </w:t>
      </w:r>
      <w:r w:rsidRPr="003573CE">
        <w:rPr>
          <w:rFonts w:ascii="Arial" w:hAnsi="Arial" w:cs="Arial"/>
          <w:b/>
          <w:i/>
          <w:sz w:val="22"/>
          <w:szCs w:val="22"/>
        </w:rPr>
        <w:t>R v Somerset CC</w:t>
      </w:r>
      <w:r w:rsidR="00C10D1E" w:rsidRPr="003573CE">
        <w:rPr>
          <w:rFonts w:ascii="Arial" w:hAnsi="Arial" w:cs="Arial"/>
          <w:b/>
          <w:i/>
          <w:sz w:val="22"/>
          <w:szCs w:val="22"/>
        </w:rPr>
        <w:t>,</w:t>
      </w:r>
      <w:r w:rsidRPr="003573CE">
        <w:rPr>
          <w:rFonts w:ascii="Arial" w:hAnsi="Arial" w:cs="Arial"/>
          <w:b/>
          <w:i/>
          <w:sz w:val="22"/>
          <w:szCs w:val="22"/>
        </w:rPr>
        <w:t xml:space="preserve"> ex p. Dixon</w:t>
      </w:r>
      <w:r w:rsidRPr="00653948">
        <w:rPr>
          <w:rFonts w:ascii="Arial" w:hAnsi="Arial" w:cs="Arial"/>
          <w:i/>
          <w:sz w:val="22"/>
          <w:szCs w:val="22"/>
        </w:rPr>
        <w:t xml:space="preserve"> </w:t>
      </w:r>
      <w:r w:rsidRPr="00653948">
        <w:rPr>
          <w:rFonts w:ascii="Arial" w:hAnsi="Arial" w:cs="Arial"/>
          <w:sz w:val="22"/>
          <w:szCs w:val="22"/>
        </w:rPr>
        <w:t>[1998] Env</w:t>
      </w:r>
      <w:r>
        <w:rPr>
          <w:rFonts w:ascii="Arial" w:hAnsi="Arial" w:cs="Arial"/>
          <w:sz w:val="22"/>
          <w:szCs w:val="22"/>
        </w:rPr>
        <w:t xml:space="preserve"> </w:t>
      </w:r>
      <w:r w:rsidRPr="00653948">
        <w:rPr>
          <w:rFonts w:ascii="Arial" w:hAnsi="Arial" w:cs="Arial"/>
          <w:sz w:val="22"/>
          <w:szCs w:val="22"/>
        </w:rPr>
        <w:t xml:space="preserve">LR 111, and </w:t>
      </w:r>
      <w:r w:rsidRPr="003573CE">
        <w:rPr>
          <w:rFonts w:ascii="Arial" w:hAnsi="Arial" w:cs="Arial"/>
          <w:b/>
          <w:i/>
          <w:sz w:val="22"/>
          <w:szCs w:val="22"/>
        </w:rPr>
        <w:t>R (Hammerton) v London Underground Ltd</w:t>
      </w:r>
      <w:r w:rsidR="003573CE" w:rsidRPr="003573CE">
        <w:rPr>
          <w:rFonts w:ascii="Arial" w:hAnsi="Arial" w:cs="Arial"/>
          <w:b/>
          <w:sz w:val="22"/>
          <w:szCs w:val="22"/>
        </w:rPr>
        <w:t>.</w:t>
      </w:r>
      <w:r w:rsidRPr="003573CE">
        <w:rPr>
          <w:rFonts w:ascii="Arial" w:hAnsi="Arial" w:cs="Arial"/>
          <w:sz w:val="22"/>
          <w:szCs w:val="22"/>
        </w:rPr>
        <w:t xml:space="preserve"> </w:t>
      </w:r>
      <w:r w:rsidRPr="00653948">
        <w:rPr>
          <w:rFonts w:ascii="Arial" w:hAnsi="Arial" w:cs="Arial"/>
          <w:sz w:val="22"/>
          <w:szCs w:val="22"/>
        </w:rPr>
        <w:t xml:space="preserve">[2002] EWHC 2307 (Admin).  </w:t>
      </w:r>
    </w:p>
    <w:p w14:paraId="6BC3E58E" w14:textId="77777777" w:rsidR="00EB5785" w:rsidRPr="00653948" w:rsidRDefault="00EB5785" w:rsidP="00EB5785">
      <w:pPr>
        <w:pStyle w:val="BodyText"/>
        <w:spacing w:line="240" w:lineRule="auto"/>
        <w:rPr>
          <w:rFonts w:ascii="Arial" w:hAnsi="Arial" w:cs="Arial"/>
          <w:sz w:val="22"/>
          <w:szCs w:val="22"/>
        </w:rPr>
      </w:pPr>
    </w:p>
    <w:p w14:paraId="554A763D" w14:textId="7D807066"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A company incorporated for the purpose of bringing proceedings (usually to obtain costs protection) will usually have standing. In </w:t>
      </w:r>
      <w:r w:rsidRPr="003573CE">
        <w:rPr>
          <w:rFonts w:ascii="Arial" w:hAnsi="Arial" w:cs="Arial"/>
          <w:b/>
          <w:i/>
          <w:sz w:val="22"/>
          <w:szCs w:val="22"/>
        </w:rPr>
        <w:t>R (Residents Against Waste Site Ltd) v Lancashire CC</w:t>
      </w:r>
      <w:r w:rsidRPr="00653948">
        <w:rPr>
          <w:rFonts w:ascii="Arial" w:hAnsi="Arial" w:cs="Arial"/>
          <w:i/>
          <w:sz w:val="22"/>
          <w:szCs w:val="22"/>
        </w:rPr>
        <w:t xml:space="preserve"> </w:t>
      </w:r>
      <w:r w:rsidRPr="00653948">
        <w:rPr>
          <w:rFonts w:ascii="Arial" w:hAnsi="Arial" w:cs="Arial"/>
          <w:sz w:val="22"/>
          <w:szCs w:val="22"/>
        </w:rPr>
        <w:t>[2007] EWHC 2558 (Admin),</w:t>
      </w:r>
      <w:r w:rsidR="006175AD">
        <w:rPr>
          <w:rFonts w:ascii="Arial" w:hAnsi="Arial" w:cs="Arial"/>
          <w:sz w:val="22"/>
          <w:szCs w:val="22"/>
        </w:rPr>
        <w:t xml:space="preserve"> [2008] Env LR 27,</w:t>
      </w:r>
      <w:r w:rsidRPr="00653948">
        <w:rPr>
          <w:rFonts w:ascii="Arial" w:hAnsi="Arial" w:cs="Arial"/>
          <w:sz w:val="22"/>
          <w:szCs w:val="22"/>
        </w:rPr>
        <w:t xml:space="preserve"> standing was afforded to a company which had been formed by objectors to a proposed development, seemingly for the purpose of limiting their costs exposure in the litigation</w:t>
      </w:r>
      <w:r>
        <w:rPr>
          <w:rFonts w:ascii="Arial" w:hAnsi="Arial" w:cs="Arial"/>
          <w:sz w:val="22"/>
          <w:szCs w:val="22"/>
        </w:rPr>
        <w:t xml:space="preserve"> (see also </w:t>
      </w:r>
      <w:r w:rsidRPr="006175AD">
        <w:rPr>
          <w:rFonts w:ascii="Arial" w:hAnsi="Arial" w:cs="Arial"/>
          <w:b/>
          <w:i/>
          <w:sz w:val="22"/>
          <w:szCs w:val="22"/>
        </w:rPr>
        <w:t xml:space="preserve">R (Save Our Surgeries Ltd) v Joint Committee of </w:t>
      </w:r>
      <w:r w:rsidR="006D5460" w:rsidRPr="006175AD">
        <w:rPr>
          <w:rFonts w:ascii="Arial" w:hAnsi="Arial" w:cs="Arial"/>
          <w:b/>
          <w:i/>
          <w:sz w:val="22"/>
          <w:szCs w:val="22"/>
        </w:rPr>
        <w:t>Primary Care Trusts and Newcastle upon Tyne Hospitals NHS Foundation Trust</w:t>
      </w:r>
      <w:r>
        <w:rPr>
          <w:rFonts w:ascii="Arial" w:hAnsi="Arial" w:cs="Arial"/>
          <w:i/>
          <w:sz w:val="22"/>
          <w:szCs w:val="22"/>
        </w:rPr>
        <w:t xml:space="preserve"> </w:t>
      </w:r>
      <w:r>
        <w:rPr>
          <w:rFonts w:ascii="Arial" w:hAnsi="Arial" w:cs="Arial"/>
          <w:sz w:val="22"/>
          <w:szCs w:val="22"/>
        </w:rPr>
        <w:t>[2013] EWHC 439 (Admin)</w:t>
      </w:r>
      <w:r w:rsidR="006175AD">
        <w:rPr>
          <w:rFonts w:ascii="Arial" w:hAnsi="Arial" w:cs="Arial"/>
          <w:sz w:val="22"/>
          <w:szCs w:val="22"/>
        </w:rPr>
        <w:t>, [2013] PTSR D16</w:t>
      </w:r>
      <w:r>
        <w:rPr>
          <w:rFonts w:ascii="Arial" w:hAnsi="Arial" w:cs="Arial"/>
          <w:sz w:val="22"/>
          <w:szCs w:val="22"/>
        </w:rPr>
        <w:t xml:space="preserve">; </w:t>
      </w:r>
      <w:r w:rsidRPr="006175AD">
        <w:rPr>
          <w:rFonts w:ascii="Arial" w:hAnsi="Arial" w:cs="Arial"/>
          <w:b/>
          <w:i/>
          <w:sz w:val="22"/>
          <w:szCs w:val="22"/>
        </w:rPr>
        <w:t>R (Cherkley Campaign Ltd</w:t>
      </w:r>
      <w:r w:rsidR="00C10D1E" w:rsidRPr="006175AD">
        <w:rPr>
          <w:rFonts w:ascii="Arial" w:hAnsi="Arial" w:cs="Arial"/>
          <w:b/>
          <w:i/>
          <w:sz w:val="22"/>
          <w:szCs w:val="22"/>
        </w:rPr>
        <w:t>)</w:t>
      </w:r>
      <w:r w:rsidRPr="006175AD">
        <w:rPr>
          <w:rFonts w:ascii="Arial" w:hAnsi="Arial" w:cs="Arial"/>
          <w:b/>
          <w:i/>
          <w:sz w:val="22"/>
          <w:szCs w:val="22"/>
        </w:rPr>
        <w:t xml:space="preserve"> v Mole Valley DC</w:t>
      </w:r>
      <w:r>
        <w:rPr>
          <w:rFonts w:ascii="Arial" w:hAnsi="Arial" w:cs="Arial"/>
          <w:i/>
          <w:sz w:val="22"/>
          <w:szCs w:val="22"/>
        </w:rPr>
        <w:t xml:space="preserve"> </w:t>
      </w:r>
      <w:r>
        <w:rPr>
          <w:rFonts w:ascii="Arial" w:hAnsi="Arial" w:cs="Arial"/>
          <w:sz w:val="22"/>
          <w:szCs w:val="22"/>
        </w:rPr>
        <w:t>[2013] EWHC 2582 (Admin)</w:t>
      </w:r>
      <w:r w:rsidR="006175AD">
        <w:rPr>
          <w:rFonts w:ascii="Arial" w:hAnsi="Arial" w:cs="Arial"/>
          <w:sz w:val="22"/>
          <w:szCs w:val="22"/>
        </w:rPr>
        <w:t>, [2014] PTSR D1</w:t>
      </w:r>
      <w:r>
        <w:rPr>
          <w:rFonts w:ascii="Arial" w:hAnsi="Arial" w:cs="Arial"/>
          <w:sz w:val="22"/>
          <w:szCs w:val="22"/>
        </w:rPr>
        <w:t xml:space="preserve"> (company formed after decision under challenge had standing)</w:t>
      </w:r>
      <w:r w:rsidRPr="00653948">
        <w:rPr>
          <w:rFonts w:ascii="Arial" w:hAnsi="Arial" w:cs="Arial"/>
          <w:sz w:val="22"/>
          <w:szCs w:val="22"/>
        </w:rPr>
        <w:t>.</w:t>
      </w:r>
      <w:r w:rsidR="006175AD">
        <w:rPr>
          <w:rStyle w:val="FootnoteReference"/>
          <w:rFonts w:ascii="Arial" w:hAnsi="Arial" w:cs="Arial"/>
          <w:sz w:val="22"/>
          <w:szCs w:val="22"/>
        </w:rPr>
        <w:footnoteReference w:id="5"/>
      </w:r>
      <w:r w:rsidRPr="00653948">
        <w:rPr>
          <w:rFonts w:ascii="Arial" w:hAnsi="Arial" w:cs="Arial"/>
          <w:sz w:val="22"/>
          <w:szCs w:val="22"/>
        </w:rPr>
        <w:t xml:space="preserve"> Incorporation for the purpose of avoiding cost liability may be viewed as an abuse of process, but that is dealt with by the courts imposing a requirement for security for costs rather than as a question of standing. In </w:t>
      </w:r>
      <w:r w:rsidR="006D5460" w:rsidRPr="006175AD">
        <w:rPr>
          <w:rFonts w:ascii="Arial" w:hAnsi="Arial" w:cs="Arial"/>
          <w:b/>
          <w:i/>
          <w:sz w:val="22"/>
          <w:szCs w:val="22"/>
        </w:rPr>
        <w:t>Save our Surgeries</w:t>
      </w:r>
      <w:r w:rsidR="006D5460">
        <w:rPr>
          <w:rFonts w:ascii="Arial" w:hAnsi="Arial" w:cs="Arial"/>
          <w:i/>
          <w:sz w:val="22"/>
          <w:szCs w:val="22"/>
        </w:rPr>
        <w:t xml:space="preserve"> </w:t>
      </w:r>
      <w:r w:rsidR="006D5460" w:rsidRPr="006D5460">
        <w:rPr>
          <w:rFonts w:ascii="Arial" w:hAnsi="Arial" w:cs="Arial"/>
          <w:sz w:val="22"/>
          <w:szCs w:val="22"/>
        </w:rPr>
        <w:t>(above)</w:t>
      </w:r>
      <w:r w:rsidRPr="00653948">
        <w:rPr>
          <w:rFonts w:ascii="Arial" w:hAnsi="Arial" w:cs="Arial"/>
          <w:sz w:val="22"/>
          <w:szCs w:val="22"/>
        </w:rPr>
        <w:t xml:space="preserve"> the Court held that the company had a sufficient interest in the proceedings, as it represented many individuals who had contributed financially in order to bring the proceedings and included individuals who would be directly affected by the closure of the hospital in question and clinicians who worked within the unit. The Judge stated that:-</w:t>
      </w:r>
    </w:p>
    <w:p w14:paraId="4B9CA934" w14:textId="77777777" w:rsidR="006D5460" w:rsidRDefault="006D5460" w:rsidP="006D5460">
      <w:pPr>
        <w:pStyle w:val="BodyText"/>
        <w:spacing w:line="240" w:lineRule="auto"/>
        <w:ind w:left="720"/>
        <w:rPr>
          <w:rFonts w:ascii="Arial" w:hAnsi="Arial" w:cs="Arial"/>
          <w:i/>
          <w:sz w:val="22"/>
          <w:szCs w:val="22"/>
        </w:rPr>
      </w:pPr>
    </w:p>
    <w:p w14:paraId="24A6F387" w14:textId="54AB5304" w:rsidR="00EB5785" w:rsidRPr="00653948" w:rsidRDefault="00EB5785" w:rsidP="006D5460">
      <w:pPr>
        <w:pStyle w:val="BodyText"/>
        <w:spacing w:line="240" w:lineRule="auto"/>
        <w:ind w:left="720"/>
        <w:rPr>
          <w:rFonts w:ascii="Arial" w:hAnsi="Arial" w:cs="Arial"/>
          <w:i/>
          <w:sz w:val="22"/>
          <w:szCs w:val="22"/>
        </w:rPr>
      </w:pPr>
      <w:r w:rsidRPr="00653948">
        <w:rPr>
          <w:rFonts w:ascii="Arial" w:hAnsi="Arial" w:cs="Arial"/>
          <w:i/>
          <w:sz w:val="22"/>
          <w:szCs w:val="22"/>
        </w:rPr>
        <w:t xml:space="preserve">“The adverse costs in litigation are such that no citizen of ordinary means would prudently contemplate bringing this litigation as an individual. Incorporation was and is the proper means of allowing the interests of a substantial number of persons who consider the defendant’s decision to be unfair and unlawful to be jointly represented. There is no obvious better placed challenger, in fact there is no other challenger”. </w:t>
      </w:r>
    </w:p>
    <w:p w14:paraId="33D95511" w14:textId="77777777" w:rsidR="00EB5785" w:rsidRPr="00653948" w:rsidRDefault="00EB5785" w:rsidP="00EB5785">
      <w:pPr>
        <w:pStyle w:val="BodyText"/>
        <w:spacing w:line="240" w:lineRule="auto"/>
        <w:ind w:left="720"/>
        <w:rPr>
          <w:rFonts w:ascii="Arial" w:hAnsi="Arial" w:cs="Arial"/>
          <w:sz w:val="22"/>
          <w:szCs w:val="22"/>
        </w:rPr>
      </w:pPr>
    </w:p>
    <w:p w14:paraId="33A12A8B" w14:textId="5D1AC763"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The impact of standing arguments is further diminished by the suggestion that it may often be inappropriate for the court to reach a final conclusion on the issue until it has had the opportunity to hear and consider the substantive arguments at the full hearing of the case: see </w:t>
      </w:r>
      <w:r w:rsidRPr="006175AD">
        <w:rPr>
          <w:rFonts w:ascii="Arial" w:hAnsi="Arial" w:cs="Arial"/>
          <w:b/>
          <w:i/>
          <w:sz w:val="22"/>
          <w:szCs w:val="22"/>
        </w:rPr>
        <w:t>R v IRC</w:t>
      </w:r>
      <w:r w:rsidR="00C10D1E" w:rsidRPr="006175AD">
        <w:rPr>
          <w:rFonts w:ascii="Arial" w:hAnsi="Arial" w:cs="Arial"/>
          <w:b/>
          <w:i/>
          <w:sz w:val="22"/>
          <w:szCs w:val="22"/>
        </w:rPr>
        <w:t>,</w:t>
      </w:r>
      <w:r w:rsidRPr="006175AD">
        <w:rPr>
          <w:rFonts w:ascii="Arial" w:hAnsi="Arial" w:cs="Arial"/>
          <w:b/>
          <w:i/>
          <w:sz w:val="22"/>
          <w:szCs w:val="22"/>
        </w:rPr>
        <w:t xml:space="preserve"> ex p. National Federation of Self-Employed and Small Businesses Ltd.</w:t>
      </w:r>
      <w:r w:rsidR="000164A3">
        <w:rPr>
          <w:rFonts w:ascii="Arial" w:hAnsi="Arial" w:cs="Arial"/>
          <w:sz w:val="22"/>
          <w:szCs w:val="22"/>
        </w:rPr>
        <w:t xml:space="preserve"> [1982] AC 617</w:t>
      </w:r>
      <w:r w:rsidR="006175AD">
        <w:rPr>
          <w:rFonts w:ascii="Arial" w:hAnsi="Arial" w:cs="Arial"/>
          <w:sz w:val="22"/>
          <w:szCs w:val="22"/>
        </w:rPr>
        <w:t>, HL</w:t>
      </w:r>
      <w:r w:rsidR="000164A3">
        <w:rPr>
          <w:rFonts w:ascii="Arial" w:hAnsi="Arial" w:cs="Arial"/>
          <w:sz w:val="22"/>
          <w:szCs w:val="22"/>
        </w:rPr>
        <w:t xml:space="preserve">. </w:t>
      </w:r>
      <w:r w:rsidRPr="00653948">
        <w:rPr>
          <w:rFonts w:ascii="Arial" w:hAnsi="Arial" w:cs="Arial"/>
          <w:sz w:val="22"/>
          <w:szCs w:val="22"/>
        </w:rPr>
        <w:t xml:space="preserve">See also </w:t>
      </w:r>
      <w:r w:rsidRPr="006175AD">
        <w:rPr>
          <w:rFonts w:ascii="Arial" w:hAnsi="Arial" w:cs="Arial"/>
          <w:b/>
          <w:i/>
          <w:sz w:val="22"/>
          <w:szCs w:val="22"/>
        </w:rPr>
        <w:t>R (Grierson) v Ofcom and Atlantic Broadcasting Ltd</w:t>
      </w:r>
      <w:r w:rsidR="006175AD" w:rsidRPr="006175AD">
        <w:rPr>
          <w:rFonts w:ascii="Arial" w:hAnsi="Arial" w:cs="Arial"/>
          <w:b/>
          <w:i/>
          <w:sz w:val="22"/>
          <w:szCs w:val="22"/>
        </w:rPr>
        <w:t>.</w:t>
      </w:r>
      <w:r w:rsidRPr="00653948">
        <w:rPr>
          <w:rFonts w:ascii="Arial" w:hAnsi="Arial" w:cs="Arial"/>
          <w:i/>
          <w:sz w:val="22"/>
          <w:szCs w:val="22"/>
        </w:rPr>
        <w:t xml:space="preserve"> </w:t>
      </w:r>
      <w:r w:rsidRPr="00653948">
        <w:rPr>
          <w:rFonts w:ascii="Arial" w:hAnsi="Arial" w:cs="Arial"/>
          <w:sz w:val="22"/>
          <w:szCs w:val="22"/>
        </w:rPr>
        <w:t>[2005] EWHC 1899 (Admin),</w:t>
      </w:r>
      <w:r w:rsidR="006175AD">
        <w:rPr>
          <w:rFonts w:ascii="Arial" w:hAnsi="Arial" w:cs="Arial"/>
          <w:sz w:val="22"/>
          <w:szCs w:val="22"/>
        </w:rPr>
        <w:t xml:space="preserve"> [2005] EMLR 37,</w:t>
      </w:r>
      <w:r w:rsidRPr="00653948">
        <w:rPr>
          <w:rFonts w:ascii="Arial" w:hAnsi="Arial" w:cs="Arial"/>
          <w:sz w:val="22"/>
          <w:szCs w:val="22"/>
        </w:rPr>
        <w:t xml:space="preserve"> making express the trade-off at the permission stage between the apparent strength or otherwise of the claim on the one hand, and the extent of the claimant’s interest on the other (and similarly in relation to delay in bringing the proceedings) – that is, the stronger the case, the greater the degree of indulgence that may be appropriate in relation to standing and delay</w:t>
      </w:r>
      <w:r w:rsidR="006175AD">
        <w:rPr>
          <w:rFonts w:ascii="Arial" w:hAnsi="Arial" w:cs="Arial"/>
          <w:sz w:val="22"/>
          <w:szCs w:val="22"/>
        </w:rPr>
        <w:t>.</w:t>
      </w:r>
      <w:r w:rsidRPr="00653948">
        <w:rPr>
          <w:rStyle w:val="FootnoteReference"/>
          <w:rFonts w:ascii="Arial" w:hAnsi="Arial" w:cs="Arial"/>
          <w:sz w:val="22"/>
          <w:szCs w:val="22"/>
        </w:rPr>
        <w:footnoteReference w:id="6"/>
      </w:r>
    </w:p>
    <w:p w14:paraId="48E9E745" w14:textId="77777777" w:rsidR="00EB5785" w:rsidRPr="00653948" w:rsidRDefault="00EB5785" w:rsidP="00EB5785">
      <w:pPr>
        <w:pStyle w:val="BodyText"/>
        <w:spacing w:line="240" w:lineRule="auto"/>
        <w:rPr>
          <w:rFonts w:ascii="Arial" w:hAnsi="Arial" w:cs="Arial"/>
          <w:sz w:val="22"/>
          <w:szCs w:val="22"/>
        </w:rPr>
      </w:pPr>
    </w:p>
    <w:p w14:paraId="505A1490" w14:textId="144C14F8"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Nonetheless there may be limits to how far the court will go in taking a generous approach to standing: see e.g. the doubts expressed, without deciding the case on this basis, in </w:t>
      </w:r>
      <w:r w:rsidRPr="006175AD">
        <w:rPr>
          <w:rFonts w:ascii="Arial" w:hAnsi="Arial" w:cs="Arial"/>
          <w:b/>
          <w:i/>
          <w:sz w:val="22"/>
          <w:szCs w:val="22"/>
        </w:rPr>
        <w:t>R (Singapore Medical Council) v G</w:t>
      </w:r>
      <w:r w:rsidR="000164A3" w:rsidRPr="006175AD">
        <w:rPr>
          <w:rFonts w:ascii="Arial" w:hAnsi="Arial" w:cs="Arial"/>
          <w:b/>
          <w:i/>
          <w:sz w:val="22"/>
          <w:szCs w:val="22"/>
        </w:rPr>
        <w:t xml:space="preserve">eneral </w:t>
      </w:r>
      <w:r w:rsidRPr="006175AD">
        <w:rPr>
          <w:rFonts w:ascii="Arial" w:hAnsi="Arial" w:cs="Arial"/>
          <w:b/>
          <w:i/>
          <w:sz w:val="22"/>
          <w:szCs w:val="22"/>
        </w:rPr>
        <w:t>M</w:t>
      </w:r>
      <w:r w:rsidR="000164A3" w:rsidRPr="006175AD">
        <w:rPr>
          <w:rFonts w:ascii="Arial" w:hAnsi="Arial" w:cs="Arial"/>
          <w:b/>
          <w:i/>
          <w:sz w:val="22"/>
          <w:szCs w:val="22"/>
        </w:rPr>
        <w:t xml:space="preserve">edical </w:t>
      </w:r>
      <w:r w:rsidRPr="006175AD">
        <w:rPr>
          <w:rFonts w:ascii="Arial" w:hAnsi="Arial" w:cs="Arial"/>
          <w:b/>
          <w:i/>
          <w:sz w:val="22"/>
          <w:szCs w:val="22"/>
        </w:rPr>
        <w:t>C</w:t>
      </w:r>
      <w:r w:rsidR="000164A3" w:rsidRPr="006175AD">
        <w:rPr>
          <w:rFonts w:ascii="Arial" w:hAnsi="Arial" w:cs="Arial"/>
          <w:b/>
          <w:i/>
          <w:sz w:val="22"/>
          <w:szCs w:val="22"/>
        </w:rPr>
        <w:t>ouncil</w:t>
      </w:r>
      <w:r w:rsidRPr="006175AD">
        <w:rPr>
          <w:rFonts w:ascii="Arial" w:hAnsi="Arial" w:cs="Arial"/>
          <w:b/>
          <w:i/>
          <w:sz w:val="22"/>
          <w:szCs w:val="22"/>
        </w:rPr>
        <w:t xml:space="preserve"> </w:t>
      </w:r>
      <w:r w:rsidRPr="00653948">
        <w:rPr>
          <w:rFonts w:ascii="Arial" w:hAnsi="Arial" w:cs="Arial"/>
          <w:sz w:val="22"/>
          <w:szCs w:val="22"/>
        </w:rPr>
        <w:t>[2006] EWHC 3277</w:t>
      </w:r>
      <w:r w:rsidR="000164A3">
        <w:rPr>
          <w:rFonts w:ascii="Arial" w:hAnsi="Arial" w:cs="Arial"/>
          <w:sz w:val="22"/>
          <w:szCs w:val="22"/>
        </w:rPr>
        <w:t xml:space="preserve"> (Admin)</w:t>
      </w:r>
      <w:r w:rsidRPr="00653948">
        <w:rPr>
          <w:rFonts w:ascii="Arial" w:hAnsi="Arial" w:cs="Arial"/>
          <w:sz w:val="22"/>
          <w:szCs w:val="22"/>
        </w:rPr>
        <w:t xml:space="preserve">; in </w:t>
      </w:r>
      <w:r w:rsidRPr="00653948">
        <w:rPr>
          <w:rFonts w:ascii="Arial" w:hAnsi="Arial" w:cs="Arial"/>
          <w:i/>
          <w:sz w:val="22"/>
          <w:szCs w:val="22"/>
        </w:rPr>
        <w:t>Grierson</w:t>
      </w:r>
      <w:r w:rsidRPr="00653948">
        <w:rPr>
          <w:rFonts w:ascii="Arial" w:hAnsi="Arial" w:cs="Arial"/>
          <w:sz w:val="22"/>
          <w:szCs w:val="22"/>
        </w:rPr>
        <w:t>,</w:t>
      </w:r>
      <w:r w:rsidRPr="00653948">
        <w:rPr>
          <w:rFonts w:ascii="Arial" w:hAnsi="Arial" w:cs="Arial"/>
          <w:i/>
          <w:sz w:val="22"/>
          <w:szCs w:val="22"/>
        </w:rPr>
        <w:t xml:space="preserve"> </w:t>
      </w:r>
      <w:r w:rsidRPr="00653948">
        <w:rPr>
          <w:rFonts w:ascii="Arial" w:hAnsi="Arial" w:cs="Arial"/>
          <w:sz w:val="22"/>
          <w:szCs w:val="22"/>
        </w:rPr>
        <w:t xml:space="preserve">where the claimant’s interest was purely derivative and the party directly concerned had not chosen to challenge the decision; in </w:t>
      </w:r>
      <w:r w:rsidRPr="006175AD">
        <w:rPr>
          <w:rFonts w:ascii="Arial" w:hAnsi="Arial" w:cs="Arial"/>
          <w:b/>
          <w:i/>
          <w:sz w:val="22"/>
          <w:szCs w:val="22"/>
        </w:rPr>
        <w:t>R (Al-Haq) v Secretary of State for Foreign and Commonwealth Affairs</w:t>
      </w:r>
      <w:r w:rsidRPr="00653948">
        <w:rPr>
          <w:rFonts w:ascii="Arial" w:hAnsi="Arial" w:cs="Arial"/>
          <w:i/>
          <w:sz w:val="22"/>
          <w:szCs w:val="22"/>
        </w:rPr>
        <w:t xml:space="preserve"> </w:t>
      </w:r>
      <w:r w:rsidRPr="00653948">
        <w:rPr>
          <w:rFonts w:ascii="Arial" w:hAnsi="Arial" w:cs="Arial"/>
          <w:sz w:val="22"/>
          <w:szCs w:val="22"/>
        </w:rPr>
        <w:t>[2009] EWHC 1910 (Admin),</w:t>
      </w:r>
      <w:r w:rsidR="006175AD">
        <w:rPr>
          <w:rFonts w:ascii="Arial" w:hAnsi="Arial" w:cs="Arial"/>
          <w:sz w:val="22"/>
          <w:szCs w:val="22"/>
        </w:rPr>
        <w:t xml:space="preserve"> [2009] ACD 76,</w:t>
      </w:r>
      <w:r w:rsidRPr="00653948">
        <w:rPr>
          <w:rFonts w:ascii="Arial" w:hAnsi="Arial" w:cs="Arial"/>
          <w:sz w:val="22"/>
          <w:szCs w:val="22"/>
        </w:rPr>
        <w:t xml:space="preserve"> expressing doubts about the standing of a foreign NGO to challenge a government decision when no more directly affected party had done so; and in </w:t>
      </w:r>
      <w:r w:rsidRPr="006175AD">
        <w:rPr>
          <w:rFonts w:ascii="Arial" w:hAnsi="Arial" w:cs="Arial"/>
          <w:b/>
          <w:i/>
          <w:sz w:val="22"/>
          <w:szCs w:val="22"/>
        </w:rPr>
        <w:t>R (Coedbach Action Team Ltd</w:t>
      </w:r>
      <w:r w:rsidR="006175AD">
        <w:rPr>
          <w:rFonts w:ascii="Arial" w:hAnsi="Arial" w:cs="Arial"/>
          <w:b/>
          <w:i/>
          <w:sz w:val="22"/>
          <w:szCs w:val="22"/>
        </w:rPr>
        <w:t>.</w:t>
      </w:r>
      <w:r w:rsidRPr="006175AD">
        <w:rPr>
          <w:rFonts w:ascii="Arial" w:hAnsi="Arial" w:cs="Arial"/>
          <w:b/>
          <w:i/>
          <w:sz w:val="22"/>
          <w:szCs w:val="22"/>
        </w:rPr>
        <w:t>) v Secretary of State for Energy and Climate Change</w:t>
      </w:r>
      <w:r w:rsidRPr="00653948">
        <w:rPr>
          <w:rFonts w:ascii="Arial" w:hAnsi="Arial" w:cs="Arial"/>
          <w:sz w:val="22"/>
          <w:szCs w:val="22"/>
        </w:rPr>
        <w:t xml:space="preserve"> </w:t>
      </w:r>
      <w:r w:rsidR="006175AD">
        <w:rPr>
          <w:rFonts w:ascii="Arial" w:hAnsi="Arial" w:cs="Arial"/>
          <w:sz w:val="22"/>
          <w:szCs w:val="22"/>
        </w:rPr>
        <w:t>[2010] EWHC 2312 (Admin)</w:t>
      </w:r>
      <w:r w:rsidRPr="00653948">
        <w:rPr>
          <w:rFonts w:ascii="Arial" w:hAnsi="Arial" w:cs="Arial"/>
          <w:sz w:val="22"/>
          <w:szCs w:val="22"/>
        </w:rPr>
        <w:t xml:space="preserve">[2011] EnvLR 11, where the </w:t>
      </w:r>
      <w:r w:rsidRPr="00653948">
        <w:rPr>
          <w:rFonts w:ascii="Arial" w:hAnsi="Arial" w:cs="Arial"/>
          <w:sz w:val="22"/>
          <w:szCs w:val="22"/>
        </w:rPr>
        <w:lastRenderedPageBreak/>
        <w:t>claimant had no direct interest in the decision under challenge, but wished to quash it because of its potential knock-on implications for a distinct planning application.</w:t>
      </w:r>
    </w:p>
    <w:p w14:paraId="2AD3B1A1" w14:textId="77777777" w:rsidR="00EB5785" w:rsidRPr="00653948" w:rsidRDefault="00EB5785" w:rsidP="00EB5785">
      <w:pPr>
        <w:pStyle w:val="BodyText"/>
        <w:spacing w:line="240" w:lineRule="auto"/>
        <w:rPr>
          <w:rFonts w:ascii="Arial" w:hAnsi="Arial" w:cs="Arial"/>
          <w:sz w:val="22"/>
          <w:szCs w:val="22"/>
        </w:rPr>
      </w:pPr>
    </w:p>
    <w:p w14:paraId="165234BF" w14:textId="5DBE3E10"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It is also noticeable that, in departing from previous assumptions and holding that a person other than an economic operator might be able to base a judicial review claim upon a breach of an authority’s duties under the </w:t>
      </w:r>
      <w:r>
        <w:rPr>
          <w:rFonts w:ascii="Arial" w:hAnsi="Arial" w:cs="Arial"/>
          <w:sz w:val="22"/>
          <w:szCs w:val="22"/>
        </w:rPr>
        <w:t>Public Contracts Regulations 2006</w:t>
      </w:r>
      <w:r w:rsidR="007833C4">
        <w:rPr>
          <w:rFonts w:ascii="Arial" w:hAnsi="Arial" w:cs="Arial"/>
          <w:sz w:val="22"/>
          <w:szCs w:val="22"/>
        </w:rPr>
        <w:t>,</w:t>
      </w:r>
      <w:r w:rsidRPr="00653948">
        <w:rPr>
          <w:rStyle w:val="FootnoteReference"/>
          <w:rFonts w:ascii="Arial" w:hAnsi="Arial" w:cs="Arial"/>
          <w:sz w:val="22"/>
          <w:szCs w:val="22"/>
        </w:rPr>
        <w:footnoteReference w:id="7"/>
      </w:r>
      <w:r w:rsidRPr="00653948">
        <w:rPr>
          <w:rFonts w:ascii="Arial" w:hAnsi="Arial" w:cs="Arial"/>
          <w:sz w:val="22"/>
          <w:szCs w:val="22"/>
        </w:rPr>
        <w:t xml:space="preserve"> the Court of Appeal in </w:t>
      </w:r>
      <w:r w:rsidRPr="006175AD">
        <w:rPr>
          <w:rFonts w:ascii="Arial" w:hAnsi="Arial" w:cs="Arial"/>
          <w:b/>
          <w:i/>
          <w:sz w:val="22"/>
          <w:szCs w:val="22"/>
        </w:rPr>
        <w:t>R (Chandler) v Secretary of State for Children</w:t>
      </w:r>
      <w:r w:rsidR="000164A3" w:rsidRPr="006175AD">
        <w:rPr>
          <w:rFonts w:ascii="Arial" w:hAnsi="Arial" w:cs="Arial"/>
          <w:b/>
          <w:i/>
          <w:sz w:val="22"/>
          <w:szCs w:val="22"/>
        </w:rPr>
        <w:t>,</w:t>
      </w:r>
      <w:r w:rsidRPr="006175AD">
        <w:rPr>
          <w:rFonts w:ascii="Arial" w:hAnsi="Arial" w:cs="Arial"/>
          <w:b/>
          <w:i/>
          <w:sz w:val="22"/>
          <w:szCs w:val="22"/>
        </w:rPr>
        <w:t xml:space="preserve"> Schools and Families</w:t>
      </w:r>
      <w:r w:rsidRPr="00653948">
        <w:rPr>
          <w:rFonts w:ascii="Arial" w:hAnsi="Arial" w:cs="Arial"/>
          <w:i/>
          <w:sz w:val="22"/>
          <w:szCs w:val="22"/>
        </w:rPr>
        <w:t xml:space="preserve"> </w:t>
      </w:r>
      <w:r w:rsidRPr="00653948">
        <w:rPr>
          <w:rFonts w:ascii="Arial" w:hAnsi="Arial" w:cs="Arial"/>
          <w:sz w:val="22"/>
          <w:szCs w:val="22"/>
        </w:rPr>
        <w:t>[</w:t>
      </w:r>
      <w:r w:rsidR="006175AD">
        <w:rPr>
          <w:rFonts w:ascii="Arial" w:hAnsi="Arial" w:cs="Arial"/>
          <w:sz w:val="22"/>
          <w:szCs w:val="22"/>
        </w:rPr>
        <w:t>2009] EWCA Civ 1011, [</w:t>
      </w:r>
      <w:r w:rsidRPr="00653948">
        <w:rPr>
          <w:rFonts w:ascii="Arial" w:hAnsi="Arial" w:cs="Arial"/>
          <w:sz w:val="22"/>
          <w:szCs w:val="22"/>
        </w:rPr>
        <w:t xml:space="preserve">2010] </w:t>
      </w:r>
      <w:r w:rsidR="006175AD">
        <w:rPr>
          <w:rFonts w:ascii="Arial" w:hAnsi="Arial" w:cs="Arial"/>
          <w:sz w:val="22"/>
          <w:szCs w:val="22"/>
        </w:rPr>
        <w:t>PTSR 749,</w:t>
      </w:r>
      <w:r w:rsidRPr="00653948">
        <w:rPr>
          <w:rFonts w:ascii="Arial" w:hAnsi="Arial" w:cs="Arial"/>
          <w:sz w:val="22"/>
          <w:szCs w:val="22"/>
        </w:rPr>
        <w:t xml:space="preserve"> appeared to mitigate the consequences of this conclusion by taking a stricter approach to standing than would normally apply in judicial review – in effect, that the claimant had to be motivated by a desire to see the Regulations complied with, rather than someone taking an opportunistic advantage of the breach to dera</w:t>
      </w:r>
      <w:r w:rsidR="00080A77">
        <w:rPr>
          <w:rFonts w:ascii="Arial" w:hAnsi="Arial" w:cs="Arial"/>
          <w:sz w:val="22"/>
          <w:szCs w:val="22"/>
        </w:rPr>
        <w:t>il a project which they opposed</w:t>
      </w:r>
      <w:r w:rsidR="00212C16">
        <w:rPr>
          <w:rFonts w:ascii="Arial" w:hAnsi="Arial" w:cs="Arial"/>
          <w:sz w:val="22"/>
          <w:szCs w:val="22"/>
        </w:rPr>
        <w:t xml:space="preserve">. </w:t>
      </w:r>
      <w:r w:rsidRPr="00653948">
        <w:rPr>
          <w:rFonts w:ascii="Arial" w:hAnsi="Arial" w:cs="Arial"/>
          <w:sz w:val="22"/>
          <w:szCs w:val="22"/>
        </w:rPr>
        <w:t>The individual must be affected in some identifiable way in the sense that compliance with the procurement regime would have had a direct impact on him. See also</w:t>
      </w:r>
      <w:r w:rsidR="000164A3">
        <w:rPr>
          <w:rFonts w:ascii="Arial" w:hAnsi="Arial" w:cs="Arial"/>
          <w:sz w:val="22"/>
          <w:szCs w:val="22"/>
        </w:rPr>
        <w:t>:</w:t>
      </w:r>
      <w:r w:rsidRPr="00653948">
        <w:rPr>
          <w:rFonts w:ascii="Arial" w:hAnsi="Arial" w:cs="Arial"/>
          <w:sz w:val="22"/>
          <w:szCs w:val="22"/>
        </w:rPr>
        <w:t xml:space="preserve"> (i) </w:t>
      </w:r>
      <w:r w:rsidRPr="006175AD">
        <w:rPr>
          <w:rFonts w:ascii="Arial" w:hAnsi="Arial" w:cs="Arial"/>
          <w:b/>
          <w:i/>
          <w:sz w:val="22"/>
          <w:szCs w:val="22"/>
        </w:rPr>
        <w:t>R (Waste Recycling Group Ltd) v Cumbria CC</w:t>
      </w:r>
      <w:r w:rsidRPr="00653948">
        <w:rPr>
          <w:rFonts w:ascii="Arial" w:hAnsi="Arial" w:cs="Arial"/>
          <w:i/>
          <w:sz w:val="22"/>
          <w:szCs w:val="22"/>
        </w:rPr>
        <w:t xml:space="preserve"> </w:t>
      </w:r>
      <w:r w:rsidRPr="00653948">
        <w:rPr>
          <w:rFonts w:ascii="Arial" w:hAnsi="Arial" w:cs="Arial"/>
          <w:sz w:val="22"/>
          <w:szCs w:val="22"/>
        </w:rPr>
        <w:t>[2011] EWHC 288 (Admin),</w:t>
      </w:r>
      <w:r w:rsidR="006175AD">
        <w:rPr>
          <w:rFonts w:ascii="Arial" w:hAnsi="Arial" w:cs="Arial"/>
          <w:sz w:val="22"/>
          <w:szCs w:val="22"/>
        </w:rPr>
        <w:t xml:space="preserve"> [2011] Env LR 24,</w:t>
      </w:r>
      <w:r w:rsidRPr="00653948">
        <w:rPr>
          <w:rFonts w:ascii="Arial" w:hAnsi="Arial" w:cs="Arial"/>
          <w:sz w:val="22"/>
          <w:szCs w:val="22"/>
        </w:rPr>
        <w:t xml:space="preserve"> where the motive for the claim was to damage a commercial rival rather than because the claimant had any real concern about the alleged breach of the law; and (ii) </w:t>
      </w:r>
      <w:r w:rsidRPr="006175AD">
        <w:rPr>
          <w:rFonts w:ascii="Arial" w:hAnsi="Arial" w:cs="Arial"/>
          <w:b/>
          <w:i/>
          <w:sz w:val="22"/>
          <w:szCs w:val="22"/>
        </w:rPr>
        <w:t>R (Unison) v NHS Wiltshire P</w:t>
      </w:r>
      <w:r w:rsidR="000164A3" w:rsidRPr="006175AD">
        <w:rPr>
          <w:rFonts w:ascii="Arial" w:hAnsi="Arial" w:cs="Arial"/>
          <w:b/>
          <w:i/>
          <w:sz w:val="22"/>
          <w:szCs w:val="22"/>
        </w:rPr>
        <w:t>rimary Care Trust</w:t>
      </w:r>
      <w:r w:rsidRPr="006175AD">
        <w:rPr>
          <w:rFonts w:ascii="Arial" w:hAnsi="Arial" w:cs="Arial"/>
          <w:b/>
          <w:i/>
          <w:sz w:val="22"/>
          <w:szCs w:val="22"/>
        </w:rPr>
        <w:t xml:space="preserve"> and Secretary of State for Health</w:t>
      </w:r>
      <w:r w:rsidRPr="00653948">
        <w:rPr>
          <w:rFonts w:ascii="Arial" w:hAnsi="Arial" w:cs="Arial"/>
          <w:i/>
          <w:sz w:val="22"/>
          <w:szCs w:val="22"/>
        </w:rPr>
        <w:t xml:space="preserve"> </w:t>
      </w:r>
      <w:r w:rsidRPr="00653948">
        <w:rPr>
          <w:rFonts w:ascii="Arial" w:hAnsi="Arial" w:cs="Arial"/>
          <w:sz w:val="22"/>
          <w:szCs w:val="22"/>
        </w:rPr>
        <w:t>[2012] EWHC 624 (Admin),</w:t>
      </w:r>
      <w:r w:rsidR="006175AD">
        <w:rPr>
          <w:rFonts w:ascii="Arial" w:hAnsi="Arial" w:cs="Arial"/>
          <w:sz w:val="22"/>
          <w:szCs w:val="22"/>
        </w:rPr>
        <w:t xml:space="preserve"> [2012] ACD 84,</w:t>
      </w:r>
      <w:r w:rsidRPr="00653948">
        <w:rPr>
          <w:rFonts w:ascii="Arial" w:hAnsi="Arial" w:cs="Arial"/>
          <w:sz w:val="22"/>
          <w:szCs w:val="22"/>
        </w:rPr>
        <w:t xml:space="preserve"> where the Court held that a trade union which was not an economic operator had not demonstrated that it had a sufficient interest in compliance with the public procurement regime in the sense that its members were affected in some identifiable way by outsourcing to one entity rath</w:t>
      </w:r>
      <w:r w:rsidR="00212C16">
        <w:rPr>
          <w:rFonts w:ascii="Arial" w:hAnsi="Arial" w:cs="Arial"/>
          <w:sz w:val="22"/>
          <w:szCs w:val="22"/>
        </w:rPr>
        <w:t xml:space="preserve">er than tendering for services. For a recent application of this approach to a claim, see </w:t>
      </w:r>
      <w:r w:rsidR="00212C16" w:rsidRPr="00C457F7">
        <w:rPr>
          <w:rFonts w:ascii="Arial" w:hAnsi="Arial" w:cs="Arial"/>
          <w:b/>
          <w:i/>
          <w:sz w:val="22"/>
          <w:szCs w:val="22"/>
        </w:rPr>
        <w:t>Wylde v Waverl</w:t>
      </w:r>
      <w:r w:rsidR="00212C16">
        <w:rPr>
          <w:rFonts w:ascii="Arial" w:hAnsi="Arial" w:cs="Arial"/>
          <w:b/>
          <w:i/>
          <w:sz w:val="22"/>
          <w:szCs w:val="22"/>
        </w:rPr>
        <w:t>e</w:t>
      </w:r>
      <w:r w:rsidR="00212C16" w:rsidRPr="00C457F7">
        <w:rPr>
          <w:rFonts w:ascii="Arial" w:hAnsi="Arial" w:cs="Arial"/>
          <w:b/>
          <w:i/>
          <w:sz w:val="22"/>
          <w:szCs w:val="22"/>
        </w:rPr>
        <w:t>y Borough Council</w:t>
      </w:r>
      <w:r w:rsidR="00212C16">
        <w:rPr>
          <w:rFonts w:ascii="Arial" w:hAnsi="Arial" w:cs="Arial"/>
          <w:sz w:val="22"/>
          <w:szCs w:val="22"/>
        </w:rPr>
        <w:t xml:space="preserve"> [2017] EWHC 466 (Admin), [2017] ACD 57, in which a council tax payer was held to lack standing to challenge a development agreement.</w:t>
      </w:r>
    </w:p>
    <w:p w14:paraId="6ABE5342" w14:textId="77777777" w:rsidR="00EB5785" w:rsidRPr="00653948" w:rsidRDefault="00EB5785" w:rsidP="00EB5785">
      <w:pPr>
        <w:pStyle w:val="BodyText"/>
        <w:spacing w:line="240" w:lineRule="auto"/>
        <w:rPr>
          <w:rFonts w:ascii="Arial" w:hAnsi="Arial" w:cs="Arial"/>
          <w:sz w:val="22"/>
          <w:szCs w:val="22"/>
        </w:rPr>
      </w:pPr>
    </w:p>
    <w:p w14:paraId="228CFCF2" w14:textId="1AFAA5B7"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However, a question of greater consequence than pure standing in practical terms may sometimes be whether the claimant is sufficiently affected by any illegality demonstrated to justify the grant of relief (or a particular form of relief) as a matter of discretion – for example, if </w:t>
      </w:r>
      <w:r w:rsidR="006175AD">
        <w:rPr>
          <w:rFonts w:ascii="Arial" w:hAnsi="Arial" w:cs="Arial"/>
          <w:sz w:val="22"/>
          <w:szCs w:val="22"/>
        </w:rPr>
        <w:t>the claimant</w:t>
      </w:r>
      <w:r w:rsidRPr="00653948">
        <w:rPr>
          <w:rFonts w:ascii="Arial" w:hAnsi="Arial" w:cs="Arial"/>
          <w:sz w:val="22"/>
          <w:szCs w:val="22"/>
        </w:rPr>
        <w:t xml:space="preserve"> complains that a decision was reached by </w:t>
      </w:r>
      <w:r w:rsidR="006175AD">
        <w:rPr>
          <w:rFonts w:ascii="Arial" w:hAnsi="Arial" w:cs="Arial"/>
          <w:sz w:val="22"/>
          <w:szCs w:val="22"/>
        </w:rPr>
        <w:t>the defendant without consulting another party, X, the claimant</w:t>
      </w:r>
      <w:r w:rsidRPr="00653948">
        <w:rPr>
          <w:rFonts w:ascii="Arial" w:hAnsi="Arial" w:cs="Arial"/>
          <w:sz w:val="22"/>
          <w:szCs w:val="22"/>
        </w:rPr>
        <w:t xml:space="preserve"> may have standing if affected by that decision, but may not be granted a remedy if he is merely seeking to take advantage of a failure to consult another party. See e.g. the discussion in </w:t>
      </w:r>
      <w:r w:rsidRPr="006175AD">
        <w:rPr>
          <w:rFonts w:ascii="Arial" w:hAnsi="Arial" w:cs="Arial"/>
          <w:b/>
          <w:i/>
          <w:sz w:val="22"/>
          <w:szCs w:val="22"/>
        </w:rPr>
        <w:t>R v Secretary of State for Transport</w:t>
      </w:r>
      <w:r w:rsidR="00C10D1E" w:rsidRPr="006175AD">
        <w:rPr>
          <w:rFonts w:ascii="Arial" w:hAnsi="Arial" w:cs="Arial"/>
          <w:b/>
          <w:i/>
          <w:sz w:val="22"/>
          <w:szCs w:val="22"/>
        </w:rPr>
        <w:t>,</w:t>
      </w:r>
      <w:r w:rsidRPr="006175AD">
        <w:rPr>
          <w:rFonts w:ascii="Arial" w:hAnsi="Arial" w:cs="Arial"/>
          <w:b/>
          <w:i/>
          <w:sz w:val="22"/>
          <w:szCs w:val="22"/>
        </w:rPr>
        <w:t xml:space="preserve"> ex p. Presvac Engineering Ltd.</w:t>
      </w:r>
      <w:r w:rsidRPr="00653948">
        <w:rPr>
          <w:rFonts w:ascii="Arial" w:hAnsi="Arial" w:cs="Arial"/>
          <w:i/>
          <w:sz w:val="22"/>
          <w:szCs w:val="22"/>
        </w:rPr>
        <w:t xml:space="preserve"> </w:t>
      </w:r>
      <w:r w:rsidRPr="00653948">
        <w:rPr>
          <w:rFonts w:ascii="Arial" w:hAnsi="Arial" w:cs="Arial"/>
          <w:sz w:val="22"/>
          <w:szCs w:val="22"/>
        </w:rPr>
        <w:t>(1991) 4 Ad</w:t>
      </w:r>
      <w:r w:rsidR="000164A3">
        <w:rPr>
          <w:rFonts w:ascii="Arial" w:hAnsi="Arial" w:cs="Arial"/>
          <w:sz w:val="22"/>
          <w:szCs w:val="22"/>
        </w:rPr>
        <w:t>min</w:t>
      </w:r>
      <w:r w:rsidRPr="00653948">
        <w:rPr>
          <w:rFonts w:ascii="Arial" w:hAnsi="Arial" w:cs="Arial"/>
          <w:sz w:val="22"/>
          <w:szCs w:val="22"/>
        </w:rPr>
        <w:t xml:space="preserve"> LR 121</w:t>
      </w:r>
      <w:r w:rsidR="006175AD">
        <w:rPr>
          <w:rFonts w:ascii="Arial" w:hAnsi="Arial" w:cs="Arial"/>
          <w:sz w:val="22"/>
          <w:szCs w:val="22"/>
        </w:rPr>
        <w:t>, CA</w:t>
      </w:r>
      <w:r w:rsidRPr="00653948">
        <w:rPr>
          <w:rFonts w:ascii="Arial" w:hAnsi="Arial" w:cs="Arial"/>
          <w:sz w:val="22"/>
          <w:szCs w:val="22"/>
        </w:rPr>
        <w:t>.</w:t>
      </w:r>
    </w:p>
    <w:p w14:paraId="15D08DF5" w14:textId="77777777" w:rsidR="00EB5785" w:rsidRPr="00653948" w:rsidRDefault="00EB5785" w:rsidP="00EB5785">
      <w:pPr>
        <w:pStyle w:val="BodyText"/>
        <w:spacing w:line="240" w:lineRule="auto"/>
        <w:rPr>
          <w:rFonts w:ascii="Arial" w:hAnsi="Arial" w:cs="Arial"/>
          <w:sz w:val="22"/>
          <w:szCs w:val="22"/>
        </w:rPr>
      </w:pPr>
    </w:p>
    <w:p w14:paraId="7CE2B2C3" w14:textId="437C51EA"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The choice of a claim</w:t>
      </w:r>
      <w:r w:rsidR="006175AD">
        <w:rPr>
          <w:rFonts w:ascii="Arial" w:hAnsi="Arial" w:cs="Arial"/>
          <w:sz w:val="22"/>
          <w:szCs w:val="22"/>
        </w:rPr>
        <w:t>ant in order to benefit from LAA</w:t>
      </w:r>
      <w:r w:rsidRPr="00653948">
        <w:rPr>
          <w:rFonts w:ascii="Arial" w:hAnsi="Arial" w:cs="Arial"/>
          <w:sz w:val="22"/>
          <w:szCs w:val="22"/>
        </w:rPr>
        <w:t xml:space="preserve"> funding may in certain cases be an abuse of process, but does not normally go to standing. For a discussion of this issue, see </w:t>
      </w:r>
      <w:r w:rsidRPr="006175AD">
        <w:rPr>
          <w:rFonts w:ascii="Arial" w:hAnsi="Arial" w:cs="Arial"/>
          <w:b/>
          <w:i/>
          <w:sz w:val="22"/>
          <w:szCs w:val="22"/>
        </w:rPr>
        <w:t>R (Edwards) v Environment Agency</w:t>
      </w:r>
      <w:r w:rsidR="000164A3" w:rsidRPr="006175AD">
        <w:rPr>
          <w:rFonts w:ascii="Arial" w:hAnsi="Arial" w:cs="Arial"/>
          <w:b/>
          <w:i/>
          <w:sz w:val="22"/>
          <w:szCs w:val="22"/>
        </w:rPr>
        <w:t xml:space="preserve"> (No.1)</w:t>
      </w:r>
      <w:r w:rsidRPr="00653948">
        <w:rPr>
          <w:rFonts w:ascii="Arial" w:hAnsi="Arial" w:cs="Arial"/>
          <w:i/>
          <w:sz w:val="22"/>
          <w:szCs w:val="22"/>
        </w:rPr>
        <w:t xml:space="preserve"> </w:t>
      </w:r>
      <w:r w:rsidR="006175AD">
        <w:rPr>
          <w:rFonts w:ascii="Arial" w:hAnsi="Arial" w:cs="Arial"/>
          <w:sz w:val="22"/>
          <w:szCs w:val="22"/>
        </w:rPr>
        <w:t xml:space="preserve">[2004] EWHC 736 (Admin), </w:t>
      </w:r>
      <w:r w:rsidRPr="00653948">
        <w:rPr>
          <w:rFonts w:ascii="Arial" w:hAnsi="Arial" w:cs="Arial"/>
          <w:sz w:val="22"/>
          <w:szCs w:val="22"/>
        </w:rPr>
        <w:t>[2004] 3 All ER 21, in effect suggesting that unless there is a clear abuse of the court’s own process, these matters are for the LSC to consider.</w:t>
      </w:r>
      <w:r w:rsidR="000164A3">
        <w:rPr>
          <w:rFonts w:ascii="Arial" w:hAnsi="Arial" w:cs="Arial"/>
          <w:sz w:val="22"/>
          <w:szCs w:val="22"/>
        </w:rPr>
        <w:t xml:space="preserve"> For an </w:t>
      </w:r>
      <w:r w:rsidRPr="00653948">
        <w:rPr>
          <w:rFonts w:ascii="Arial" w:hAnsi="Arial" w:cs="Arial"/>
          <w:sz w:val="22"/>
          <w:szCs w:val="22"/>
        </w:rPr>
        <w:t xml:space="preserve">example, see </w:t>
      </w:r>
      <w:r w:rsidR="000164A3" w:rsidRPr="003A6818">
        <w:rPr>
          <w:rFonts w:ascii="Arial" w:hAnsi="Arial" w:cs="Arial"/>
          <w:b/>
          <w:i/>
          <w:sz w:val="22"/>
          <w:szCs w:val="22"/>
        </w:rPr>
        <w:t>R (</w:t>
      </w:r>
      <w:r w:rsidRPr="003A6818">
        <w:rPr>
          <w:rFonts w:ascii="Arial" w:hAnsi="Arial" w:cs="Arial"/>
          <w:b/>
          <w:i/>
          <w:sz w:val="22"/>
          <w:szCs w:val="22"/>
        </w:rPr>
        <w:t>Williams) v Surrey CC</w:t>
      </w:r>
      <w:r w:rsidRPr="00653948">
        <w:rPr>
          <w:rFonts w:ascii="Arial" w:hAnsi="Arial" w:cs="Arial"/>
          <w:i/>
          <w:sz w:val="22"/>
          <w:szCs w:val="22"/>
        </w:rPr>
        <w:t xml:space="preserve"> </w:t>
      </w:r>
      <w:r w:rsidRPr="00653948">
        <w:rPr>
          <w:rFonts w:ascii="Arial" w:hAnsi="Arial" w:cs="Arial"/>
          <w:sz w:val="22"/>
          <w:szCs w:val="22"/>
        </w:rPr>
        <w:t>[2012] EWHC 516 (Admin) – a challenge to</w:t>
      </w:r>
      <w:r w:rsidR="000164A3">
        <w:rPr>
          <w:rFonts w:ascii="Arial" w:hAnsi="Arial" w:cs="Arial"/>
          <w:sz w:val="22"/>
          <w:szCs w:val="22"/>
        </w:rPr>
        <w:t xml:space="preserve"> the</w:t>
      </w:r>
      <w:r w:rsidRPr="00653948">
        <w:rPr>
          <w:rFonts w:ascii="Arial" w:hAnsi="Arial" w:cs="Arial"/>
          <w:sz w:val="22"/>
          <w:szCs w:val="22"/>
        </w:rPr>
        <w:t xml:space="preserve"> creation of community libraries in Surrey, where the claimant put forward essentially on behalf of a campaign group did not live or work in Surrey, but was eligible for legal aid. The Court recognised that the library duties were owed only to those who lived, worked or were educated in the area. However, the duties under the Equality Act </w:t>
      </w:r>
      <w:r>
        <w:rPr>
          <w:rFonts w:ascii="Arial" w:hAnsi="Arial" w:cs="Arial"/>
          <w:sz w:val="22"/>
          <w:szCs w:val="22"/>
        </w:rPr>
        <w:t xml:space="preserve">2010 </w:t>
      </w:r>
      <w:r w:rsidRPr="00653948">
        <w:rPr>
          <w:rFonts w:ascii="Arial" w:hAnsi="Arial" w:cs="Arial"/>
          <w:sz w:val="22"/>
          <w:szCs w:val="22"/>
        </w:rPr>
        <w:t>(which were also in play) were intended to further equality across the community as a whole. She had interests of a public nature in library services, and an interest in promoting the objectives of the Equality Act</w:t>
      </w:r>
      <w:r>
        <w:rPr>
          <w:rFonts w:ascii="Arial" w:hAnsi="Arial" w:cs="Arial"/>
          <w:sz w:val="22"/>
          <w:szCs w:val="22"/>
        </w:rPr>
        <w:t xml:space="preserve"> 2010</w:t>
      </w:r>
      <w:r w:rsidRPr="00653948">
        <w:rPr>
          <w:rFonts w:ascii="Arial" w:hAnsi="Arial" w:cs="Arial"/>
          <w:sz w:val="22"/>
          <w:szCs w:val="22"/>
        </w:rPr>
        <w:t xml:space="preserve">. The fact that others who were not eligible for legal aid had more of an interest was not of much significance. Ms Williams, whatever her financial means, had the appropriate standing, and the fact that she also had the benefit of legal aid, when </w:t>
      </w:r>
      <w:r w:rsidRPr="00653948">
        <w:rPr>
          <w:rFonts w:ascii="Arial" w:hAnsi="Arial" w:cs="Arial"/>
          <w:sz w:val="22"/>
          <w:szCs w:val="22"/>
        </w:rPr>
        <w:lastRenderedPageBreak/>
        <w:t xml:space="preserve">others with a like interest did not, did not make her choice as claimant an abuse of the process of the court. </w:t>
      </w:r>
    </w:p>
    <w:p w14:paraId="1FF0DCFA" w14:textId="77777777" w:rsidR="00EB5785" w:rsidRPr="00653948" w:rsidRDefault="00EB5785" w:rsidP="00EB5785">
      <w:pPr>
        <w:pStyle w:val="BodyText"/>
        <w:spacing w:line="240" w:lineRule="auto"/>
        <w:ind w:left="720"/>
        <w:rPr>
          <w:rFonts w:ascii="Arial" w:hAnsi="Arial" w:cs="Arial"/>
          <w:sz w:val="22"/>
          <w:szCs w:val="22"/>
        </w:rPr>
      </w:pPr>
    </w:p>
    <w:p w14:paraId="765A194A" w14:textId="2DE7A17C" w:rsidR="00EB5785" w:rsidRPr="00653948" w:rsidRDefault="000164A3" w:rsidP="00EB5785">
      <w:pPr>
        <w:pStyle w:val="BodyText"/>
        <w:numPr>
          <w:ilvl w:val="0"/>
          <w:numId w:val="34"/>
        </w:numPr>
        <w:spacing w:line="240" w:lineRule="auto"/>
        <w:rPr>
          <w:rFonts w:ascii="Arial" w:hAnsi="Arial" w:cs="Arial"/>
          <w:sz w:val="22"/>
          <w:szCs w:val="22"/>
        </w:rPr>
      </w:pPr>
      <w:r>
        <w:rPr>
          <w:rFonts w:ascii="Arial" w:hAnsi="Arial" w:cs="Arial"/>
          <w:sz w:val="22"/>
          <w:szCs w:val="22"/>
        </w:rPr>
        <w:t>I</w:t>
      </w:r>
      <w:r w:rsidR="00EB5785" w:rsidRPr="00653948">
        <w:rPr>
          <w:rFonts w:ascii="Arial" w:hAnsi="Arial" w:cs="Arial"/>
          <w:sz w:val="22"/>
          <w:szCs w:val="22"/>
        </w:rPr>
        <w:t xml:space="preserve">n </w:t>
      </w:r>
      <w:r w:rsidR="00EB5785" w:rsidRPr="003A6818">
        <w:rPr>
          <w:rFonts w:ascii="Arial" w:hAnsi="Arial" w:cs="Arial"/>
          <w:b/>
          <w:i/>
          <w:sz w:val="22"/>
          <w:szCs w:val="22"/>
        </w:rPr>
        <w:t>Walton v Scottish Ministers</w:t>
      </w:r>
      <w:r w:rsidR="00EB5785" w:rsidRPr="00653948">
        <w:rPr>
          <w:rFonts w:ascii="Arial" w:hAnsi="Arial" w:cs="Arial"/>
          <w:i/>
          <w:sz w:val="22"/>
          <w:szCs w:val="22"/>
        </w:rPr>
        <w:t xml:space="preserve"> </w:t>
      </w:r>
      <w:r w:rsidR="00EB5785" w:rsidRPr="00653948">
        <w:rPr>
          <w:rFonts w:ascii="Arial" w:hAnsi="Arial" w:cs="Arial"/>
          <w:sz w:val="22"/>
          <w:szCs w:val="22"/>
        </w:rPr>
        <w:t>[2012] UKSC 44</w:t>
      </w:r>
      <w:r>
        <w:rPr>
          <w:rFonts w:ascii="Arial" w:hAnsi="Arial" w:cs="Arial"/>
          <w:sz w:val="22"/>
          <w:szCs w:val="22"/>
        </w:rPr>
        <w:t>,</w:t>
      </w:r>
      <w:r w:rsidR="00EB5785" w:rsidRPr="00653948">
        <w:rPr>
          <w:rFonts w:ascii="Arial" w:hAnsi="Arial" w:cs="Arial"/>
          <w:sz w:val="22"/>
          <w:szCs w:val="22"/>
        </w:rPr>
        <w:t xml:space="preserve"> [2013] </w:t>
      </w:r>
      <w:r w:rsidR="003A6818">
        <w:rPr>
          <w:rFonts w:ascii="Arial" w:hAnsi="Arial" w:cs="Arial"/>
          <w:sz w:val="22"/>
          <w:szCs w:val="22"/>
        </w:rPr>
        <w:t>PTSR 51</w:t>
      </w:r>
      <w:r>
        <w:rPr>
          <w:rFonts w:ascii="Arial" w:hAnsi="Arial" w:cs="Arial"/>
          <w:sz w:val="22"/>
          <w:szCs w:val="22"/>
        </w:rPr>
        <w:t xml:space="preserve">, </w:t>
      </w:r>
      <w:r w:rsidR="00EB5785" w:rsidRPr="00653948">
        <w:rPr>
          <w:rFonts w:ascii="Arial" w:hAnsi="Arial" w:cs="Arial"/>
          <w:sz w:val="22"/>
          <w:szCs w:val="22"/>
        </w:rPr>
        <w:t xml:space="preserve">Lord Reid emphasised that in many contexts, it will be necessary for a person to demonstrate some particular interest in order to demonstrate that he is not a mere busybody. Not every member of the public can complain of every potential breach of duty by a public body. But there are also cases in which any individual, simply as a citizen, will have sufficient interest to bring a public authority’s violation of the law to the attention of the court, without having to demonstrate any greater impact upon himself than upon other members of the public. In environmental law, an individual may be personally affected in his private interests by the environmental issues to which an application for planning permission may give rise, e.g. by way of noise and disturbance. But some environmental issues that can properly be raised by an individual are not of that character. Environmental law proceeds on the basis that the quality of the natural environment is of legitimate concern to everyone. This is not an invitation to a busybody to intervene: those who wish to bring environmental proceedings will have to demonstrate that they have a genuine interest in the aspects of the environment that they seek to protect, and that they have sufficient knowledge of the subject to qualify them to act in the public interest in what is, in essence, a representative capacity (see Lord Hope). </w:t>
      </w:r>
    </w:p>
    <w:p w14:paraId="79892E1B" w14:textId="77777777" w:rsidR="00EB5785" w:rsidRPr="00653948" w:rsidRDefault="00EB5785" w:rsidP="00EB5785">
      <w:pPr>
        <w:pStyle w:val="BodyText"/>
        <w:spacing w:line="240" w:lineRule="auto"/>
        <w:ind w:left="720"/>
        <w:rPr>
          <w:rFonts w:ascii="Arial" w:hAnsi="Arial" w:cs="Arial"/>
          <w:sz w:val="22"/>
          <w:szCs w:val="22"/>
        </w:rPr>
      </w:pPr>
    </w:p>
    <w:p w14:paraId="1EBAB653" w14:textId="0D366488"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It is also important to be aware of the different standing test for claims under the Human Rights Act 1998</w:t>
      </w:r>
      <w:r w:rsidR="000164A3">
        <w:rPr>
          <w:rFonts w:ascii="Arial" w:hAnsi="Arial" w:cs="Arial"/>
          <w:sz w:val="22"/>
          <w:szCs w:val="22"/>
        </w:rPr>
        <w:t xml:space="preserve"> (“</w:t>
      </w:r>
      <w:r w:rsidR="000164A3" w:rsidRPr="003A6818">
        <w:rPr>
          <w:rFonts w:ascii="Arial" w:hAnsi="Arial" w:cs="Arial"/>
          <w:b/>
          <w:sz w:val="22"/>
          <w:szCs w:val="22"/>
        </w:rPr>
        <w:t>HRA</w:t>
      </w:r>
      <w:r w:rsidR="000164A3">
        <w:rPr>
          <w:rFonts w:ascii="Arial" w:hAnsi="Arial" w:cs="Arial"/>
          <w:sz w:val="22"/>
          <w:szCs w:val="22"/>
        </w:rPr>
        <w:t>”)</w:t>
      </w:r>
      <w:r w:rsidRPr="00653948">
        <w:rPr>
          <w:rFonts w:ascii="Arial" w:hAnsi="Arial" w:cs="Arial"/>
          <w:sz w:val="22"/>
          <w:szCs w:val="22"/>
        </w:rPr>
        <w:t>. Under HRA s</w:t>
      </w:r>
      <w:r w:rsidR="000164A3">
        <w:rPr>
          <w:rFonts w:ascii="Arial" w:hAnsi="Arial" w:cs="Arial"/>
          <w:sz w:val="22"/>
          <w:szCs w:val="22"/>
        </w:rPr>
        <w:t>.</w:t>
      </w:r>
      <w:r w:rsidRPr="00653948">
        <w:rPr>
          <w:rFonts w:ascii="Arial" w:hAnsi="Arial" w:cs="Arial"/>
          <w:sz w:val="22"/>
          <w:szCs w:val="22"/>
        </w:rPr>
        <w:t xml:space="preserve">7(3), a judicial review claimant will only have a sufficient interest </w:t>
      </w:r>
      <w:r w:rsidR="00C10D1E">
        <w:rPr>
          <w:rFonts w:ascii="Arial" w:hAnsi="Arial" w:cs="Arial"/>
          <w:sz w:val="22"/>
          <w:szCs w:val="22"/>
        </w:rPr>
        <w:t>if he is or would be a “</w:t>
      </w:r>
      <w:r w:rsidR="00C10D1E" w:rsidRPr="003A6818">
        <w:rPr>
          <w:rFonts w:ascii="Arial" w:hAnsi="Arial" w:cs="Arial"/>
          <w:i/>
          <w:sz w:val="22"/>
          <w:szCs w:val="22"/>
        </w:rPr>
        <w:t>victim</w:t>
      </w:r>
      <w:r w:rsidR="00C10D1E">
        <w:rPr>
          <w:rFonts w:ascii="Arial" w:hAnsi="Arial" w:cs="Arial"/>
          <w:sz w:val="22"/>
          <w:szCs w:val="22"/>
        </w:rPr>
        <w:t xml:space="preserve">” </w:t>
      </w:r>
      <w:r w:rsidRPr="00653948">
        <w:rPr>
          <w:rFonts w:ascii="Arial" w:hAnsi="Arial" w:cs="Arial"/>
          <w:sz w:val="22"/>
          <w:szCs w:val="22"/>
        </w:rPr>
        <w:t>of the a</w:t>
      </w:r>
      <w:r w:rsidR="000164A3">
        <w:rPr>
          <w:rFonts w:ascii="Arial" w:hAnsi="Arial" w:cs="Arial"/>
          <w:sz w:val="22"/>
          <w:szCs w:val="22"/>
        </w:rPr>
        <w:t>llegedly unlawful act, and by s.</w:t>
      </w:r>
      <w:r w:rsidRPr="00653948">
        <w:rPr>
          <w:rFonts w:ascii="Arial" w:hAnsi="Arial" w:cs="Arial"/>
          <w:sz w:val="22"/>
          <w:szCs w:val="22"/>
        </w:rPr>
        <w:t xml:space="preserve">7(7) this depends on whether the ECtHR would treat him as a victim for the purposes of bringing proceedings in Strasbourg.  See e.g. </w:t>
      </w:r>
      <w:r w:rsidRPr="003A6818">
        <w:rPr>
          <w:rFonts w:ascii="Arial" w:hAnsi="Arial" w:cs="Arial"/>
          <w:b/>
          <w:i/>
          <w:sz w:val="22"/>
          <w:szCs w:val="22"/>
        </w:rPr>
        <w:t>Lancashire CC v Taylor</w:t>
      </w:r>
      <w:r w:rsidRPr="00653948">
        <w:rPr>
          <w:rFonts w:ascii="Arial" w:hAnsi="Arial" w:cs="Arial"/>
          <w:i/>
          <w:sz w:val="22"/>
          <w:szCs w:val="22"/>
        </w:rPr>
        <w:t xml:space="preserve"> </w:t>
      </w:r>
      <w:r w:rsidRPr="00653948">
        <w:rPr>
          <w:rFonts w:ascii="Arial" w:hAnsi="Arial" w:cs="Arial"/>
          <w:sz w:val="22"/>
          <w:szCs w:val="22"/>
        </w:rPr>
        <w:t>[</w:t>
      </w:r>
      <w:r w:rsidR="003A6818">
        <w:rPr>
          <w:rFonts w:ascii="Arial" w:hAnsi="Arial" w:cs="Arial"/>
          <w:sz w:val="22"/>
          <w:szCs w:val="22"/>
        </w:rPr>
        <w:t>2005] EWCA Civ 284, [</w:t>
      </w:r>
      <w:r w:rsidRPr="00653948">
        <w:rPr>
          <w:rFonts w:ascii="Arial" w:hAnsi="Arial" w:cs="Arial"/>
          <w:sz w:val="22"/>
          <w:szCs w:val="22"/>
        </w:rPr>
        <w:t xml:space="preserve">2005] 1 WLR 2668.  </w:t>
      </w:r>
      <w:r>
        <w:rPr>
          <w:rFonts w:ascii="Arial" w:hAnsi="Arial" w:cs="Arial"/>
          <w:sz w:val="22"/>
          <w:szCs w:val="22"/>
        </w:rPr>
        <w:t>Core public authorities (e</w:t>
      </w:r>
      <w:r w:rsidR="000164A3">
        <w:rPr>
          <w:rFonts w:ascii="Arial" w:hAnsi="Arial" w:cs="Arial"/>
          <w:sz w:val="22"/>
          <w:szCs w:val="22"/>
        </w:rPr>
        <w:t>.</w:t>
      </w:r>
      <w:r>
        <w:rPr>
          <w:rFonts w:ascii="Arial" w:hAnsi="Arial" w:cs="Arial"/>
          <w:sz w:val="22"/>
          <w:szCs w:val="22"/>
        </w:rPr>
        <w:t>g</w:t>
      </w:r>
      <w:r w:rsidR="000164A3">
        <w:rPr>
          <w:rFonts w:ascii="Arial" w:hAnsi="Arial" w:cs="Arial"/>
          <w:sz w:val="22"/>
          <w:szCs w:val="22"/>
        </w:rPr>
        <w:t>.</w:t>
      </w:r>
      <w:r>
        <w:rPr>
          <w:rFonts w:ascii="Arial" w:hAnsi="Arial" w:cs="Arial"/>
          <w:sz w:val="22"/>
          <w:szCs w:val="22"/>
        </w:rPr>
        <w:t xml:space="preserve"> central and local government departments) cannot be “</w:t>
      </w:r>
      <w:r w:rsidRPr="003A6818">
        <w:rPr>
          <w:rFonts w:ascii="Arial" w:hAnsi="Arial" w:cs="Arial"/>
          <w:i/>
          <w:sz w:val="22"/>
          <w:szCs w:val="22"/>
        </w:rPr>
        <w:t>victims</w:t>
      </w:r>
      <w:r>
        <w:rPr>
          <w:rFonts w:ascii="Arial" w:hAnsi="Arial" w:cs="Arial"/>
          <w:sz w:val="22"/>
          <w:szCs w:val="22"/>
        </w:rPr>
        <w:t xml:space="preserve">” and thus cannot bring claims under </w:t>
      </w:r>
      <w:r w:rsidR="000164A3">
        <w:rPr>
          <w:rFonts w:ascii="Arial" w:hAnsi="Arial" w:cs="Arial"/>
          <w:sz w:val="22"/>
          <w:szCs w:val="22"/>
        </w:rPr>
        <w:t>HRA s.6</w:t>
      </w:r>
      <w:r>
        <w:rPr>
          <w:rFonts w:ascii="Arial" w:hAnsi="Arial" w:cs="Arial"/>
          <w:sz w:val="22"/>
          <w:szCs w:val="22"/>
        </w:rPr>
        <w:t xml:space="preserve"> for breach of their Convention rights. Unlike the rules on domestic standing, non-governmental organisations such as Liberty or Amnesty International will not be a victim unless the organisation can show that it itself has been directly affected by the act or proposed act challenged.  </w:t>
      </w:r>
      <w:r w:rsidRPr="00653948">
        <w:rPr>
          <w:rFonts w:ascii="Arial" w:hAnsi="Arial" w:cs="Arial"/>
          <w:sz w:val="22"/>
          <w:szCs w:val="22"/>
        </w:rPr>
        <w:t xml:space="preserve">It would seem probable that this requirement does not apply when seeking a declaration of incompatibility.  For the position of the EHRC, see </w:t>
      </w:r>
      <w:r w:rsidRPr="003A6818">
        <w:rPr>
          <w:rFonts w:ascii="Arial" w:hAnsi="Arial" w:cs="Arial"/>
          <w:b/>
          <w:i/>
          <w:sz w:val="22"/>
          <w:szCs w:val="22"/>
        </w:rPr>
        <w:t>R (Equality and Human Rights Commission) v Prime Minister</w:t>
      </w:r>
      <w:r w:rsidRPr="00653948">
        <w:rPr>
          <w:rFonts w:ascii="Arial" w:hAnsi="Arial" w:cs="Arial"/>
          <w:i/>
          <w:sz w:val="22"/>
          <w:szCs w:val="22"/>
        </w:rPr>
        <w:t xml:space="preserve"> </w:t>
      </w:r>
      <w:r w:rsidRPr="00653948">
        <w:rPr>
          <w:rFonts w:ascii="Arial" w:hAnsi="Arial" w:cs="Arial"/>
          <w:sz w:val="22"/>
          <w:szCs w:val="22"/>
        </w:rPr>
        <w:t>[2011] EWHC 2401 (Admin)</w:t>
      </w:r>
      <w:r w:rsidR="003A6818">
        <w:rPr>
          <w:rFonts w:ascii="Arial" w:hAnsi="Arial" w:cs="Arial"/>
          <w:sz w:val="22"/>
          <w:szCs w:val="22"/>
        </w:rPr>
        <w:t>, [2012] 1 WLR 1389</w:t>
      </w:r>
      <w:r w:rsidRPr="00653948">
        <w:rPr>
          <w:rFonts w:ascii="Arial" w:hAnsi="Arial" w:cs="Arial"/>
          <w:sz w:val="22"/>
          <w:szCs w:val="22"/>
        </w:rPr>
        <w:t>.</w:t>
      </w:r>
    </w:p>
    <w:p w14:paraId="7BF15302" w14:textId="77777777" w:rsidR="00EB5785" w:rsidRPr="00653948" w:rsidRDefault="00EB5785" w:rsidP="00EB5785">
      <w:pPr>
        <w:pStyle w:val="BodyText"/>
        <w:spacing w:line="240" w:lineRule="auto"/>
        <w:rPr>
          <w:rFonts w:ascii="Arial" w:hAnsi="Arial" w:cs="Arial"/>
          <w:sz w:val="22"/>
          <w:szCs w:val="22"/>
        </w:rPr>
      </w:pPr>
    </w:p>
    <w:p w14:paraId="740A7127" w14:textId="6880E399"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In </w:t>
      </w:r>
      <w:r w:rsidRPr="003A6818">
        <w:rPr>
          <w:rFonts w:ascii="Arial" w:hAnsi="Arial" w:cs="Arial"/>
          <w:b/>
          <w:i/>
          <w:sz w:val="22"/>
          <w:szCs w:val="22"/>
        </w:rPr>
        <w:t>R (Broadway Care Centre Ltd</w:t>
      </w:r>
      <w:r w:rsidR="003A6818">
        <w:rPr>
          <w:rFonts w:ascii="Arial" w:hAnsi="Arial" w:cs="Arial"/>
          <w:b/>
          <w:i/>
          <w:sz w:val="22"/>
          <w:szCs w:val="22"/>
        </w:rPr>
        <w:t>.</w:t>
      </w:r>
      <w:r w:rsidRPr="003A6818">
        <w:rPr>
          <w:rFonts w:ascii="Arial" w:hAnsi="Arial" w:cs="Arial"/>
          <w:b/>
          <w:i/>
          <w:sz w:val="22"/>
          <w:szCs w:val="22"/>
        </w:rPr>
        <w:t>) v Caerphilly County Borough Council</w:t>
      </w:r>
      <w:r w:rsidRPr="00653948">
        <w:rPr>
          <w:rFonts w:ascii="Arial" w:hAnsi="Arial" w:cs="Arial"/>
          <w:i/>
          <w:sz w:val="22"/>
          <w:szCs w:val="22"/>
        </w:rPr>
        <w:t xml:space="preserve"> </w:t>
      </w:r>
      <w:r w:rsidRPr="00653948">
        <w:rPr>
          <w:rFonts w:ascii="Arial" w:hAnsi="Arial" w:cs="Arial"/>
          <w:sz w:val="22"/>
          <w:szCs w:val="22"/>
        </w:rPr>
        <w:t>[2012] EWHC 37 (Admin),</w:t>
      </w:r>
      <w:r w:rsidR="003A6818">
        <w:rPr>
          <w:rFonts w:ascii="Arial" w:hAnsi="Arial" w:cs="Arial"/>
          <w:sz w:val="22"/>
          <w:szCs w:val="22"/>
        </w:rPr>
        <w:t xml:space="preserve"> (2012) CCL Rep 82,</w:t>
      </w:r>
      <w:r w:rsidRPr="00653948">
        <w:rPr>
          <w:rFonts w:ascii="Arial" w:hAnsi="Arial" w:cs="Arial"/>
          <w:sz w:val="22"/>
          <w:szCs w:val="22"/>
        </w:rPr>
        <w:t xml:space="preserve"> a care home attempted to bring a claim for judicial review, challenging the local authority’s decision to terminate its contract to provide care for elderly dementia sufferers.  The Administrative Court held that it did not have standing to bring the proceedings to protect its residents’ Article 8 </w:t>
      </w:r>
      <w:r w:rsidR="000164A3">
        <w:rPr>
          <w:rFonts w:ascii="Arial" w:hAnsi="Arial" w:cs="Arial"/>
          <w:sz w:val="22"/>
          <w:szCs w:val="22"/>
        </w:rPr>
        <w:t>right</w:t>
      </w:r>
      <w:r w:rsidRPr="00653948">
        <w:rPr>
          <w:rFonts w:ascii="Arial" w:hAnsi="Arial" w:cs="Arial"/>
          <w:sz w:val="22"/>
          <w:szCs w:val="22"/>
        </w:rPr>
        <w:t xml:space="preserve">s, because the care home was not the victim of a breach of those rights. In domestic law terms, the care home had standing to seek urgent interim relief, but once the residents had time and opportunity to seek their own advice and representation, there was a clear conflict of interest between the care home and the residents, and insufficient reason why the care home should purportedly act on their behalf. </w:t>
      </w:r>
    </w:p>
    <w:p w14:paraId="4FA3E811" w14:textId="77777777" w:rsidR="00EB5785" w:rsidRPr="00653948" w:rsidRDefault="00EB5785" w:rsidP="00EB5785">
      <w:pPr>
        <w:pStyle w:val="BodyText"/>
        <w:spacing w:line="240" w:lineRule="auto"/>
        <w:rPr>
          <w:rFonts w:ascii="Arial" w:hAnsi="Arial" w:cs="Arial"/>
          <w:sz w:val="22"/>
          <w:szCs w:val="22"/>
        </w:rPr>
      </w:pPr>
    </w:p>
    <w:p w14:paraId="26FAD86F" w14:textId="77777777" w:rsidR="00640AFB" w:rsidRDefault="00EB5785" w:rsidP="00EB5785">
      <w:pPr>
        <w:pStyle w:val="Heading5"/>
        <w:rPr>
          <w:rFonts w:ascii="Arial" w:hAnsi="Arial" w:cs="Arial"/>
          <w:sz w:val="22"/>
          <w:szCs w:val="22"/>
        </w:rPr>
      </w:pPr>
      <w:r w:rsidRPr="00653948">
        <w:rPr>
          <w:rFonts w:ascii="Arial" w:hAnsi="Arial" w:cs="Arial"/>
          <w:sz w:val="22"/>
          <w:szCs w:val="22"/>
        </w:rPr>
        <w:t xml:space="preserve"> </w:t>
      </w:r>
    </w:p>
    <w:p w14:paraId="5E0ABA9A" w14:textId="61341AF3" w:rsidR="00EB5785" w:rsidRPr="00653948" w:rsidRDefault="00EB5785" w:rsidP="00EB5785">
      <w:pPr>
        <w:pStyle w:val="Heading5"/>
        <w:rPr>
          <w:rFonts w:ascii="Arial" w:hAnsi="Arial" w:cs="Arial"/>
          <w:sz w:val="22"/>
          <w:szCs w:val="22"/>
        </w:rPr>
      </w:pPr>
      <w:r w:rsidRPr="00653948">
        <w:rPr>
          <w:rFonts w:ascii="Arial" w:hAnsi="Arial" w:cs="Arial"/>
          <w:sz w:val="22"/>
          <w:szCs w:val="22"/>
        </w:rPr>
        <w:t>(3) Time limits</w:t>
      </w:r>
    </w:p>
    <w:p w14:paraId="5CA58B66" w14:textId="77777777" w:rsidR="00EB5785" w:rsidRPr="00653948" w:rsidRDefault="00EB5785" w:rsidP="00EB5785">
      <w:pPr>
        <w:pStyle w:val="BodyText"/>
        <w:spacing w:line="240" w:lineRule="auto"/>
        <w:rPr>
          <w:rFonts w:ascii="Arial" w:hAnsi="Arial" w:cs="Arial"/>
          <w:b/>
          <w:sz w:val="22"/>
          <w:szCs w:val="22"/>
        </w:rPr>
      </w:pPr>
    </w:p>
    <w:p w14:paraId="55E19FA5" w14:textId="77777777"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The general rule is set out in CPR r.54.5(1), which provides that the claim form must be filed </w:t>
      </w:r>
      <w:r w:rsidRPr="00653948">
        <w:rPr>
          <w:rFonts w:ascii="Arial" w:hAnsi="Arial" w:cs="Arial"/>
          <w:b/>
          <w:sz w:val="22"/>
          <w:szCs w:val="22"/>
        </w:rPr>
        <w:t>promptly</w:t>
      </w:r>
      <w:r w:rsidRPr="00653948">
        <w:rPr>
          <w:rFonts w:ascii="Arial" w:hAnsi="Arial" w:cs="Arial"/>
          <w:sz w:val="22"/>
          <w:szCs w:val="22"/>
        </w:rPr>
        <w:t xml:space="preserve"> and </w:t>
      </w:r>
      <w:r w:rsidRPr="00653948">
        <w:rPr>
          <w:rFonts w:ascii="Arial" w:hAnsi="Arial" w:cs="Arial"/>
          <w:i/>
          <w:sz w:val="22"/>
          <w:szCs w:val="22"/>
        </w:rPr>
        <w:t>in any event</w:t>
      </w:r>
      <w:r w:rsidRPr="00653948">
        <w:rPr>
          <w:rFonts w:ascii="Arial" w:hAnsi="Arial" w:cs="Arial"/>
          <w:sz w:val="22"/>
          <w:szCs w:val="22"/>
        </w:rPr>
        <w:t xml:space="preserve"> </w:t>
      </w:r>
      <w:r w:rsidRPr="00653948">
        <w:rPr>
          <w:rFonts w:ascii="Arial" w:hAnsi="Arial" w:cs="Arial"/>
          <w:b/>
          <w:sz w:val="22"/>
          <w:szCs w:val="22"/>
        </w:rPr>
        <w:t xml:space="preserve">not later than 3 months </w:t>
      </w:r>
      <w:r w:rsidRPr="00653948">
        <w:rPr>
          <w:rFonts w:ascii="Arial" w:hAnsi="Arial" w:cs="Arial"/>
          <w:sz w:val="22"/>
          <w:szCs w:val="22"/>
        </w:rPr>
        <w:t>after the grounds to make the claim first arose.</w:t>
      </w:r>
    </w:p>
    <w:p w14:paraId="4BB663BE" w14:textId="77777777" w:rsidR="00EB5785" w:rsidRPr="00653948" w:rsidRDefault="00EB5785" w:rsidP="00EB5785">
      <w:pPr>
        <w:pStyle w:val="BodyText"/>
        <w:spacing w:line="240" w:lineRule="auto"/>
        <w:ind w:left="720"/>
        <w:rPr>
          <w:rFonts w:ascii="Arial" w:hAnsi="Arial" w:cs="Arial"/>
          <w:sz w:val="22"/>
          <w:szCs w:val="22"/>
        </w:rPr>
      </w:pPr>
    </w:p>
    <w:p w14:paraId="2F1D51F5" w14:textId="77777777" w:rsidR="00EB5785" w:rsidRPr="00653948" w:rsidRDefault="00EB5785" w:rsidP="00EB5785">
      <w:pPr>
        <w:pStyle w:val="BodyText"/>
        <w:numPr>
          <w:ilvl w:val="0"/>
          <w:numId w:val="34"/>
        </w:numPr>
        <w:spacing w:line="240" w:lineRule="auto"/>
        <w:rPr>
          <w:rFonts w:ascii="Arial" w:hAnsi="Arial" w:cs="Arial"/>
          <w:sz w:val="22"/>
          <w:szCs w:val="22"/>
        </w:rPr>
      </w:pPr>
      <w:r>
        <w:rPr>
          <w:rFonts w:ascii="Arial" w:hAnsi="Arial" w:cs="Arial"/>
          <w:sz w:val="22"/>
          <w:szCs w:val="22"/>
        </w:rPr>
        <w:t>A</w:t>
      </w:r>
      <w:r w:rsidRPr="00653948">
        <w:rPr>
          <w:rFonts w:ascii="Arial" w:hAnsi="Arial" w:cs="Arial"/>
          <w:sz w:val="22"/>
          <w:szCs w:val="22"/>
        </w:rPr>
        <w:t xml:space="preserve">ny extension of time is governed by the court’s general power under CPR r.3.1(2)(a). </w:t>
      </w:r>
    </w:p>
    <w:p w14:paraId="12DDE6FE" w14:textId="77777777" w:rsidR="00EB5785" w:rsidRPr="00653948" w:rsidRDefault="00EB5785" w:rsidP="00EB5785">
      <w:pPr>
        <w:pStyle w:val="BodyText"/>
        <w:spacing w:line="240" w:lineRule="auto"/>
        <w:rPr>
          <w:rFonts w:ascii="Arial" w:hAnsi="Arial" w:cs="Arial"/>
          <w:sz w:val="22"/>
          <w:szCs w:val="22"/>
        </w:rPr>
      </w:pPr>
    </w:p>
    <w:p w14:paraId="65F36095" w14:textId="4DE3CAD5"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Also of importance is SCA</w:t>
      </w:r>
      <w:r w:rsidR="000164A3">
        <w:rPr>
          <w:rFonts w:ascii="Arial" w:hAnsi="Arial" w:cs="Arial"/>
          <w:sz w:val="22"/>
          <w:szCs w:val="22"/>
        </w:rPr>
        <w:t xml:space="preserve"> 19</w:t>
      </w:r>
      <w:r w:rsidRPr="00653948">
        <w:rPr>
          <w:rFonts w:ascii="Arial" w:hAnsi="Arial" w:cs="Arial"/>
          <w:sz w:val="22"/>
          <w:szCs w:val="22"/>
        </w:rPr>
        <w:t>81 s</w:t>
      </w:r>
      <w:r w:rsidR="000164A3">
        <w:rPr>
          <w:rFonts w:ascii="Arial" w:hAnsi="Arial" w:cs="Arial"/>
          <w:sz w:val="22"/>
          <w:szCs w:val="22"/>
        </w:rPr>
        <w:t>.</w:t>
      </w:r>
      <w:r w:rsidRPr="00653948">
        <w:rPr>
          <w:rFonts w:ascii="Arial" w:hAnsi="Arial" w:cs="Arial"/>
          <w:sz w:val="22"/>
          <w:szCs w:val="22"/>
        </w:rPr>
        <w:t>31(6). Where the court considers that there has been “</w:t>
      </w:r>
      <w:r w:rsidRPr="003A6818">
        <w:rPr>
          <w:rFonts w:ascii="Arial" w:hAnsi="Arial" w:cs="Arial"/>
          <w:i/>
          <w:sz w:val="22"/>
          <w:szCs w:val="22"/>
        </w:rPr>
        <w:t>undue delay</w:t>
      </w:r>
      <w:r w:rsidRPr="00653948">
        <w:rPr>
          <w:rFonts w:ascii="Arial" w:hAnsi="Arial" w:cs="Arial"/>
          <w:sz w:val="22"/>
          <w:szCs w:val="22"/>
        </w:rPr>
        <w:t>” in applying for judicial review, it may refuse to grant permission or any relief sought on the application:</w:t>
      </w:r>
    </w:p>
    <w:p w14:paraId="44CD2AD1" w14:textId="77777777" w:rsidR="00EB5785" w:rsidRPr="00653948" w:rsidRDefault="00EB5785" w:rsidP="00EB5785">
      <w:pPr>
        <w:jc w:val="both"/>
        <w:rPr>
          <w:rFonts w:ascii="Arial" w:hAnsi="Arial" w:cs="Arial"/>
          <w:szCs w:val="22"/>
        </w:rPr>
      </w:pPr>
    </w:p>
    <w:p w14:paraId="0DF062FA" w14:textId="77777777" w:rsidR="00EB5785" w:rsidRPr="00653948" w:rsidRDefault="00EB5785" w:rsidP="00C10D1E">
      <w:pPr>
        <w:pStyle w:val="BodyTextIndent3"/>
        <w:rPr>
          <w:rFonts w:ascii="Arial" w:hAnsi="Arial" w:cs="Arial"/>
          <w:sz w:val="22"/>
          <w:szCs w:val="22"/>
        </w:rPr>
      </w:pPr>
      <w:r w:rsidRPr="000164A3">
        <w:rPr>
          <w:rFonts w:ascii="Arial" w:hAnsi="Arial" w:cs="Arial"/>
          <w:i/>
          <w:sz w:val="22"/>
          <w:szCs w:val="22"/>
        </w:rPr>
        <w:t>“. . . if it considers that the granting of the relief sought would be likely to cause substantial hardship to, or substantially prejudice the rights of, any person or would be detrimental to good administration</w:t>
      </w:r>
      <w:r w:rsidRPr="00653948">
        <w:rPr>
          <w:rFonts w:ascii="Arial" w:hAnsi="Arial" w:cs="Arial"/>
          <w:sz w:val="22"/>
          <w:szCs w:val="22"/>
        </w:rPr>
        <w:t>.”</w:t>
      </w:r>
    </w:p>
    <w:p w14:paraId="5A11DC7F" w14:textId="77777777" w:rsidR="00EB5785" w:rsidRPr="00653948" w:rsidRDefault="00EB5785" w:rsidP="00EB5785">
      <w:pPr>
        <w:pStyle w:val="BodyTextIndent3"/>
        <w:rPr>
          <w:rFonts w:ascii="Arial" w:hAnsi="Arial" w:cs="Arial"/>
          <w:sz w:val="22"/>
          <w:szCs w:val="22"/>
        </w:rPr>
      </w:pPr>
    </w:p>
    <w:p w14:paraId="7A44DF81" w14:textId="77777777"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The following key points arise.</w:t>
      </w:r>
    </w:p>
    <w:p w14:paraId="3F3F633B" w14:textId="77777777" w:rsidR="00EB5785" w:rsidRPr="00653948" w:rsidRDefault="00EB5785" w:rsidP="00EB5785">
      <w:pPr>
        <w:pStyle w:val="BodyTextIndent3"/>
        <w:rPr>
          <w:rFonts w:ascii="Arial" w:hAnsi="Arial" w:cs="Arial"/>
          <w:sz w:val="22"/>
          <w:szCs w:val="22"/>
        </w:rPr>
      </w:pPr>
    </w:p>
    <w:p w14:paraId="7DCEA293" w14:textId="34422871" w:rsidR="00EB5785" w:rsidRPr="00653948" w:rsidRDefault="00EB5785" w:rsidP="00EB5785">
      <w:pPr>
        <w:pStyle w:val="BodyTextIndent3"/>
        <w:numPr>
          <w:ilvl w:val="0"/>
          <w:numId w:val="34"/>
        </w:numPr>
        <w:rPr>
          <w:rFonts w:ascii="Arial" w:hAnsi="Arial" w:cs="Arial"/>
          <w:sz w:val="22"/>
          <w:szCs w:val="22"/>
        </w:rPr>
      </w:pPr>
      <w:r w:rsidRPr="000164A3">
        <w:rPr>
          <w:rFonts w:ascii="Arial" w:hAnsi="Arial" w:cs="Arial"/>
          <w:i/>
          <w:sz w:val="22"/>
          <w:szCs w:val="22"/>
        </w:rPr>
        <w:t>First</w:t>
      </w:r>
      <w:r w:rsidRPr="00653948">
        <w:rPr>
          <w:rFonts w:ascii="Arial" w:hAnsi="Arial" w:cs="Arial"/>
          <w:sz w:val="22"/>
          <w:szCs w:val="22"/>
        </w:rPr>
        <w:t>, the general approach of the courts to late applications for judicial review is undoubtedly more stringent now than in the early days of the jurisdiction. Much greater rigour is shown in deciding that in a particular case promptness required the application to be made sooner than the outer time limit of 3 months. A claim will not necessarily be made promptly simply because it has been made within the 3 month</w:t>
      </w:r>
      <w:r w:rsidR="000164A3">
        <w:rPr>
          <w:rFonts w:ascii="Arial" w:hAnsi="Arial" w:cs="Arial"/>
          <w:sz w:val="22"/>
          <w:szCs w:val="22"/>
        </w:rPr>
        <w:t>s’</w:t>
      </w:r>
      <w:r w:rsidRPr="00653948">
        <w:rPr>
          <w:rFonts w:ascii="Arial" w:hAnsi="Arial" w:cs="Arial"/>
          <w:sz w:val="22"/>
          <w:szCs w:val="22"/>
        </w:rPr>
        <w:t xml:space="preserve"> period. It cannot be stressed enough that the requirement to proceed “</w:t>
      </w:r>
      <w:r w:rsidRPr="003A6818">
        <w:rPr>
          <w:rFonts w:ascii="Arial" w:hAnsi="Arial" w:cs="Arial"/>
          <w:i/>
          <w:sz w:val="22"/>
          <w:szCs w:val="22"/>
        </w:rPr>
        <w:t>promptly</w:t>
      </w:r>
      <w:r w:rsidRPr="00653948">
        <w:rPr>
          <w:rFonts w:ascii="Arial" w:hAnsi="Arial" w:cs="Arial"/>
          <w:sz w:val="22"/>
          <w:szCs w:val="22"/>
        </w:rPr>
        <w:t>” may require proceedings to be brought within (and sometimes well within) the 3 month</w:t>
      </w:r>
      <w:r w:rsidR="000164A3">
        <w:rPr>
          <w:rFonts w:ascii="Arial" w:hAnsi="Arial" w:cs="Arial"/>
          <w:sz w:val="22"/>
          <w:szCs w:val="22"/>
        </w:rPr>
        <w:t>s’</w:t>
      </w:r>
      <w:r w:rsidRPr="00653948">
        <w:rPr>
          <w:rFonts w:ascii="Arial" w:hAnsi="Arial" w:cs="Arial"/>
          <w:sz w:val="22"/>
          <w:szCs w:val="22"/>
        </w:rPr>
        <w:t xml:space="preserve"> period: see e.g. </w:t>
      </w:r>
      <w:r w:rsidRPr="003A6818">
        <w:rPr>
          <w:rFonts w:ascii="Arial" w:hAnsi="Arial" w:cs="Arial"/>
          <w:b/>
          <w:i/>
          <w:sz w:val="22"/>
          <w:szCs w:val="22"/>
        </w:rPr>
        <w:t>R v Independent Television Commission</w:t>
      </w:r>
      <w:r w:rsidR="00C10D1E" w:rsidRPr="003A6818">
        <w:rPr>
          <w:rFonts w:ascii="Arial" w:hAnsi="Arial" w:cs="Arial"/>
          <w:b/>
          <w:i/>
          <w:sz w:val="22"/>
          <w:szCs w:val="22"/>
        </w:rPr>
        <w:t>,</w:t>
      </w:r>
      <w:r w:rsidRPr="003A6818">
        <w:rPr>
          <w:rFonts w:ascii="Arial" w:hAnsi="Arial" w:cs="Arial"/>
          <w:b/>
          <w:i/>
          <w:sz w:val="22"/>
          <w:szCs w:val="22"/>
        </w:rPr>
        <w:t xml:space="preserve"> ex p. TV</w:t>
      </w:r>
      <w:r w:rsidR="000164A3" w:rsidRPr="003A6818">
        <w:rPr>
          <w:rFonts w:ascii="Arial" w:hAnsi="Arial" w:cs="Arial"/>
          <w:b/>
          <w:i/>
          <w:sz w:val="22"/>
          <w:szCs w:val="22"/>
        </w:rPr>
        <w:t xml:space="preserve"> </w:t>
      </w:r>
      <w:r w:rsidRPr="003A6818">
        <w:rPr>
          <w:rFonts w:ascii="Arial" w:hAnsi="Arial" w:cs="Arial"/>
          <w:b/>
          <w:i/>
          <w:sz w:val="22"/>
          <w:szCs w:val="22"/>
        </w:rPr>
        <w:t>NI Ltd</w:t>
      </w:r>
      <w:r w:rsidR="003A6818">
        <w:rPr>
          <w:rFonts w:ascii="Arial" w:hAnsi="Arial" w:cs="Arial"/>
          <w:b/>
          <w:sz w:val="22"/>
          <w:szCs w:val="22"/>
        </w:rPr>
        <w:t>.</w:t>
      </w:r>
      <w:r w:rsidR="000164A3">
        <w:rPr>
          <w:rFonts w:ascii="Arial" w:hAnsi="Arial" w:cs="Arial"/>
          <w:sz w:val="22"/>
          <w:szCs w:val="22"/>
        </w:rPr>
        <w:t>,</w:t>
      </w:r>
      <w:r w:rsidRPr="00653948">
        <w:rPr>
          <w:rFonts w:ascii="Arial" w:hAnsi="Arial" w:cs="Arial"/>
          <w:sz w:val="22"/>
          <w:szCs w:val="22"/>
        </w:rPr>
        <w:t xml:space="preserve"> Times 30</w:t>
      </w:r>
      <w:r w:rsidRPr="00653948">
        <w:rPr>
          <w:rFonts w:ascii="Arial" w:hAnsi="Arial" w:cs="Arial"/>
          <w:sz w:val="22"/>
          <w:szCs w:val="22"/>
          <w:vertAlign w:val="superscript"/>
        </w:rPr>
        <w:t>th</w:t>
      </w:r>
      <w:r w:rsidRPr="00653948">
        <w:rPr>
          <w:rFonts w:ascii="Arial" w:hAnsi="Arial" w:cs="Arial"/>
          <w:sz w:val="22"/>
          <w:szCs w:val="22"/>
        </w:rPr>
        <w:t xml:space="preserve"> December 1991</w:t>
      </w:r>
      <w:r w:rsidR="003A6818">
        <w:rPr>
          <w:rFonts w:ascii="Arial" w:hAnsi="Arial" w:cs="Arial"/>
          <w:sz w:val="22"/>
          <w:szCs w:val="22"/>
        </w:rPr>
        <w:t>, CA</w:t>
      </w:r>
      <w:r w:rsidRPr="00653948">
        <w:rPr>
          <w:rFonts w:ascii="Arial" w:hAnsi="Arial" w:cs="Arial"/>
          <w:sz w:val="22"/>
          <w:szCs w:val="22"/>
        </w:rPr>
        <w:t>. That is especially so where the defendant, or a third party, is likely to enter into commitments on the faith of the challenged decision; or where the striking down of that decision is likely to lead to substantial disruption affecting many persons. Examples might include the granting of commercially valuable licences, the grant of planning permission, or decisions about the allocation of school places.</w:t>
      </w:r>
    </w:p>
    <w:p w14:paraId="7B3FE0ED" w14:textId="77777777" w:rsidR="00EB5785" w:rsidRPr="00653948" w:rsidRDefault="00EB5785" w:rsidP="00EB5785">
      <w:pPr>
        <w:pStyle w:val="BodyTextIndent3"/>
        <w:ind w:left="0"/>
        <w:rPr>
          <w:rFonts w:ascii="Arial" w:hAnsi="Arial" w:cs="Arial"/>
          <w:sz w:val="22"/>
          <w:szCs w:val="22"/>
        </w:rPr>
      </w:pPr>
    </w:p>
    <w:p w14:paraId="5CA4EA4B" w14:textId="23BB29FB"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Further, whilst applications made within that 3 month</w:t>
      </w:r>
      <w:r w:rsidR="000164A3">
        <w:rPr>
          <w:rFonts w:ascii="Arial" w:hAnsi="Arial" w:cs="Arial"/>
          <w:sz w:val="22"/>
          <w:szCs w:val="22"/>
        </w:rPr>
        <w:t>s’</w:t>
      </w:r>
      <w:r w:rsidRPr="00653948">
        <w:rPr>
          <w:rFonts w:ascii="Arial" w:hAnsi="Arial" w:cs="Arial"/>
          <w:sz w:val="22"/>
          <w:szCs w:val="22"/>
        </w:rPr>
        <w:t xml:space="preserve"> period are generally unlikely to fail in the absence of prejudice to any other party arising from a failure to apply sooner, an application made outside the 3 month</w:t>
      </w:r>
      <w:r w:rsidR="00C10D1E">
        <w:rPr>
          <w:rFonts w:ascii="Arial" w:hAnsi="Arial" w:cs="Arial"/>
          <w:sz w:val="22"/>
          <w:szCs w:val="22"/>
        </w:rPr>
        <w:t>s’</w:t>
      </w:r>
      <w:r w:rsidRPr="00653948">
        <w:rPr>
          <w:rFonts w:ascii="Arial" w:hAnsi="Arial" w:cs="Arial"/>
          <w:sz w:val="22"/>
          <w:szCs w:val="22"/>
        </w:rPr>
        <w:t xml:space="preserve"> period without good reason is likely to fail irrespective of prejudice – a view confirmed in </w:t>
      </w:r>
      <w:r w:rsidRPr="003A6818">
        <w:rPr>
          <w:rFonts w:ascii="Arial" w:hAnsi="Arial" w:cs="Arial"/>
          <w:b/>
          <w:i/>
          <w:sz w:val="22"/>
          <w:szCs w:val="22"/>
        </w:rPr>
        <w:t>Melton v Uttlesford DC</w:t>
      </w:r>
      <w:r w:rsidRPr="00653948">
        <w:rPr>
          <w:rFonts w:ascii="Arial" w:hAnsi="Arial" w:cs="Arial"/>
          <w:i/>
          <w:sz w:val="22"/>
          <w:szCs w:val="22"/>
        </w:rPr>
        <w:t xml:space="preserve"> </w:t>
      </w:r>
      <w:r w:rsidRPr="00653948">
        <w:rPr>
          <w:rFonts w:ascii="Arial" w:hAnsi="Arial" w:cs="Arial"/>
          <w:sz w:val="22"/>
          <w:szCs w:val="22"/>
        </w:rPr>
        <w:t>[2009] EWHC 2845 (Admin)</w:t>
      </w:r>
      <w:r w:rsidR="003A6818">
        <w:rPr>
          <w:rFonts w:ascii="Arial" w:hAnsi="Arial" w:cs="Arial"/>
          <w:sz w:val="22"/>
          <w:szCs w:val="22"/>
        </w:rPr>
        <w:t>, [2010] LLR 57</w:t>
      </w:r>
      <w:r w:rsidRPr="00653948">
        <w:rPr>
          <w:rFonts w:ascii="Arial" w:hAnsi="Arial" w:cs="Arial"/>
          <w:sz w:val="22"/>
          <w:szCs w:val="22"/>
        </w:rPr>
        <w:t>. At one point</w:t>
      </w:r>
      <w:r w:rsidR="00C10D1E">
        <w:rPr>
          <w:rFonts w:ascii="Arial" w:hAnsi="Arial" w:cs="Arial"/>
          <w:sz w:val="22"/>
          <w:szCs w:val="22"/>
        </w:rPr>
        <w:t>,</w:t>
      </w:r>
      <w:r w:rsidRPr="00653948">
        <w:rPr>
          <w:rFonts w:ascii="Arial" w:hAnsi="Arial" w:cs="Arial"/>
          <w:sz w:val="22"/>
          <w:szCs w:val="22"/>
        </w:rPr>
        <w:t xml:space="preserve"> it looked as if the pendulum might be about to swing the other way, as a result of comments made by the House of Lords (in particular Lord Steyn) in </w:t>
      </w:r>
      <w:r w:rsidRPr="003A6818">
        <w:rPr>
          <w:rFonts w:ascii="Arial" w:hAnsi="Arial" w:cs="Arial"/>
          <w:b/>
          <w:i/>
          <w:sz w:val="22"/>
          <w:szCs w:val="22"/>
        </w:rPr>
        <w:t xml:space="preserve">R </w:t>
      </w:r>
      <w:r w:rsidR="000164A3" w:rsidRPr="003A6818">
        <w:rPr>
          <w:rFonts w:ascii="Arial" w:hAnsi="Arial" w:cs="Arial"/>
          <w:b/>
          <w:i/>
          <w:sz w:val="22"/>
          <w:szCs w:val="22"/>
        </w:rPr>
        <w:t xml:space="preserve">(Burkett) </w:t>
      </w:r>
      <w:r w:rsidRPr="003A6818">
        <w:rPr>
          <w:rFonts w:ascii="Arial" w:hAnsi="Arial" w:cs="Arial"/>
          <w:b/>
          <w:i/>
          <w:sz w:val="22"/>
          <w:szCs w:val="22"/>
        </w:rPr>
        <w:t xml:space="preserve">v Hammersmith &amp; Fulham LBC </w:t>
      </w:r>
      <w:r w:rsidR="000164A3" w:rsidRPr="003A6818">
        <w:rPr>
          <w:rFonts w:ascii="Arial" w:hAnsi="Arial" w:cs="Arial"/>
          <w:b/>
          <w:i/>
          <w:sz w:val="22"/>
          <w:szCs w:val="22"/>
        </w:rPr>
        <w:t>(No.1)</w:t>
      </w:r>
      <w:r w:rsidRPr="003A6818">
        <w:rPr>
          <w:rFonts w:ascii="Arial" w:hAnsi="Arial" w:cs="Arial"/>
          <w:b/>
          <w:sz w:val="22"/>
          <w:szCs w:val="22"/>
        </w:rPr>
        <w:t xml:space="preserve"> </w:t>
      </w:r>
      <w:r w:rsidR="003A6818" w:rsidRPr="003A6818">
        <w:rPr>
          <w:rFonts w:ascii="Arial" w:hAnsi="Arial" w:cs="Arial"/>
          <w:sz w:val="22"/>
          <w:szCs w:val="22"/>
        </w:rPr>
        <w:t>[2002] UKHL 23,</w:t>
      </w:r>
      <w:r w:rsidR="003A6818">
        <w:rPr>
          <w:rFonts w:ascii="Arial" w:hAnsi="Arial" w:cs="Arial"/>
          <w:b/>
          <w:sz w:val="22"/>
          <w:szCs w:val="22"/>
        </w:rPr>
        <w:t xml:space="preserve"> </w:t>
      </w:r>
      <w:r w:rsidRPr="00653948">
        <w:rPr>
          <w:rFonts w:ascii="Arial" w:hAnsi="Arial" w:cs="Arial"/>
          <w:sz w:val="22"/>
          <w:szCs w:val="22"/>
        </w:rPr>
        <w:t>[2002] 1 WLR 1593. There were suggestions that a generalised requirement of “</w:t>
      </w:r>
      <w:r w:rsidRPr="003A6818">
        <w:rPr>
          <w:rFonts w:ascii="Arial" w:hAnsi="Arial" w:cs="Arial"/>
          <w:i/>
          <w:sz w:val="22"/>
          <w:szCs w:val="22"/>
        </w:rPr>
        <w:t>promptness</w:t>
      </w:r>
      <w:r w:rsidRPr="00653948">
        <w:rPr>
          <w:rFonts w:ascii="Arial" w:hAnsi="Arial" w:cs="Arial"/>
          <w:sz w:val="22"/>
          <w:szCs w:val="22"/>
        </w:rPr>
        <w:t xml:space="preserve">” might be too unspecific to be compliant with ECHR Article 6.  </w:t>
      </w:r>
      <w:r>
        <w:rPr>
          <w:rFonts w:ascii="Arial" w:hAnsi="Arial" w:cs="Arial"/>
          <w:sz w:val="22"/>
          <w:szCs w:val="22"/>
        </w:rPr>
        <w:t xml:space="preserve">This </w:t>
      </w:r>
      <w:r w:rsidRPr="00653948">
        <w:rPr>
          <w:rFonts w:ascii="Arial" w:hAnsi="Arial" w:cs="Arial"/>
          <w:sz w:val="22"/>
          <w:szCs w:val="22"/>
        </w:rPr>
        <w:t xml:space="preserve">suggestion was subsequently rejected in a number of cases, pointing out that a challenge to the promptness requirement failed in </w:t>
      </w:r>
      <w:r w:rsidRPr="003A6818">
        <w:rPr>
          <w:rFonts w:ascii="Arial" w:hAnsi="Arial" w:cs="Arial"/>
          <w:b/>
          <w:i/>
          <w:sz w:val="22"/>
          <w:szCs w:val="22"/>
        </w:rPr>
        <w:t>Lam v UK</w:t>
      </w:r>
      <w:r w:rsidR="000164A3">
        <w:rPr>
          <w:rFonts w:ascii="Arial" w:hAnsi="Arial" w:cs="Arial"/>
          <w:sz w:val="22"/>
          <w:szCs w:val="22"/>
        </w:rPr>
        <w:t xml:space="preserve"> (A</w:t>
      </w:r>
      <w:r w:rsidRPr="00653948">
        <w:rPr>
          <w:rFonts w:ascii="Arial" w:hAnsi="Arial" w:cs="Arial"/>
          <w:sz w:val="22"/>
          <w:szCs w:val="22"/>
        </w:rPr>
        <w:t>pplic</w:t>
      </w:r>
      <w:r w:rsidR="000164A3">
        <w:rPr>
          <w:rFonts w:ascii="Arial" w:hAnsi="Arial" w:cs="Arial"/>
          <w:sz w:val="22"/>
          <w:szCs w:val="22"/>
        </w:rPr>
        <w:t>atio</w:t>
      </w:r>
      <w:r w:rsidRPr="00653948">
        <w:rPr>
          <w:rFonts w:ascii="Arial" w:hAnsi="Arial" w:cs="Arial"/>
          <w:sz w:val="22"/>
          <w:szCs w:val="22"/>
        </w:rPr>
        <w:t>n</w:t>
      </w:r>
      <w:r w:rsidR="000164A3">
        <w:rPr>
          <w:rFonts w:ascii="Arial" w:hAnsi="Arial" w:cs="Arial"/>
          <w:sz w:val="22"/>
          <w:szCs w:val="22"/>
        </w:rPr>
        <w:t xml:space="preserve"> No.</w:t>
      </w:r>
      <w:r w:rsidRPr="00653948">
        <w:rPr>
          <w:rFonts w:ascii="Arial" w:hAnsi="Arial" w:cs="Arial"/>
          <w:sz w:val="22"/>
          <w:szCs w:val="22"/>
        </w:rPr>
        <w:t xml:space="preserve">41671/98). The argument was firmly rejected by the Court of Appeal in </w:t>
      </w:r>
      <w:r w:rsidRPr="003A6818">
        <w:rPr>
          <w:rFonts w:ascii="Arial" w:hAnsi="Arial" w:cs="Arial"/>
          <w:b/>
          <w:i/>
          <w:sz w:val="22"/>
          <w:szCs w:val="22"/>
        </w:rPr>
        <w:t>R (Hardy) v Pembrokeshire CC</w:t>
      </w:r>
      <w:r w:rsidRPr="00653948">
        <w:rPr>
          <w:rFonts w:ascii="Arial" w:hAnsi="Arial" w:cs="Arial"/>
          <w:i/>
          <w:sz w:val="22"/>
          <w:szCs w:val="22"/>
        </w:rPr>
        <w:t xml:space="preserve"> </w:t>
      </w:r>
      <w:r w:rsidR="003A6818">
        <w:rPr>
          <w:rFonts w:ascii="Arial" w:hAnsi="Arial" w:cs="Arial"/>
          <w:sz w:val="22"/>
          <w:szCs w:val="22"/>
        </w:rPr>
        <w:t xml:space="preserve">[2006] EWCA Civ 240, </w:t>
      </w:r>
      <w:r w:rsidRPr="00653948">
        <w:rPr>
          <w:rFonts w:ascii="Arial" w:hAnsi="Arial" w:cs="Arial"/>
          <w:sz w:val="22"/>
          <w:szCs w:val="22"/>
        </w:rPr>
        <w:t>[2006] Env</w:t>
      </w:r>
      <w:r>
        <w:rPr>
          <w:rFonts w:ascii="Arial" w:hAnsi="Arial" w:cs="Arial"/>
          <w:sz w:val="22"/>
          <w:szCs w:val="22"/>
        </w:rPr>
        <w:t xml:space="preserve"> LR 28</w:t>
      </w:r>
      <w:r w:rsidR="00C10D1E">
        <w:rPr>
          <w:rFonts w:ascii="Arial" w:hAnsi="Arial" w:cs="Arial"/>
          <w:sz w:val="22"/>
          <w:szCs w:val="22"/>
        </w:rPr>
        <w:t>. H</w:t>
      </w:r>
      <w:r>
        <w:rPr>
          <w:rFonts w:ascii="Arial" w:hAnsi="Arial" w:cs="Arial"/>
          <w:sz w:val="22"/>
          <w:szCs w:val="22"/>
        </w:rPr>
        <w:t xml:space="preserve">owever, this line of authority may need to be reconsidered in light of the </w:t>
      </w:r>
      <w:r w:rsidR="000164A3">
        <w:rPr>
          <w:rFonts w:ascii="Arial" w:hAnsi="Arial" w:cs="Arial"/>
          <w:sz w:val="22"/>
          <w:szCs w:val="22"/>
        </w:rPr>
        <w:t>CJEU’s</w:t>
      </w:r>
      <w:r>
        <w:rPr>
          <w:rFonts w:ascii="Arial" w:hAnsi="Arial" w:cs="Arial"/>
          <w:sz w:val="22"/>
          <w:szCs w:val="22"/>
        </w:rPr>
        <w:t xml:space="preserve"> judgment in </w:t>
      </w:r>
      <w:r w:rsidRPr="003A6818">
        <w:rPr>
          <w:rFonts w:ascii="Arial" w:hAnsi="Arial" w:cs="Arial"/>
          <w:b/>
          <w:i/>
          <w:sz w:val="22"/>
          <w:szCs w:val="22"/>
        </w:rPr>
        <w:t>Uniplex</w:t>
      </w:r>
      <w:r>
        <w:rPr>
          <w:rFonts w:ascii="Arial" w:hAnsi="Arial" w:cs="Arial"/>
          <w:i/>
          <w:sz w:val="22"/>
          <w:szCs w:val="22"/>
        </w:rPr>
        <w:t xml:space="preserve"> </w:t>
      </w:r>
      <w:r>
        <w:rPr>
          <w:rFonts w:ascii="Arial" w:hAnsi="Arial" w:cs="Arial"/>
          <w:sz w:val="22"/>
          <w:szCs w:val="22"/>
        </w:rPr>
        <w:t xml:space="preserve">(see below). </w:t>
      </w:r>
      <w:r w:rsidR="00553900">
        <w:rPr>
          <w:rFonts w:ascii="Arial" w:hAnsi="Arial" w:cs="Arial"/>
          <w:sz w:val="22"/>
          <w:szCs w:val="22"/>
        </w:rPr>
        <w:t xml:space="preserve">In </w:t>
      </w:r>
      <w:r w:rsidR="00553900" w:rsidRPr="003A6818">
        <w:rPr>
          <w:rFonts w:ascii="Arial" w:hAnsi="Arial" w:cs="Arial"/>
          <w:b/>
          <w:i/>
          <w:sz w:val="22"/>
          <w:szCs w:val="22"/>
        </w:rPr>
        <w:t>Mulvenna v Secretary of State for Communities and Local Government</w:t>
      </w:r>
      <w:r w:rsidR="00553900">
        <w:rPr>
          <w:rFonts w:ascii="Arial" w:hAnsi="Arial" w:cs="Arial"/>
          <w:sz w:val="22"/>
          <w:szCs w:val="22"/>
        </w:rPr>
        <w:t xml:space="preserve"> [2015] EWHC 3494 (Admin)</w:t>
      </w:r>
      <w:r w:rsidR="003A6818">
        <w:rPr>
          <w:rFonts w:ascii="Arial" w:hAnsi="Arial" w:cs="Arial"/>
          <w:sz w:val="22"/>
          <w:szCs w:val="22"/>
        </w:rPr>
        <w:t>, [2016] JPL 487,</w:t>
      </w:r>
      <w:r w:rsidR="00553900">
        <w:rPr>
          <w:rFonts w:ascii="Arial" w:hAnsi="Arial" w:cs="Arial"/>
          <w:sz w:val="22"/>
          <w:szCs w:val="22"/>
        </w:rPr>
        <w:t xml:space="preserve"> Cranston J held that a claimant’s waiting to see if another </w:t>
      </w:r>
      <w:r w:rsidR="00030B68">
        <w:rPr>
          <w:rFonts w:ascii="Arial" w:hAnsi="Arial" w:cs="Arial"/>
          <w:sz w:val="22"/>
          <w:szCs w:val="22"/>
        </w:rPr>
        <w:t>legal challenge succeeded was not a good excuse for extending time (even though the other claim did indeed succeed).</w:t>
      </w:r>
    </w:p>
    <w:p w14:paraId="3DBD2560" w14:textId="77777777" w:rsidR="00EB5785" w:rsidRPr="00653948" w:rsidRDefault="00EB5785" w:rsidP="00EB5785">
      <w:pPr>
        <w:pStyle w:val="BodyTextIndent3"/>
        <w:ind w:left="0"/>
        <w:rPr>
          <w:rFonts w:ascii="Arial" w:hAnsi="Arial" w:cs="Arial"/>
          <w:sz w:val="22"/>
          <w:szCs w:val="22"/>
        </w:rPr>
      </w:pPr>
    </w:p>
    <w:p w14:paraId="1C4F9D75" w14:textId="4D0E298C" w:rsidR="00EB5785" w:rsidRPr="00653948" w:rsidRDefault="00EB5785" w:rsidP="00EB5785">
      <w:pPr>
        <w:pStyle w:val="BodyTextIndent3"/>
        <w:numPr>
          <w:ilvl w:val="0"/>
          <w:numId w:val="34"/>
        </w:numPr>
        <w:rPr>
          <w:rFonts w:ascii="Arial" w:hAnsi="Arial" w:cs="Arial"/>
          <w:sz w:val="22"/>
          <w:szCs w:val="22"/>
        </w:rPr>
      </w:pPr>
      <w:r w:rsidRPr="00640AFB">
        <w:rPr>
          <w:rFonts w:ascii="Arial" w:hAnsi="Arial" w:cs="Arial"/>
          <w:i/>
          <w:sz w:val="22"/>
          <w:szCs w:val="22"/>
        </w:rPr>
        <w:t>Secondly</w:t>
      </w:r>
      <w:r w:rsidRPr="00653948">
        <w:rPr>
          <w:rFonts w:ascii="Arial" w:hAnsi="Arial" w:cs="Arial"/>
          <w:sz w:val="22"/>
          <w:szCs w:val="22"/>
        </w:rPr>
        <w:t xml:space="preserve">, however, where the Strasbourg court declined to intervene, the Luxembourg court has been bolder.  In the very important decision of C-406/08 </w:t>
      </w:r>
      <w:r w:rsidRPr="003A6818">
        <w:rPr>
          <w:rFonts w:ascii="Arial" w:hAnsi="Arial" w:cs="Arial"/>
          <w:b/>
          <w:i/>
          <w:sz w:val="22"/>
          <w:szCs w:val="22"/>
        </w:rPr>
        <w:t xml:space="preserve">Uniplex </w:t>
      </w:r>
      <w:r w:rsidR="00640AFB" w:rsidRPr="003A6818">
        <w:rPr>
          <w:rFonts w:ascii="Arial" w:hAnsi="Arial" w:cs="Arial"/>
          <w:b/>
          <w:i/>
          <w:sz w:val="22"/>
          <w:szCs w:val="22"/>
        </w:rPr>
        <w:t xml:space="preserve">(UK) Ltd v NHS Business Services Authority </w:t>
      </w:r>
      <w:r w:rsidRPr="00653948">
        <w:rPr>
          <w:rFonts w:ascii="Arial" w:hAnsi="Arial" w:cs="Arial"/>
          <w:sz w:val="22"/>
          <w:szCs w:val="22"/>
        </w:rPr>
        <w:t xml:space="preserve">[2010] </w:t>
      </w:r>
      <w:r w:rsidR="003A6818">
        <w:rPr>
          <w:rFonts w:ascii="Arial" w:hAnsi="Arial" w:cs="Arial"/>
          <w:sz w:val="22"/>
          <w:szCs w:val="22"/>
        </w:rPr>
        <w:t>PTSR 1377</w:t>
      </w:r>
      <w:r w:rsidRPr="00653948">
        <w:rPr>
          <w:rFonts w:ascii="Arial" w:hAnsi="Arial" w:cs="Arial"/>
          <w:sz w:val="22"/>
          <w:szCs w:val="22"/>
        </w:rPr>
        <w:t xml:space="preserve">, the CJEU held that the (then) time limit for bringing claims under the Public Contracts Regulations 2006 (promptly and in any event within 3 months) was contrary to EU law effective remedy requirements in certain respects. </w:t>
      </w:r>
      <w:r w:rsidR="00640AFB" w:rsidRPr="00640AFB">
        <w:rPr>
          <w:rFonts w:ascii="Arial" w:hAnsi="Arial" w:cs="Arial"/>
          <w:sz w:val="22"/>
          <w:szCs w:val="22"/>
        </w:rPr>
        <w:t>The CJEU</w:t>
      </w:r>
      <w:r w:rsidRPr="00653948">
        <w:rPr>
          <w:rFonts w:ascii="Arial" w:hAnsi="Arial" w:cs="Arial"/>
          <w:i/>
          <w:sz w:val="22"/>
          <w:szCs w:val="22"/>
        </w:rPr>
        <w:t xml:space="preserve"> </w:t>
      </w:r>
      <w:r w:rsidRPr="00653948">
        <w:rPr>
          <w:rFonts w:ascii="Arial" w:hAnsi="Arial" w:cs="Arial"/>
          <w:sz w:val="22"/>
          <w:szCs w:val="22"/>
        </w:rPr>
        <w:t>held that EU law precludes a national provision which allows a national court to dismiss, as being out of time, proceedings on the basis of the criterion, appra</w:t>
      </w:r>
      <w:r>
        <w:rPr>
          <w:rFonts w:ascii="Arial" w:hAnsi="Arial" w:cs="Arial"/>
          <w:sz w:val="22"/>
          <w:szCs w:val="22"/>
        </w:rPr>
        <w:t>ised in a discretionary manner,</w:t>
      </w:r>
      <w:r w:rsidR="00640AFB">
        <w:rPr>
          <w:rFonts w:ascii="Arial" w:hAnsi="Arial" w:cs="Arial"/>
          <w:sz w:val="22"/>
          <w:szCs w:val="22"/>
        </w:rPr>
        <w:t xml:space="preserve"> </w:t>
      </w:r>
      <w:r w:rsidRPr="00653948">
        <w:rPr>
          <w:rFonts w:ascii="Arial" w:hAnsi="Arial" w:cs="Arial"/>
          <w:sz w:val="22"/>
          <w:szCs w:val="22"/>
        </w:rPr>
        <w:t xml:space="preserve">that such proceedings must be brought promptly. </w:t>
      </w:r>
    </w:p>
    <w:p w14:paraId="35585338" w14:textId="77777777" w:rsidR="00EB5785" w:rsidRPr="00653948" w:rsidRDefault="00EB5785" w:rsidP="00EB5785">
      <w:pPr>
        <w:pStyle w:val="BodyTextIndent3"/>
        <w:ind w:left="0"/>
        <w:rPr>
          <w:rFonts w:ascii="Arial" w:hAnsi="Arial" w:cs="Arial"/>
          <w:sz w:val="22"/>
          <w:szCs w:val="22"/>
        </w:rPr>
      </w:pPr>
    </w:p>
    <w:p w14:paraId="187D4A49" w14:textId="5FB39BDE"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lastRenderedPageBreak/>
        <w:t xml:space="preserve">Although the decision related to the specific legislation governing public procurement, the CJEU’s reliance on general principles of EU law (effectiveness and legal certainty) in reaching this conclusion suggested that the same approach should be taken in the context of JR claims involving directly effective EU law. That view has now been confirmed both in </w:t>
      </w:r>
      <w:r w:rsidRPr="003A6818">
        <w:rPr>
          <w:rFonts w:ascii="Arial" w:hAnsi="Arial" w:cs="Arial"/>
          <w:b/>
          <w:i/>
          <w:sz w:val="22"/>
          <w:szCs w:val="22"/>
        </w:rPr>
        <w:t>R (Buglife) v Medway Council</w:t>
      </w:r>
      <w:r w:rsidRPr="00653948">
        <w:rPr>
          <w:rFonts w:ascii="Arial" w:hAnsi="Arial" w:cs="Arial"/>
          <w:i/>
          <w:sz w:val="22"/>
          <w:szCs w:val="22"/>
        </w:rPr>
        <w:t xml:space="preserve"> </w:t>
      </w:r>
      <w:r w:rsidRPr="00653948">
        <w:rPr>
          <w:rFonts w:ascii="Arial" w:hAnsi="Arial" w:cs="Arial"/>
          <w:sz w:val="22"/>
          <w:szCs w:val="22"/>
        </w:rPr>
        <w:t>[2011] EWHC 746 (Admin)</w:t>
      </w:r>
      <w:r w:rsidR="003A6818">
        <w:rPr>
          <w:rFonts w:ascii="Arial" w:hAnsi="Arial" w:cs="Arial"/>
          <w:sz w:val="22"/>
          <w:szCs w:val="22"/>
        </w:rPr>
        <w:t>, [2011] 3 CMLR 39,</w:t>
      </w:r>
      <w:r w:rsidRPr="00653948">
        <w:rPr>
          <w:rFonts w:ascii="Arial" w:hAnsi="Arial" w:cs="Arial"/>
          <w:sz w:val="22"/>
          <w:szCs w:val="22"/>
        </w:rPr>
        <w:t xml:space="preserve"> and in </w:t>
      </w:r>
      <w:r w:rsidRPr="003A6818">
        <w:rPr>
          <w:rFonts w:ascii="Arial" w:hAnsi="Arial" w:cs="Arial"/>
          <w:b/>
          <w:i/>
          <w:sz w:val="22"/>
          <w:szCs w:val="22"/>
        </w:rPr>
        <w:t>R (U &amp; Partners (East Anglia) Ltd</w:t>
      </w:r>
      <w:r w:rsidR="003A6818" w:rsidRPr="003A6818">
        <w:rPr>
          <w:rFonts w:ascii="Arial" w:hAnsi="Arial" w:cs="Arial"/>
          <w:b/>
          <w:i/>
          <w:sz w:val="22"/>
          <w:szCs w:val="22"/>
        </w:rPr>
        <w:t>.</w:t>
      </w:r>
      <w:r w:rsidRPr="003A6818">
        <w:rPr>
          <w:rFonts w:ascii="Arial" w:hAnsi="Arial" w:cs="Arial"/>
          <w:b/>
          <w:i/>
          <w:sz w:val="22"/>
          <w:szCs w:val="22"/>
        </w:rPr>
        <w:t>) v Broads Authority</w:t>
      </w:r>
      <w:r w:rsidRPr="00653948">
        <w:rPr>
          <w:rFonts w:ascii="Arial" w:hAnsi="Arial" w:cs="Arial"/>
          <w:i/>
          <w:sz w:val="22"/>
          <w:szCs w:val="22"/>
        </w:rPr>
        <w:t xml:space="preserve"> </w:t>
      </w:r>
      <w:r w:rsidRPr="00653948">
        <w:rPr>
          <w:rFonts w:ascii="Arial" w:hAnsi="Arial" w:cs="Arial"/>
          <w:sz w:val="22"/>
          <w:szCs w:val="22"/>
        </w:rPr>
        <w:t>[2011] EWHC 1824 (Admin),</w:t>
      </w:r>
      <w:r w:rsidR="003A6818">
        <w:rPr>
          <w:rFonts w:ascii="Arial" w:hAnsi="Arial" w:cs="Arial"/>
          <w:sz w:val="22"/>
          <w:szCs w:val="22"/>
        </w:rPr>
        <w:t xml:space="preserve"> [2012] Env LR 5,</w:t>
      </w:r>
      <w:r w:rsidRPr="00653948">
        <w:rPr>
          <w:rFonts w:ascii="Arial" w:hAnsi="Arial" w:cs="Arial"/>
          <w:sz w:val="22"/>
          <w:szCs w:val="22"/>
        </w:rPr>
        <w:t xml:space="preserve"> the latter case also making clear both that the case must be one in which there is an (alleged) breach of EU law (as opposed to merely being a case in which the decision in question was subject to EU law, but the breach is of another kind), and that where </w:t>
      </w:r>
      <w:r w:rsidRPr="003A6818">
        <w:rPr>
          <w:rFonts w:ascii="Arial" w:hAnsi="Arial" w:cs="Arial"/>
          <w:b/>
          <w:i/>
          <w:sz w:val="22"/>
          <w:szCs w:val="22"/>
        </w:rPr>
        <w:t>Uniplex</w:t>
      </w:r>
      <w:r w:rsidRPr="00653948">
        <w:rPr>
          <w:rFonts w:ascii="Arial" w:hAnsi="Arial" w:cs="Arial"/>
          <w:i/>
          <w:sz w:val="22"/>
          <w:szCs w:val="22"/>
        </w:rPr>
        <w:t xml:space="preserve"> </w:t>
      </w:r>
      <w:r w:rsidRPr="00653948">
        <w:rPr>
          <w:rFonts w:ascii="Arial" w:hAnsi="Arial" w:cs="Arial"/>
          <w:sz w:val="22"/>
          <w:szCs w:val="22"/>
        </w:rPr>
        <w:t>applies there can equally be no withholding of relief on the ground of delay in bringing the claim.</w:t>
      </w:r>
    </w:p>
    <w:p w14:paraId="19979C2D" w14:textId="77777777" w:rsidR="00EB5785" w:rsidRPr="00653948" w:rsidRDefault="00EB5785" w:rsidP="00EB5785">
      <w:pPr>
        <w:pStyle w:val="BodyTextIndent3"/>
        <w:ind w:left="0"/>
        <w:rPr>
          <w:rFonts w:ascii="Arial" w:hAnsi="Arial" w:cs="Arial"/>
          <w:sz w:val="22"/>
          <w:szCs w:val="22"/>
        </w:rPr>
      </w:pPr>
    </w:p>
    <w:p w14:paraId="684F3307" w14:textId="0082A389"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 xml:space="preserve">Specifically, it was held in </w:t>
      </w:r>
      <w:r w:rsidRPr="003A6818">
        <w:rPr>
          <w:rFonts w:ascii="Arial" w:hAnsi="Arial" w:cs="Arial"/>
          <w:b/>
          <w:i/>
          <w:sz w:val="22"/>
          <w:szCs w:val="22"/>
        </w:rPr>
        <w:t>Uniplex</w:t>
      </w:r>
      <w:r w:rsidRPr="00653948">
        <w:rPr>
          <w:rFonts w:ascii="Arial" w:hAnsi="Arial" w:cs="Arial"/>
          <w:sz w:val="22"/>
          <w:szCs w:val="22"/>
        </w:rPr>
        <w:t xml:space="preserve"> that: (a) time could not start to run until the claimant was aware or ought reasonably to have been aware of the facts upon which the claim was based</w:t>
      </w:r>
      <w:r w:rsidR="007833C4">
        <w:rPr>
          <w:rFonts w:ascii="Arial" w:hAnsi="Arial" w:cs="Arial"/>
          <w:sz w:val="22"/>
          <w:szCs w:val="22"/>
        </w:rPr>
        <w:t>;</w:t>
      </w:r>
      <w:r w:rsidRPr="00653948">
        <w:rPr>
          <w:rStyle w:val="FootnoteReference"/>
          <w:rFonts w:ascii="Arial" w:hAnsi="Arial" w:cs="Arial"/>
          <w:sz w:val="22"/>
          <w:szCs w:val="22"/>
        </w:rPr>
        <w:footnoteReference w:id="8"/>
      </w:r>
      <w:r w:rsidRPr="00653948">
        <w:rPr>
          <w:rFonts w:ascii="Arial" w:hAnsi="Arial" w:cs="Arial"/>
          <w:sz w:val="22"/>
          <w:szCs w:val="22"/>
        </w:rPr>
        <w:t xml:space="preserve"> and (b) so far as promptness was an additional requirement to the 3 month</w:t>
      </w:r>
      <w:r w:rsidR="00640AFB">
        <w:rPr>
          <w:rFonts w:ascii="Arial" w:hAnsi="Arial" w:cs="Arial"/>
          <w:sz w:val="22"/>
          <w:szCs w:val="22"/>
        </w:rPr>
        <w:t>s’</w:t>
      </w:r>
      <w:r w:rsidRPr="00653948">
        <w:rPr>
          <w:rFonts w:ascii="Arial" w:hAnsi="Arial" w:cs="Arial"/>
          <w:sz w:val="22"/>
          <w:szCs w:val="22"/>
        </w:rPr>
        <w:t xml:space="preserve"> time limit, it was too imprecise. In effect, and pending any change in the CPR, the courts will be obliged to apply a straightforward 3 month</w:t>
      </w:r>
      <w:r w:rsidR="00640AFB">
        <w:rPr>
          <w:rFonts w:ascii="Arial" w:hAnsi="Arial" w:cs="Arial"/>
          <w:sz w:val="22"/>
          <w:szCs w:val="22"/>
        </w:rPr>
        <w:t>s’</w:t>
      </w:r>
      <w:r w:rsidRPr="00653948">
        <w:rPr>
          <w:rFonts w:ascii="Arial" w:hAnsi="Arial" w:cs="Arial"/>
          <w:sz w:val="22"/>
          <w:szCs w:val="22"/>
        </w:rPr>
        <w:t xml:space="preserve"> time limit in EU cases, and to grant an extension in all cases to ensure that the claimant has 3 months from the date of knowledge.  It remains to be seen whether it will be sustainable in the long term for a different approach to limitation periods to prevail according to whether a judicial review claim is based upon EU or on domestic law.</w:t>
      </w:r>
    </w:p>
    <w:p w14:paraId="416574BA" w14:textId="77777777" w:rsidR="00EB5785" w:rsidRPr="00653948" w:rsidRDefault="00EB5785" w:rsidP="00EB5785">
      <w:pPr>
        <w:pStyle w:val="BodyTextIndent3"/>
        <w:ind w:left="0"/>
        <w:rPr>
          <w:rFonts w:ascii="Arial" w:hAnsi="Arial" w:cs="Arial"/>
          <w:sz w:val="22"/>
          <w:szCs w:val="22"/>
        </w:rPr>
      </w:pPr>
    </w:p>
    <w:p w14:paraId="6C3BCD99" w14:textId="3F752A93"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 xml:space="preserve">The latest word on this subject is </w:t>
      </w:r>
      <w:r w:rsidRPr="003A6818">
        <w:rPr>
          <w:rFonts w:ascii="Arial" w:hAnsi="Arial" w:cs="Arial"/>
          <w:b/>
          <w:i/>
          <w:sz w:val="22"/>
          <w:szCs w:val="22"/>
        </w:rPr>
        <w:t>R (Berky) v Newport City Council</w:t>
      </w:r>
      <w:r w:rsidRPr="00653948">
        <w:rPr>
          <w:rFonts w:ascii="Arial" w:hAnsi="Arial" w:cs="Arial"/>
          <w:i/>
          <w:sz w:val="22"/>
          <w:szCs w:val="22"/>
        </w:rPr>
        <w:t xml:space="preserve"> </w:t>
      </w:r>
      <w:r w:rsidRPr="00653948">
        <w:rPr>
          <w:rFonts w:ascii="Arial" w:hAnsi="Arial" w:cs="Arial"/>
          <w:sz w:val="22"/>
          <w:szCs w:val="22"/>
        </w:rPr>
        <w:t>[2012] EWCA Civ 378</w:t>
      </w:r>
      <w:r w:rsidR="003A6818">
        <w:rPr>
          <w:rFonts w:ascii="Arial" w:hAnsi="Arial" w:cs="Arial"/>
          <w:sz w:val="22"/>
          <w:szCs w:val="22"/>
        </w:rPr>
        <w:t>, [2012] 2 CMLR 44</w:t>
      </w:r>
      <w:r w:rsidRPr="00653948">
        <w:rPr>
          <w:rFonts w:ascii="Arial" w:hAnsi="Arial" w:cs="Arial"/>
          <w:sz w:val="22"/>
          <w:szCs w:val="22"/>
        </w:rPr>
        <w:t xml:space="preserve">. However, each judge took a different view on the </w:t>
      </w:r>
      <w:r w:rsidRPr="003A6818">
        <w:rPr>
          <w:rFonts w:ascii="Arial" w:hAnsi="Arial" w:cs="Arial"/>
          <w:b/>
          <w:i/>
          <w:sz w:val="22"/>
          <w:szCs w:val="22"/>
        </w:rPr>
        <w:t>Uniplex</w:t>
      </w:r>
      <w:r w:rsidRPr="00653948">
        <w:rPr>
          <w:rFonts w:ascii="Arial" w:hAnsi="Arial" w:cs="Arial"/>
          <w:i/>
          <w:sz w:val="22"/>
          <w:szCs w:val="22"/>
        </w:rPr>
        <w:t xml:space="preserve"> </w:t>
      </w:r>
      <w:r w:rsidRPr="00653948">
        <w:rPr>
          <w:rFonts w:ascii="Arial" w:hAnsi="Arial" w:cs="Arial"/>
          <w:sz w:val="22"/>
          <w:szCs w:val="22"/>
        </w:rPr>
        <w:t xml:space="preserve">delay issues.  </w:t>
      </w:r>
    </w:p>
    <w:p w14:paraId="4D4B521B" w14:textId="77777777" w:rsidR="00EB5785" w:rsidRPr="00653948" w:rsidRDefault="00EB5785" w:rsidP="00EB5785">
      <w:pPr>
        <w:pStyle w:val="BodyTextIndent3"/>
        <w:ind w:left="0"/>
        <w:rPr>
          <w:rFonts w:ascii="Arial" w:hAnsi="Arial" w:cs="Arial"/>
          <w:sz w:val="22"/>
          <w:szCs w:val="22"/>
        </w:rPr>
      </w:pPr>
    </w:p>
    <w:p w14:paraId="5D99A275" w14:textId="1CC91E7B" w:rsidR="00EB5785" w:rsidRDefault="00EB5785" w:rsidP="00C10D1E">
      <w:pPr>
        <w:pStyle w:val="BodyTextIndent3"/>
        <w:numPr>
          <w:ilvl w:val="0"/>
          <w:numId w:val="36"/>
        </w:numPr>
        <w:ind w:left="720"/>
        <w:rPr>
          <w:rFonts w:ascii="Arial" w:hAnsi="Arial" w:cs="Arial"/>
          <w:sz w:val="22"/>
          <w:szCs w:val="22"/>
        </w:rPr>
      </w:pPr>
      <w:r w:rsidRPr="00653948">
        <w:rPr>
          <w:rFonts w:ascii="Arial" w:hAnsi="Arial" w:cs="Arial"/>
          <w:sz w:val="22"/>
          <w:szCs w:val="22"/>
        </w:rPr>
        <w:t>Carnwath LJ (as he then was) considered that:</w:t>
      </w:r>
    </w:p>
    <w:p w14:paraId="6AA31CD6" w14:textId="77777777" w:rsidR="00640AFB" w:rsidRPr="00653948" w:rsidRDefault="00640AFB" w:rsidP="00C10D1E">
      <w:pPr>
        <w:pStyle w:val="BodyTextIndent3"/>
        <w:rPr>
          <w:rFonts w:ascii="Arial" w:hAnsi="Arial" w:cs="Arial"/>
          <w:sz w:val="22"/>
          <w:szCs w:val="22"/>
        </w:rPr>
      </w:pPr>
    </w:p>
    <w:p w14:paraId="69FA5BBC" w14:textId="17B312B1" w:rsidR="00EB5785" w:rsidRDefault="00EB5785" w:rsidP="00C10D1E">
      <w:pPr>
        <w:pStyle w:val="BodyTextIndent3"/>
        <w:numPr>
          <w:ilvl w:val="2"/>
          <w:numId w:val="37"/>
        </w:numPr>
        <w:tabs>
          <w:tab w:val="clear" w:pos="2160"/>
          <w:tab w:val="num" w:pos="360"/>
        </w:tabs>
        <w:ind w:left="1080"/>
        <w:rPr>
          <w:rFonts w:ascii="Arial" w:hAnsi="Arial" w:cs="Arial"/>
          <w:sz w:val="22"/>
          <w:szCs w:val="22"/>
        </w:rPr>
      </w:pPr>
      <w:r w:rsidRPr="003A6818">
        <w:rPr>
          <w:rFonts w:ascii="Arial" w:hAnsi="Arial" w:cs="Arial"/>
          <w:b/>
          <w:bCs/>
          <w:i/>
          <w:iCs/>
          <w:sz w:val="22"/>
          <w:szCs w:val="22"/>
        </w:rPr>
        <w:t>Uniplex</w:t>
      </w:r>
      <w:r w:rsidRPr="00653948">
        <w:rPr>
          <w:rFonts w:ascii="Arial" w:hAnsi="Arial" w:cs="Arial"/>
          <w:sz w:val="22"/>
          <w:szCs w:val="22"/>
        </w:rPr>
        <w:t xml:space="preserve"> probably did apply to planning cases but considered the position sufficiently uncertain that he would have made a reference had the case turned on delay;</w:t>
      </w:r>
    </w:p>
    <w:p w14:paraId="4BE0CDF7" w14:textId="77777777" w:rsidR="00640AFB" w:rsidRPr="00653948" w:rsidRDefault="00640AFB" w:rsidP="00C10D1E">
      <w:pPr>
        <w:pStyle w:val="BodyTextIndent3"/>
        <w:ind w:left="1080"/>
        <w:rPr>
          <w:rFonts w:ascii="Arial" w:hAnsi="Arial" w:cs="Arial"/>
          <w:sz w:val="22"/>
          <w:szCs w:val="22"/>
        </w:rPr>
      </w:pPr>
    </w:p>
    <w:p w14:paraId="449E3774" w14:textId="2F099871" w:rsidR="00EB5785" w:rsidRDefault="00EB5785" w:rsidP="00C10D1E">
      <w:pPr>
        <w:pStyle w:val="BodyTextIndent3"/>
        <w:numPr>
          <w:ilvl w:val="2"/>
          <w:numId w:val="37"/>
        </w:numPr>
        <w:tabs>
          <w:tab w:val="clear" w:pos="2160"/>
          <w:tab w:val="num" w:pos="360"/>
        </w:tabs>
        <w:ind w:left="1080"/>
        <w:rPr>
          <w:rFonts w:ascii="Arial" w:hAnsi="Arial" w:cs="Arial"/>
          <w:sz w:val="22"/>
          <w:szCs w:val="22"/>
        </w:rPr>
      </w:pPr>
      <w:r w:rsidRPr="00653948">
        <w:rPr>
          <w:rFonts w:ascii="Arial" w:hAnsi="Arial" w:cs="Arial"/>
          <w:sz w:val="22"/>
          <w:szCs w:val="22"/>
        </w:rPr>
        <w:t xml:space="preserve">if </w:t>
      </w:r>
      <w:r w:rsidRPr="003A6818">
        <w:rPr>
          <w:rFonts w:ascii="Arial" w:hAnsi="Arial" w:cs="Arial"/>
          <w:b/>
          <w:bCs/>
          <w:i/>
          <w:iCs/>
          <w:sz w:val="22"/>
          <w:szCs w:val="22"/>
        </w:rPr>
        <w:t>Uniplex</w:t>
      </w:r>
      <w:r w:rsidRPr="00653948">
        <w:rPr>
          <w:rFonts w:ascii="Arial" w:hAnsi="Arial" w:cs="Arial"/>
          <w:sz w:val="22"/>
          <w:szCs w:val="22"/>
        </w:rPr>
        <w:t xml:space="preserve"> applied it would not have affected the promptness requirement in respect of the domestic law grounds in the case, only the E</w:t>
      </w:r>
      <w:r w:rsidR="003A6818">
        <w:rPr>
          <w:rFonts w:ascii="Arial" w:hAnsi="Arial" w:cs="Arial"/>
          <w:sz w:val="22"/>
          <w:szCs w:val="22"/>
        </w:rPr>
        <w:t xml:space="preserve">nvironmental </w:t>
      </w:r>
      <w:r w:rsidRPr="00653948">
        <w:rPr>
          <w:rFonts w:ascii="Arial" w:hAnsi="Arial" w:cs="Arial"/>
          <w:sz w:val="22"/>
          <w:szCs w:val="22"/>
        </w:rPr>
        <w:t>I</w:t>
      </w:r>
      <w:r w:rsidR="003A6818">
        <w:rPr>
          <w:rFonts w:ascii="Arial" w:hAnsi="Arial" w:cs="Arial"/>
          <w:sz w:val="22"/>
          <w:szCs w:val="22"/>
        </w:rPr>
        <w:t xml:space="preserve">mpact </w:t>
      </w:r>
      <w:r w:rsidRPr="00653948">
        <w:rPr>
          <w:rFonts w:ascii="Arial" w:hAnsi="Arial" w:cs="Arial"/>
          <w:sz w:val="22"/>
          <w:szCs w:val="22"/>
        </w:rPr>
        <w:t>A</w:t>
      </w:r>
      <w:r w:rsidR="003A6818">
        <w:rPr>
          <w:rFonts w:ascii="Arial" w:hAnsi="Arial" w:cs="Arial"/>
          <w:sz w:val="22"/>
          <w:szCs w:val="22"/>
        </w:rPr>
        <w:t>ssessment</w:t>
      </w:r>
      <w:r w:rsidRPr="00653948">
        <w:rPr>
          <w:rFonts w:ascii="Arial" w:hAnsi="Arial" w:cs="Arial"/>
          <w:sz w:val="22"/>
          <w:szCs w:val="22"/>
        </w:rPr>
        <w:t xml:space="preserve"> ground;</w:t>
      </w:r>
    </w:p>
    <w:p w14:paraId="3A72A8CB" w14:textId="77777777" w:rsidR="00640AFB" w:rsidRDefault="00640AFB" w:rsidP="00C10D1E">
      <w:pPr>
        <w:pStyle w:val="ListParagraph"/>
        <w:ind w:left="360"/>
        <w:rPr>
          <w:rFonts w:ascii="Arial" w:hAnsi="Arial" w:cs="Arial"/>
          <w:sz w:val="22"/>
          <w:szCs w:val="22"/>
        </w:rPr>
      </w:pPr>
    </w:p>
    <w:p w14:paraId="04C23629" w14:textId="682C7BDC" w:rsidR="00EB5785" w:rsidRPr="00653948" w:rsidRDefault="00EB5785" w:rsidP="00C10D1E">
      <w:pPr>
        <w:pStyle w:val="BodyTextIndent3"/>
        <w:numPr>
          <w:ilvl w:val="2"/>
          <w:numId w:val="37"/>
        </w:numPr>
        <w:tabs>
          <w:tab w:val="clear" w:pos="2160"/>
          <w:tab w:val="num" w:pos="360"/>
        </w:tabs>
        <w:ind w:left="1080"/>
        <w:rPr>
          <w:rFonts w:ascii="Arial" w:hAnsi="Arial" w:cs="Arial"/>
          <w:sz w:val="22"/>
          <w:szCs w:val="22"/>
        </w:rPr>
      </w:pPr>
      <w:r w:rsidRPr="00653948">
        <w:rPr>
          <w:rFonts w:ascii="Arial" w:hAnsi="Arial" w:cs="Arial"/>
          <w:sz w:val="22"/>
          <w:szCs w:val="22"/>
        </w:rPr>
        <w:t xml:space="preserve">contrary to what was said by Collins J in </w:t>
      </w:r>
      <w:r w:rsidRPr="003A6818">
        <w:rPr>
          <w:rFonts w:ascii="Arial" w:hAnsi="Arial" w:cs="Arial"/>
          <w:b/>
          <w:bCs/>
          <w:i/>
          <w:iCs/>
          <w:sz w:val="22"/>
          <w:szCs w:val="22"/>
        </w:rPr>
        <w:t>U &amp; Partners</w:t>
      </w:r>
      <w:r w:rsidRPr="00653948">
        <w:rPr>
          <w:rFonts w:ascii="Arial" w:hAnsi="Arial" w:cs="Arial"/>
          <w:sz w:val="22"/>
          <w:szCs w:val="22"/>
        </w:rPr>
        <w:t xml:space="preserve">, assuming </w:t>
      </w:r>
      <w:r w:rsidRPr="003A6818">
        <w:rPr>
          <w:rFonts w:ascii="Arial" w:hAnsi="Arial" w:cs="Arial"/>
          <w:b/>
          <w:bCs/>
          <w:i/>
          <w:iCs/>
          <w:sz w:val="22"/>
          <w:szCs w:val="22"/>
        </w:rPr>
        <w:t>Uniplex</w:t>
      </w:r>
      <w:r w:rsidRPr="00653948">
        <w:rPr>
          <w:rFonts w:ascii="Arial" w:hAnsi="Arial" w:cs="Arial"/>
          <w:sz w:val="22"/>
          <w:szCs w:val="22"/>
        </w:rPr>
        <w:t xml:space="preserve"> applied, it was concerned only with the time allowed for commencing proceedings and did not affect the Court’s power to withhold remedies under </w:t>
      </w:r>
      <w:r w:rsidR="00640AFB">
        <w:rPr>
          <w:rFonts w:ascii="Arial" w:hAnsi="Arial" w:cs="Arial"/>
          <w:sz w:val="22"/>
          <w:szCs w:val="22"/>
        </w:rPr>
        <w:t xml:space="preserve">SCA 1981 </w:t>
      </w:r>
      <w:r w:rsidRPr="00653948">
        <w:rPr>
          <w:rFonts w:ascii="Arial" w:hAnsi="Arial" w:cs="Arial"/>
          <w:sz w:val="22"/>
          <w:szCs w:val="22"/>
        </w:rPr>
        <w:t>s.31(6).</w:t>
      </w:r>
    </w:p>
    <w:p w14:paraId="29A46E48" w14:textId="77777777" w:rsidR="00EB5785" w:rsidRPr="00653948" w:rsidRDefault="00EB5785" w:rsidP="00C10D1E">
      <w:pPr>
        <w:pStyle w:val="BodyTextIndent3"/>
        <w:ind w:left="0"/>
        <w:rPr>
          <w:rFonts w:ascii="Arial" w:hAnsi="Arial" w:cs="Arial"/>
          <w:sz w:val="22"/>
          <w:szCs w:val="22"/>
        </w:rPr>
      </w:pPr>
    </w:p>
    <w:p w14:paraId="24277A27" w14:textId="722191EB" w:rsidR="00EB5785" w:rsidRPr="00653948" w:rsidRDefault="00EB5785" w:rsidP="00C10D1E">
      <w:pPr>
        <w:pStyle w:val="BodyTextIndent3"/>
        <w:numPr>
          <w:ilvl w:val="0"/>
          <w:numId w:val="36"/>
        </w:numPr>
        <w:ind w:left="720"/>
        <w:rPr>
          <w:rFonts w:ascii="Arial" w:hAnsi="Arial" w:cs="Arial"/>
          <w:sz w:val="22"/>
          <w:szCs w:val="22"/>
        </w:rPr>
      </w:pPr>
      <w:r w:rsidRPr="00653948">
        <w:rPr>
          <w:rFonts w:ascii="Arial" w:hAnsi="Arial" w:cs="Arial"/>
          <w:sz w:val="22"/>
          <w:szCs w:val="22"/>
        </w:rPr>
        <w:t xml:space="preserve">Moore-Bick LJ and Sir Richard Buxton by contrast considered that, on the assumption that </w:t>
      </w:r>
      <w:r w:rsidRPr="003A6818">
        <w:rPr>
          <w:rFonts w:ascii="Arial" w:hAnsi="Arial" w:cs="Arial"/>
          <w:b/>
          <w:bCs/>
          <w:i/>
          <w:iCs/>
          <w:sz w:val="22"/>
          <w:szCs w:val="22"/>
        </w:rPr>
        <w:t>Uniplex</w:t>
      </w:r>
      <w:r w:rsidRPr="00653948">
        <w:rPr>
          <w:rFonts w:ascii="Arial" w:hAnsi="Arial" w:cs="Arial"/>
          <w:sz w:val="22"/>
          <w:szCs w:val="22"/>
        </w:rPr>
        <w:t xml:space="preserve"> applied in planni</w:t>
      </w:r>
      <w:r w:rsidR="00640AFB">
        <w:rPr>
          <w:rFonts w:ascii="Arial" w:hAnsi="Arial" w:cs="Arial"/>
          <w:sz w:val="22"/>
          <w:szCs w:val="22"/>
        </w:rPr>
        <w:t>ng cases, it also applied to s.</w:t>
      </w:r>
      <w:r w:rsidRPr="00653948">
        <w:rPr>
          <w:rFonts w:ascii="Arial" w:hAnsi="Arial" w:cs="Arial"/>
          <w:sz w:val="22"/>
          <w:szCs w:val="22"/>
        </w:rPr>
        <w:t xml:space="preserve">31(6). Sir Richard Buxton though thought that the application of </w:t>
      </w:r>
      <w:r w:rsidRPr="003A6818">
        <w:rPr>
          <w:rFonts w:ascii="Arial" w:hAnsi="Arial" w:cs="Arial"/>
          <w:b/>
          <w:bCs/>
          <w:i/>
          <w:iCs/>
          <w:sz w:val="22"/>
          <w:szCs w:val="22"/>
        </w:rPr>
        <w:t>Uniplex</w:t>
      </w:r>
      <w:r w:rsidRPr="00653948">
        <w:rPr>
          <w:rFonts w:ascii="Arial" w:hAnsi="Arial" w:cs="Arial"/>
          <w:sz w:val="22"/>
          <w:szCs w:val="22"/>
        </w:rPr>
        <w:t xml:space="preserve"> to planning cases merited reconsideration and that had delay been the determinative issue he would have made a reference.  Sir Richard Buxton also said that assuming </w:t>
      </w:r>
      <w:r w:rsidRPr="003A6818">
        <w:rPr>
          <w:rFonts w:ascii="Arial" w:hAnsi="Arial" w:cs="Arial"/>
          <w:b/>
          <w:bCs/>
          <w:i/>
          <w:iCs/>
          <w:sz w:val="22"/>
          <w:szCs w:val="22"/>
        </w:rPr>
        <w:t>Uniplex</w:t>
      </w:r>
      <w:r w:rsidR="00640AFB">
        <w:rPr>
          <w:rFonts w:ascii="Arial" w:hAnsi="Arial" w:cs="Arial"/>
          <w:sz w:val="22"/>
          <w:szCs w:val="22"/>
        </w:rPr>
        <w:t xml:space="preserve"> applied</w:t>
      </w:r>
      <w:r w:rsidRPr="00653948">
        <w:rPr>
          <w:rFonts w:ascii="Arial" w:hAnsi="Arial" w:cs="Arial"/>
          <w:sz w:val="22"/>
          <w:szCs w:val="22"/>
        </w:rPr>
        <w:t xml:space="preserve"> to planning then it dis</w:t>
      </w:r>
      <w:r>
        <w:rPr>
          <w:rFonts w:ascii="Arial" w:hAnsi="Arial" w:cs="Arial"/>
          <w:sz w:val="22"/>
          <w:szCs w:val="22"/>
        </w:rPr>
        <w:t>-</w:t>
      </w:r>
      <w:r w:rsidR="00640AFB">
        <w:rPr>
          <w:rFonts w:ascii="Arial" w:hAnsi="Arial" w:cs="Arial"/>
          <w:sz w:val="22"/>
          <w:szCs w:val="22"/>
        </w:rPr>
        <w:t>applied</w:t>
      </w:r>
      <w:r w:rsidRPr="00653948">
        <w:rPr>
          <w:rFonts w:ascii="Arial" w:hAnsi="Arial" w:cs="Arial"/>
          <w:sz w:val="22"/>
          <w:szCs w:val="22"/>
        </w:rPr>
        <w:t xml:space="preserve"> the time limits in respect of all the grounds (both domestic and European) so long as one of the grounds raised was an EU point and not “</w:t>
      </w:r>
      <w:r w:rsidRPr="00640AFB">
        <w:rPr>
          <w:rFonts w:ascii="Arial" w:hAnsi="Arial" w:cs="Arial"/>
          <w:i/>
          <w:sz w:val="22"/>
          <w:szCs w:val="22"/>
        </w:rPr>
        <w:t>plainly unarguable</w:t>
      </w:r>
      <w:r w:rsidR="00640AFB">
        <w:rPr>
          <w:rFonts w:ascii="Arial" w:hAnsi="Arial" w:cs="Arial"/>
          <w:sz w:val="22"/>
          <w:szCs w:val="22"/>
        </w:rPr>
        <w:t>”.</w:t>
      </w:r>
    </w:p>
    <w:p w14:paraId="1985F446" w14:textId="77777777" w:rsidR="00EB5785" w:rsidRPr="00653948" w:rsidRDefault="00EB5785" w:rsidP="00EB5785">
      <w:pPr>
        <w:pStyle w:val="BodyTextIndent3"/>
        <w:ind w:left="1800"/>
        <w:rPr>
          <w:rFonts w:ascii="Arial" w:hAnsi="Arial" w:cs="Arial"/>
          <w:sz w:val="22"/>
          <w:szCs w:val="22"/>
        </w:rPr>
      </w:pPr>
    </w:p>
    <w:p w14:paraId="42F8ED8F" w14:textId="109FD10A"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 xml:space="preserve">While the full implications of </w:t>
      </w:r>
      <w:r w:rsidRPr="003A6818">
        <w:rPr>
          <w:rFonts w:ascii="Arial" w:hAnsi="Arial" w:cs="Arial"/>
          <w:b/>
          <w:i/>
          <w:sz w:val="22"/>
          <w:szCs w:val="22"/>
        </w:rPr>
        <w:t>Uniplex</w:t>
      </w:r>
      <w:r w:rsidRPr="00653948">
        <w:rPr>
          <w:rFonts w:ascii="Arial" w:hAnsi="Arial" w:cs="Arial"/>
          <w:i/>
          <w:sz w:val="22"/>
          <w:szCs w:val="22"/>
        </w:rPr>
        <w:t xml:space="preserve"> </w:t>
      </w:r>
      <w:r w:rsidRPr="00653948">
        <w:rPr>
          <w:rFonts w:ascii="Arial" w:hAnsi="Arial" w:cs="Arial"/>
          <w:sz w:val="22"/>
          <w:szCs w:val="22"/>
        </w:rPr>
        <w:t>are still being worked out, there is</w:t>
      </w:r>
      <w:r w:rsidR="00C10D1E">
        <w:rPr>
          <w:rFonts w:ascii="Arial" w:hAnsi="Arial" w:cs="Arial"/>
          <w:sz w:val="22"/>
          <w:szCs w:val="22"/>
        </w:rPr>
        <w:t>,</w:t>
      </w:r>
      <w:r w:rsidRPr="00653948">
        <w:rPr>
          <w:rFonts w:ascii="Arial" w:hAnsi="Arial" w:cs="Arial"/>
          <w:sz w:val="22"/>
          <w:szCs w:val="22"/>
        </w:rPr>
        <w:t xml:space="preserve"> for now at least</w:t>
      </w:r>
      <w:r w:rsidR="00C10D1E">
        <w:rPr>
          <w:rFonts w:ascii="Arial" w:hAnsi="Arial" w:cs="Arial"/>
          <w:sz w:val="22"/>
          <w:szCs w:val="22"/>
        </w:rPr>
        <w:t>,</w:t>
      </w:r>
      <w:r w:rsidRPr="00653948">
        <w:rPr>
          <w:rFonts w:ascii="Arial" w:hAnsi="Arial" w:cs="Arial"/>
          <w:sz w:val="22"/>
          <w:szCs w:val="22"/>
        </w:rPr>
        <w:t xml:space="preserve"> a two</w:t>
      </w:r>
      <w:r w:rsidR="00640AFB">
        <w:rPr>
          <w:rFonts w:ascii="Arial" w:hAnsi="Arial" w:cs="Arial"/>
          <w:sz w:val="22"/>
          <w:szCs w:val="22"/>
        </w:rPr>
        <w:t>-</w:t>
      </w:r>
      <w:r w:rsidRPr="00653948">
        <w:rPr>
          <w:rFonts w:ascii="Arial" w:hAnsi="Arial" w:cs="Arial"/>
          <w:sz w:val="22"/>
          <w:szCs w:val="22"/>
        </w:rPr>
        <w:t xml:space="preserve">tier approach to delay in judicial review claims. Where claims raise principles of EU law, </w:t>
      </w:r>
      <w:r w:rsidRPr="003A6818">
        <w:rPr>
          <w:rFonts w:ascii="Arial" w:hAnsi="Arial" w:cs="Arial"/>
          <w:b/>
          <w:i/>
          <w:sz w:val="22"/>
          <w:szCs w:val="22"/>
        </w:rPr>
        <w:t>Uniplex</w:t>
      </w:r>
      <w:r w:rsidRPr="00653948">
        <w:rPr>
          <w:rFonts w:ascii="Arial" w:hAnsi="Arial" w:cs="Arial"/>
          <w:i/>
          <w:sz w:val="22"/>
          <w:szCs w:val="22"/>
        </w:rPr>
        <w:t xml:space="preserve"> </w:t>
      </w:r>
      <w:r w:rsidRPr="00653948">
        <w:rPr>
          <w:rFonts w:ascii="Arial" w:hAnsi="Arial" w:cs="Arial"/>
          <w:sz w:val="22"/>
          <w:szCs w:val="22"/>
        </w:rPr>
        <w:t xml:space="preserve">would seem to apply. For those cases which do not, </w:t>
      </w:r>
      <w:r w:rsidRPr="003A6818">
        <w:rPr>
          <w:rFonts w:ascii="Arial" w:hAnsi="Arial" w:cs="Arial"/>
          <w:b/>
          <w:i/>
          <w:sz w:val="22"/>
          <w:szCs w:val="22"/>
        </w:rPr>
        <w:t>Uniplex</w:t>
      </w:r>
      <w:r w:rsidRPr="00653948">
        <w:rPr>
          <w:rFonts w:ascii="Arial" w:hAnsi="Arial" w:cs="Arial"/>
          <w:i/>
          <w:sz w:val="22"/>
          <w:szCs w:val="22"/>
        </w:rPr>
        <w:t xml:space="preserve"> </w:t>
      </w:r>
      <w:r>
        <w:rPr>
          <w:rFonts w:ascii="Arial" w:hAnsi="Arial" w:cs="Arial"/>
          <w:sz w:val="22"/>
          <w:szCs w:val="22"/>
        </w:rPr>
        <w:t>may</w:t>
      </w:r>
      <w:r w:rsidRPr="00653948">
        <w:rPr>
          <w:rFonts w:ascii="Arial" w:hAnsi="Arial" w:cs="Arial"/>
          <w:sz w:val="22"/>
          <w:szCs w:val="22"/>
        </w:rPr>
        <w:t xml:space="preserve"> not apply, and the promptness requirement </w:t>
      </w:r>
      <w:r>
        <w:rPr>
          <w:rFonts w:ascii="Arial" w:hAnsi="Arial" w:cs="Arial"/>
          <w:sz w:val="22"/>
          <w:szCs w:val="22"/>
        </w:rPr>
        <w:t xml:space="preserve">is likely to remain (however, see </w:t>
      </w:r>
      <w:r w:rsidRPr="003A6818">
        <w:rPr>
          <w:rFonts w:ascii="Arial" w:hAnsi="Arial" w:cs="Arial"/>
          <w:b/>
          <w:i/>
          <w:sz w:val="22"/>
          <w:szCs w:val="22"/>
        </w:rPr>
        <w:t>R (Macrae</w:t>
      </w:r>
      <w:r w:rsidR="00640AFB" w:rsidRPr="003A6818">
        <w:rPr>
          <w:rFonts w:ascii="Arial" w:hAnsi="Arial" w:cs="Arial"/>
          <w:b/>
          <w:i/>
          <w:sz w:val="22"/>
          <w:szCs w:val="22"/>
        </w:rPr>
        <w:t>)</w:t>
      </w:r>
      <w:r w:rsidRPr="003A6818">
        <w:rPr>
          <w:rFonts w:ascii="Arial" w:hAnsi="Arial" w:cs="Arial"/>
          <w:b/>
          <w:i/>
          <w:sz w:val="22"/>
          <w:szCs w:val="22"/>
        </w:rPr>
        <w:t xml:space="preserve"> v County of </w:t>
      </w:r>
      <w:r w:rsidRPr="003A6818">
        <w:rPr>
          <w:rFonts w:ascii="Arial" w:hAnsi="Arial" w:cs="Arial"/>
          <w:b/>
          <w:i/>
          <w:sz w:val="22"/>
          <w:szCs w:val="22"/>
        </w:rPr>
        <w:lastRenderedPageBreak/>
        <w:t>Herefordshire DC</w:t>
      </w:r>
      <w:r>
        <w:rPr>
          <w:rFonts w:ascii="Arial" w:hAnsi="Arial" w:cs="Arial"/>
          <w:i/>
          <w:sz w:val="22"/>
          <w:szCs w:val="22"/>
        </w:rPr>
        <w:t xml:space="preserve"> </w:t>
      </w:r>
      <w:r>
        <w:rPr>
          <w:rFonts w:ascii="Arial" w:hAnsi="Arial" w:cs="Arial"/>
          <w:sz w:val="22"/>
          <w:szCs w:val="22"/>
        </w:rPr>
        <w:t>[2012] EWCA Civ 457</w:t>
      </w:r>
      <w:r w:rsidR="007833C4">
        <w:rPr>
          <w:rFonts w:ascii="Arial" w:hAnsi="Arial" w:cs="Arial"/>
          <w:sz w:val="22"/>
          <w:szCs w:val="22"/>
        </w:rPr>
        <w:t>, [2012] LLR 720</w:t>
      </w:r>
      <w:r>
        <w:rPr>
          <w:rFonts w:ascii="Arial" w:hAnsi="Arial" w:cs="Arial"/>
          <w:sz w:val="22"/>
          <w:szCs w:val="22"/>
        </w:rPr>
        <w:t xml:space="preserve"> </w:t>
      </w:r>
      <w:r w:rsidR="00640AFB">
        <w:rPr>
          <w:rFonts w:ascii="Arial" w:hAnsi="Arial" w:cs="Arial"/>
          <w:sz w:val="22"/>
          <w:szCs w:val="22"/>
        </w:rPr>
        <w:t>(c</w:t>
      </w:r>
      <w:r>
        <w:rPr>
          <w:rFonts w:ascii="Arial" w:hAnsi="Arial" w:cs="Arial"/>
          <w:sz w:val="22"/>
          <w:szCs w:val="22"/>
        </w:rPr>
        <w:t>f</w:t>
      </w:r>
      <w:r w:rsidR="00640AFB">
        <w:rPr>
          <w:rFonts w:ascii="Arial" w:hAnsi="Arial" w:cs="Arial"/>
          <w:sz w:val="22"/>
          <w:szCs w:val="22"/>
        </w:rPr>
        <w:t>.</w:t>
      </w:r>
      <w:r>
        <w:rPr>
          <w:rFonts w:ascii="Arial" w:hAnsi="Arial" w:cs="Arial"/>
          <w:sz w:val="22"/>
          <w:szCs w:val="22"/>
        </w:rPr>
        <w:t xml:space="preserve"> </w:t>
      </w:r>
      <w:r w:rsidRPr="003A6818">
        <w:rPr>
          <w:rFonts w:ascii="Arial" w:hAnsi="Arial" w:cs="Arial"/>
          <w:b/>
          <w:i/>
          <w:sz w:val="22"/>
          <w:szCs w:val="22"/>
        </w:rPr>
        <w:t>R (Powell</w:t>
      </w:r>
      <w:r w:rsidR="00640AFB" w:rsidRPr="003A6818">
        <w:rPr>
          <w:rFonts w:ascii="Arial" w:hAnsi="Arial" w:cs="Arial"/>
          <w:b/>
          <w:i/>
          <w:sz w:val="22"/>
          <w:szCs w:val="22"/>
        </w:rPr>
        <w:t>)</w:t>
      </w:r>
      <w:r w:rsidRPr="003A6818">
        <w:rPr>
          <w:rFonts w:ascii="Arial" w:hAnsi="Arial" w:cs="Arial"/>
          <w:b/>
          <w:i/>
          <w:sz w:val="22"/>
          <w:szCs w:val="22"/>
        </w:rPr>
        <w:t xml:space="preserve"> v Brighton Marina Co Ltd</w:t>
      </w:r>
      <w:r w:rsidR="007833C4">
        <w:rPr>
          <w:rFonts w:ascii="Arial" w:hAnsi="Arial" w:cs="Arial"/>
          <w:b/>
          <w:i/>
          <w:sz w:val="22"/>
          <w:szCs w:val="22"/>
        </w:rPr>
        <w:t>.</w:t>
      </w:r>
      <w:r>
        <w:rPr>
          <w:rFonts w:ascii="Arial" w:hAnsi="Arial" w:cs="Arial"/>
          <w:i/>
          <w:sz w:val="22"/>
          <w:szCs w:val="22"/>
        </w:rPr>
        <w:t xml:space="preserve"> </w:t>
      </w:r>
      <w:r>
        <w:rPr>
          <w:rFonts w:ascii="Arial" w:hAnsi="Arial" w:cs="Arial"/>
          <w:sz w:val="22"/>
          <w:szCs w:val="22"/>
        </w:rPr>
        <w:t xml:space="preserve">[2014] EWHC </w:t>
      </w:r>
      <w:r w:rsidR="00640AFB">
        <w:rPr>
          <w:rFonts w:ascii="Arial" w:hAnsi="Arial" w:cs="Arial"/>
          <w:sz w:val="22"/>
          <w:szCs w:val="22"/>
        </w:rPr>
        <w:t>2136</w:t>
      </w:r>
      <w:r>
        <w:rPr>
          <w:rFonts w:ascii="Arial" w:hAnsi="Arial" w:cs="Arial"/>
          <w:sz w:val="22"/>
          <w:szCs w:val="22"/>
        </w:rPr>
        <w:t xml:space="preserve"> (Admin))</w:t>
      </w:r>
      <w:r w:rsidRPr="00653948">
        <w:rPr>
          <w:rFonts w:ascii="Arial" w:hAnsi="Arial" w:cs="Arial"/>
          <w:sz w:val="22"/>
          <w:szCs w:val="22"/>
        </w:rPr>
        <w:t xml:space="preserve">. </w:t>
      </w:r>
    </w:p>
    <w:p w14:paraId="62BE4F67" w14:textId="77777777" w:rsidR="00EB5785" w:rsidRPr="00653948" w:rsidRDefault="00EB5785" w:rsidP="00EB5785">
      <w:pPr>
        <w:pStyle w:val="BodyTextIndent3"/>
        <w:rPr>
          <w:rFonts w:ascii="Arial" w:hAnsi="Arial" w:cs="Arial"/>
          <w:sz w:val="22"/>
          <w:szCs w:val="22"/>
        </w:rPr>
      </w:pPr>
    </w:p>
    <w:p w14:paraId="39F9150F" w14:textId="0EBA3BF8"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Possible grounds for extending time, or excusing what might otherwise be a lack of promptness, include excusable lack of knowledge of the decision when it was taken, difficulties in obtaining public funding</w:t>
      </w:r>
      <w:r w:rsidR="007833C4">
        <w:rPr>
          <w:rFonts w:ascii="Arial" w:hAnsi="Arial" w:cs="Arial"/>
          <w:sz w:val="22"/>
          <w:szCs w:val="22"/>
        </w:rPr>
        <w:t>,</w:t>
      </w:r>
      <w:r w:rsidRPr="00653948">
        <w:rPr>
          <w:rStyle w:val="FootnoteReference"/>
          <w:rFonts w:ascii="Arial" w:hAnsi="Arial" w:cs="Arial"/>
          <w:sz w:val="22"/>
          <w:szCs w:val="22"/>
        </w:rPr>
        <w:footnoteReference w:id="9"/>
      </w:r>
      <w:r w:rsidRPr="00653948">
        <w:rPr>
          <w:rFonts w:ascii="Arial" w:hAnsi="Arial" w:cs="Arial"/>
          <w:sz w:val="22"/>
          <w:szCs w:val="22"/>
        </w:rPr>
        <w:t xml:space="preserve"> general public importance of the issue (although the importance will usually have to be substantial and clear</w:t>
      </w:r>
      <w:r w:rsidR="00876D4C">
        <w:rPr>
          <w:rFonts w:ascii="Arial" w:hAnsi="Arial" w:cs="Arial"/>
          <w:sz w:val="22"/>
          <w:szCs w:val="22"/>
        </w:rPr>
        <w:t>)</w:t>
      </w:r>
      <w:r w:rsidRPr="00653948">
        <w:rPr>
          <w:rStyle w:val="FootnoteReference"/>
          <w:rFonts w:ascii="Arial" w:hAnsi="Arial" w:cs="Arial"/>
          <w:sz w:val="22"/>
          <w:szCs w:val="22"/>
        </w:rPr>
        <w:footnoteReference w:id="10"/>
      </w:r>
      <w:r w:rsidRPr="00653948">
        <w:rPr>
          <w:rFonts w:ascii="Arial" w:hAnsi="Arial" w:cs="Arial"/>
          <w:sz w:val="22"/>
          <w:szCs w:val="22"/>
        </w:rPr>
        <w:t>, sensible pursuit of attempts to resolve the matter without litigation, and the continuing nature of any breach</w:t>
      </w:r>
      <w:r w:rsidR="00876D4C">
        <w:rPr>
          <w:rFonts w:ascii="Arial" w:hAnsi="Arial" w:cs="Arial"/>
          <w:sz w:val="22"/>
          <w:szCs w:val="22"/>
        </w:rPr>
        <w:t>.</w:t>
      </w:r>
      <w:r w:rsidRPr="00653948">
        <w:rPr>
          <w:rStyle w:val="FootnoteReference"/>
          <w:rFonts w:ascii="Arial" w:hAnsi="Arial" w:cs="Arial"/>
          <w:sz w:val="22"/>
          <w:szCs w:val="22"/>
        </w:rPr>
        <w:footnoteReference w:id="11"/>
      </w:r>
      <w:r w:rsidRPr="00653948">
        <w:rPr>
          <w:rFonts w:ascii="Arial" w:hAnsi="Arial" w:cs="Arial"/>
          <w:sz w:val="22"/>
          <w:szCs w:val="22"/>
        </w:rPr>
        <w:t xml:space="preserve">  </w:t>
      </w:r>
      <w:r>
        <w:rPr>
          <w:rFonts w:ascii="Arial" w:hAnsi="Arial" w:cs="Arial"/>
          <w:sz w:val="22"/>
          <w:szCs w:val="22"/>
        </w:rPr>
        <w:t xml:space="preserve">Again, there is a useful </w:t>
      </w:r>
      <w:r w:rsidRPr="00653948">
        <w:rPr>
          <w:rFonts w:ascii="Arial" w:hAnsi="Arial" w:cs="Arial"/>
          <w:sz w:val="22"/>
          <w:szCs w:val="22"/>
        </w:rPr>
        <w:t xml:space="preserve">discussion of the authorities in the </w:t>
      </w:r>
      <w:r w:rsidRPr="007833C4">
        <w:rPr>
          <w:rFonts w:ascii="Arial" w:hAnsi="Arial" w:cs="Arial"/>
          <w:b/>
          <w:i/>
          <w:sz w:val="22"/>
          <w:szCs w:val="22"/>
        </w:rPr>
        <w:t>Hardy</w:t>
      </w:r>
      <w:r w:rsidRPr="00653948">
        <w:rPr>
          <w:rFonts w:ascii="Arial" w:hAnsi="Arial" w:cs="Arial"/>
          <w:i/>
          <w:sz w:val="22"/>
          <w:szCs w:val="22"/>
        </w:rPr>
        <w:t xml:space="preserve"> </w:t>
      </w:r>
      <w:r w:rsidRPr="00653948">
        <w:rPr>
          <w:rFonts w:ascii="Arial" w:hAnsi="Arial" w:cs="Arial"/>
          <w:sz w:val="22"/>
          <w:szCs w:val="22"/>
        </w:rPr>
        <w:t xml:space="preserve">decision. See also </w:t>
      </w:r>
      <w:r w:rsidRPr="007833C4">
        <w:rPr>
          <w:rFonts w:ascii="Arial" w:hAnsi="Arial" w:cs="Arial"/>
          <w:b/>
          <w:i/>
          <w:sz w:val="22"/>
          <w:szCs w:val="22"/>
        </w:rPr>
        <w:t>R (Cukurova Finance International Ltd</w:t>
      </w:r>
      <w:r w:rsidR="007833C4">
        <w:rPr>
          <w:rFonts w:ascii="Arial" w:hAnsi="Arial" w:cs="Arial"/>
          <w:b/>
          <w:i/>
          <w:sz w:val="22"/>
          <w:szCs w:val="22"/>
        </w:rPr>
        <w:t>.</w:t>
      </w:r>
      <w:r w:rsidRPr="007833C4">
        <w:rPr>
          <w:rFonts w:ascii="Arial" w:hAnsi="Arial" w:cs="Arial"/>
          <w:b/>
          <w:i/>
          <w:sz w:val="22"/>
          <w:szCs w:val="22"/>
        </w:rPr>
        <w:t xml:space="preserve">) v HM Treasury </w:t>
      </w:r>
      <w:r w:rsidR="007833C4">
        <w:rPr>
          <w:rFonts w:ascii="Arial" w:hAnsi="Arial" w:cs="Arial"/>
          <w:sz w:val="22"/>
          <w:szCs w:val="22"/>
        </w:rPr>
        <w:t xml:space="preserve">[2008] EWHC 2567 (Admin), </w:t>
      </w:r>
      <w:r w:rsidRPr="00653948">
        <w:rPr>
          <w:rFonts w:ascii="Arial" w:hAnsi="Arial" w:cs="Arial"/>
          <w:sz w:val="22"/>
          <w:szCs w:val="22"/>
        </w:rPr>
        <w:t xml:space="preserve">[2009] EuLR 317, which emphasises the importance of the apparent merit of the challenge as a factor to be taken into account alongside the length of the delay, the reasons for it, the importance of the case and the extent of any prejudice caused by the delay. In time-sensitive cases, where there is likely to be any material delay in commencing proceedings, the prospective claimant ought to put the prospective defendant and any affected third parties on notice of the contemplated proceedings at the earliest opportunity: see e.g. </w:t>
      </w:r>
      <w:r w:rsidRPr="007833C4">
        <w:rPr>
          <w:rFonts w:ascii="Arial" w:hAnsi="Arial" w:cs="Arial"/>
          <w:b/>
          <w:i/>
          <w:sz w:val="22"/>
          <w:szCs w:val="22"/>
        </w:rPr>
        <w:t>R v Swale BC</w:t>
      </w:r>
      <w:r w:rsidR="007833C4">
        <w:rPr>
          <w:rFonts w:ascii="Arial" w:hAnsi="Arial" w:cs="Arial"/>
          <w:b/>
          <w:i/>
          <w:sz w:val="22"/>
          <w:szCs w:val="22"/>
        </w:rPr>
        <w:t>,</w:t>
      </w:r>
      <w:r w:rsidRPr="007833C4">
        <w:rPr>
          <w:rFonts w:ascii="Arial" w:hAnsi="Arial" w:cs="Arial"/>
          <w:b/>
          <w:i/>
          <w:sz w:val="22"/>
          <w:szCs w:val="22"/>
        </w:rPr>
        <w:t xml:space="preserve"> ex p. Royal Society for the Protection of Birds</w:t>
      </w:r>
      <w:r w:rsidRPr="00653948">
        <w:rPr>
          <w:rFonts w:ascii="Arial" w:hAnsi="Arial" w:cs="Arial"/>
          <w:sz w:val="22"/>
          <w:szCs w:val="22"/>
        </w:rPr>
        <w:t xml:space="preserve"> (1990) 2 Ad</w:t>
      </w:r>
      <w:r w:rsidR="00640AFB">
        <w:rPr>
          <w:rFonts w:ascii="Arial" w:hAnsi="Arial" w:cs="Arial"/>
          <w:sz w:val="22"/>
          <w:szCs w:val="22"/>
        </w:rPr>
        <w:t>min</w:t>
      </w:r>
      <w:r w:rsidRPr="00653948">
        <w:rPr>
          <w:rFonts w:ascii="Arial" w:hAnsi="Arial" w:cs="Arial"/>
          <w:sz w:val="22"/>
          <w:szCs w:val="22"/>
        </w:rPr>
        <w:t xml:space="preserve"> LR 790</w:t>
      </w:r>
      <w:r w:rsidR="007833C4">
        <w:rPr>
          <w:rFonts w:ascii="Arial" w:hAnsi="Arial" w:cs="Arial"/>
          <w:sz w:val="22"/>
          <w:szCs w:val="22"/>
        </w:rPr>
        <w:t>, QBD</w:t>
      </w:r>
      <w:r w:rsidRPr="00653948">
        <w:rPr>
          <w:rFonts w:ascii="Arial" w:hAnsi="Arial" w:cs="Arial"/>
          <w:sz w:val="22"/>
          <w:szCs w:val="22"/>
        </w:rPr>
        <w:t>.</w:t>
      </w:r>
    </w:p>
    <w:p w14:paraId="23A9B6D8" w14:textId="77777777" w:rsidR="00EB5785" w:rsidRPr="00653948" w:rsidRDefault="00EB5785" w:rsidP="00EB5785">
      <w:pPr>
        <w:pStyle w:val="BodyTextIndent3"/>
        <w:rPr>
          <w:rFonts w:ascii="Arial" w:hAnsi="Arial" w:cs="Arial"/>
          <w:sz w:val="22"/>
          <w:szCs w:val="22"/>
        </w:rPr>
      </w:pPr>
    </w:p>
    <w:p w14:paraId="40D84081" w14:textId="4F1BC11C" w:rsidR="00EB5785" w:rsidRPr="00653948" w:rsidRDefault="00EB5785" w:rsidP="00EB5785">
      <w:pPr>
        <w:pStyle w:val="BodyTextIndent3"/>
        <w:numPr>
          <w:ilvl w:val="0"/>
          <w:numId w:val="34"/>
        </w:numPr>
        <w:rPr>
          <w:rFonts w:ascii="Arial" w:hAnsi="Arial" w:cs="Arial"/>
          <w:sz w:val="22"/>
          <w:szCs w:val="22"/>
        </w:rPr>
      </w:pPr>
      <w:r w:rsidRPr="00640AFB">
        <w:rPr>
          <w:rFonts w:ascii="Arial" w:hAnsi="Arial" w:cs="Arial"/>
          <w:i/>
          <w:sz w:val="22"/>
          <w:szCs w:val="22"/>
        </w:rPr>
        <w:t>Thirdly</w:t>
      </w:r>
      <w:r w:rsidRPr="00653948">
        <w:rPr>
          <w:rFonts w:ascii="Arial" w:hAnsi="Arial" w:cs="Arial"/>
          <w:sz w:val="22"/>
          <w:szCs w:val="22"/>
        </w:rPr>
        <w:t xml:space="preserve">, time starts running from the date when grounds for making the application first arose, </w:t>
      </w:r>
      <w:r w:rsidRPr="00653948">
        <w:rPr>
          <w:rFonts w:ascii="Arial" w:hAnsi="Arial" w:cs="Arial"/>
          <w:i/>
          <w:sz w:val="22"/>
          <w:szCs w:val="22"/>
        </w:rPr>
        <w:t>not</w:t>
      </w:r>
      <w:r w:rsidRPr="00653948">
        <w:rPr>
          <w:rFonts w:ascii="Arial" w:hAnsi="Arial" w:cs="Arial"/>
          <w:sz w:val="22"/>
          <w:szCs w:val="22"/>
        </w:rPr>
        <w:t xml:space="preserve"> from when the claimant first knew of those grounds: see </w:t>
      </w:r>
      <w:r w:rsidRPr="007833C4">
        <w:rPr>
          <w:rFonts w:ascii="Arial" w:hAnsi="Arial" w:cs="Arial"/>
          <w:b/>
          <w:i/>
          <w:sz w:val="22"/>
          <w:szCs w:val="22"/>
        </w:rPr>
        <w:t>Presvac</w:t>
      </w:r>
      <w:r w:rsidRPr="00653948">
        <w:rPr>
          <w:rFonts w:ascii="Arial" w:hAnsi="Arial" w:cs="Arial"/>
          <w:sz w:val="22"/>
          <w:szCs w:val="22"/>
        </w:rPr>
        <w:t xml:space="preserve">, above. However, the point at which the claimant acquired the requisite knowledge may be material to any application for an extension of time – and in EU cases see the discussion of </w:t>
      </w:r>
      <w:r w:rsidRPr="007833C4">
        <w:rPr>
          <w:rFonts w:ascii="Arial" w:hAnsi="Arial" w:cs="Arial"/>
          <w:b/>
          <w:i/>
          <w:sz w:val="22"/>
          <w:szCs w:val="22"/>
        </w:rPr>
        <w:t>Uniplex</w:t>
      </w:r>
      <w:r w:rsidRPr="00653948">
        <w:rPr>
          <w:rFonts w:ascii="Arial" w:hAnsi="Arial" w:cs="Arial"/>
          <w:sz w:val="22"/>
          <w:szCs w:val="22"/>
        </w:rPr>
        <w:t>, above.</w:t>
      </w:r>
      <w:r>
        <w:rPr>
          <w:rFonts w:ascii="Arial" w:hAnsi="Arial" w:cs="Arial"/>
          <w:sz w:val="22"/>
          <w:szCs w:val="22"/>
        </w:rPr>
        <w:t xml:space="preserve"> Further, if the decision under challenge has not been communicated there may be scope for arguing that until it has been communicated it has no legal effect (see </w:t>
      </w:r>
      <w:r w:rsidRPr="007833C4">
        <w:rPr>
          <w:rFonts w:ascii="Arial" w:hAnsi="Arial" w:cs="Arial"/>
          <w:b/>
          <w:i/>
          <w:sz w:val="22"/>
          <w:szCs w:val="22"/>
        </w:rPr>
        <w:t>R (Anufrijeva) v Secretary of State for the Home Department</w:t>
      </w:r>
      <w:r>
        <w:rPr>
          <w:rFonts w:ascii="Arial" w:hAnsi="Arial" w:cs="Arial"/>
          <w:i/>
          <w:sz w:val="22"/>
          <w:szCs w:val="22"/>
        </w:rPr>
        <w:t xml:space="preserve"> </w:t>
      </w:r>
      <w:r>
        <w:rPr>
          <w:rFonts w:ascii="Arial" w:hAnsi="Arial" w:cs="Arial"/>
          <w:sz w:val="22"/>
          <w:szCs w:val="22"/>
        </w:rPr>
        <w:t>[</w:t>
      </w:r>
      <w:r w:rsidR="007833C4">
        <w:rPr>
          <w:rFonts w:ascii="Arial" w:hAnsi="Arial" w:cs="Arial"/>
          <w:sz w:val="22"/>
          <w:szCs w:val="22"/>
        </w:rPr>
        <w:t>2003] UKHL 36, [</w:t>
      </w:r>
      <w:r>
        <w:rPr>
          <w:rFonts w:ascii="Arial" w:hAnsi="Arial" w:cs="Arial"/>
          <w:sz w:val="22"/>
          <w:szCs w:val="22"/>
        </w:rPr>
        <w:t xml:space="preserve">2004] 1 AC 604) and therefore time does not start to run until communication of the decision (however see </w:t>
      </w:r>
      <w:r w:rsidRPr="007833C4">
        <w:rPr>
          <w:rFonts w:ascii="Arial" w:hAnsi="Arial" w:cs="Arial"/>
          <w:b/>
          <w:i/>
          <w:sz w:val="22"/>
          <w:szCs w:val="22"/>
        </w:rPr>
        <w:t>R (Lekstaka) v Immigration Appeal Tribunal</w:t>
      </w:r>
      <w:r>
        <w:rPr>
          <w:rFonts w:ascii="Arial" w:hAnsi="Arial" w:cs="Arial"/>
          <w:i/>
          <w:sz w:val="22"/>
          <w:szCs w:val="22"/>
        </w:rPr>
        <w:t xml:space="preserve"> </w:t>
      </w:r>
      <w:r>
        <w:rPr>
          <w:rFonts w:ascii="Arial" w:hAnsi="Arial" w:cs="Arial"/>
          <w:sz w:val="22"/>
          <w:szCs w:val="22"/>
        </w:rPr>
        <w:t>[2005] EWHC 745 (Admin)).</w:t>
      </w:r>
    </w:p>
    <w:p w14:paraId="432F6C01" w14:textId="77777777" w:rsidR="00EB5785" w:rsidRPr="00653948" w:rsidRDefault="00EB5785" w:rsidP="00EB5785">
      <w:pPr>
        <w:pStyle w:val="BodyTextIndent3"/>
        <w:ind w:left="0"/>
        <w:rPr>
          <w:rFonts w:ascii="Arial" w:hAnsi="Arial" w:cs="Arial"/>
          <w:sz w:val="22"/>
          <w:szCs w:val="22"/>
        </w:rPr>
      </w:pPr>
    </w:p>
    <w:p w14:paraId="0D4F45B9" w14:textId="1DB301D1" w:rsidR="00EB5785" w:rsidRPr="00653948" w:rsidRDefault="00EB5785" w:rsidP="00EB5785">
      <w:pPr>
        <w:pStyle w:val="BodyTextIndent3"/>
        <w:numPr>
          <w:ilvl w:val="0"/>
          <w:numId w:val="34"/>
        </w:numPr>
        <w:rPr>
          <w:rFonts w:ascii="Arial" w:hAnsi="Arial" w:cs="Arial"/>
          <w:sz w:val="22"/>
          <w:szCs w:val="22"/>
        </w:rPr>
      </w:pPr>
      <w:r w:rsidRPr="00640AFB">
        <w:rPr>
          <w:rFonts w:ascii="Arial" w:hAnsi="Arial" w:cs="Arial"/>
          <w:i/>
          <w:sz w:val="22"/>
          <w:szCs w:val="22"/>
        </w:rPr>
        <w:t>Fourthly</w:t>
      </w:r>
      <w:r w:rsidRPr="00653948">
        <w:rPr>
          <w:rFonts w:ascii="Arial" w:hAnsi="Arial" w:cs="Arial"/>
          <w:sz w:val="22"/>
          <w:szCs w:val="22"/>
        </w:rPr>
        <w:t>, the question is when grounds for the application first arose, and the claimant will not be able to evade problems of delay by “</w:t>
      </w:r>
      <w:r w:rsidRPr="007833C4">
        <w:rPr>
          <w:rFonts w:ascii="Arial" w:hAnsi="Arial" w:cs="Arial"/>
          <w:i/>
          <w:sz w:val="22"/>
          <w:szCs w:val="22"/>
        </w:rPr>
        <w:t>dressing up</w:t>
      </w:r>
      <w:r w:rsidRPr="00653948">
        <w:rPr>
          <w:rFonts w:ascii="Arial" w:hAnsi="Arial" w:cs="Arial"/>
          <w:sz w:val="22"/>
          <w:szCs w:val="22"/>
        </w:rPr>
        <w:t xml:space="preserve">” his challenge as one to some subsequent stage in the decision-making process.  However, the decision in </w:t>
      </w:r>
      <w:r w:rsidRPr="007833C4">
        <w:rPr>
          <w:rFonts w:ascii="Arial" w:hAnsi="Arial" w:cs="Arial"/>
          <w:b/>
          <w:i/>
          <w:sz w:val="22"/>
          <w:szCs w:val="22"/>
        </w:rPr>
        <w:t>Burkett</w:t>
      </w:r>
      <w:r w:rsidRPr="00653948">
        <w:rPr>
          <w:rFonts w:ascii="Arial" w:hAnsi="Arial" w:cs="Arial"/>
          <w:i/>
          <w:sz w:val="22"/>
          <w:szCs w:val="22"/>
        </w:rPr>
        <w:t xml:space="preserve"> </w:t>
      </w:r>
      <w:r w:rsidRPr="00653948">
        <w:rPr>
          <w:rFonts w:ascii="Arial" w:hAnsi="Arial" w:cs="Arial"/>
          <w:sz w:val="22"/>
          <w:szCs w:val="22"/>
        </w:rPr>
        <w:t xml:space="preserve">(where time was held to run from the formal grant of planning permission, rather than from the resolution to grant it) represents some mitigation of the very strict approach previously taken in </w:t>
      </w:r>
      <w:r w:rsidRPr="007833C4">
        <w:rPr>
          <w:rFonts w:ascii="Arial" w:hAnsi="Arial" w:cs="Arial"/>
          <w:b/>
          <w:i/>
          <w:sz w:val="22"/>
          <w:szCs w:val="22"/>
        </w:rPr>
        <w:t>R v Secretary of State for Trade and I</w:t>
      </w:r>
      <w:r w:rsidR="00640AFB" w:rsidRPr="007833C4">
        <w:rPr>
          <w:rFonts w:ascii="Arial" w:hAnsi="Arial" w:cs="Arial"/>
          <w:b/>
          <w:i/>
          <w:sz w:val="22"/>
          <w:szCs w:val="22"/>
        </w:rPr>
        <w:t>ndustry</w:t>
      </w:r>
      <w:r w:rsidR="00C10D1E" w:rsidRPr="007833C4">
        <w:rPr>
          <w:rFonts w:ascii="Arial" w:hAnsi="Arial" w:cs="Arial"/>
          <w:b/>
          <w:i/>
          <w:sz w:val="22"/>
          <w:szCs w:val="22"/>
        </w:rPr>
        <w:t>,</w:t>
      </w:r>
      <w:r w:rsidR="00640AFB" w:rsidRPr="007833C4">
        <w:rPr>
          <w:rFonts w:ascii="Arial" w:hAnsi="Arial" w:cs="Arial"/>
          <w:b/>
          <w:i/>
          <w:sz w:val="22"/>
          <w:szCs w:val="22"/>
        </w:rPr>
        <w:t xml:space="preserve"> ex p. Greenpeace Ltd. (N</w:t>
      </w:r>
      <w:r w:rsidRPr="007833C4">
        <w:rPr>
          <w:rFonts w:ascii="Arial" w:hAnsi="Arial" w:cs="Arial"/>
          <w:b/>
          <w:i/>
          <w:sz w:val="22"/>
          <w:szCs w:val="22"/>
        </w:rPr>
        <w:t>o.1)</w:t>
      </w:r>
      <w:r w:rsidRPr="00653948">
        <w:rPr>
          <w:rFonts w:ascii="Arial" w:hAnsi="Arial" w:cs="Arial"/>
          <w:i/>
          <w:sz w:val="22"/>
          <w:szCs w:val="22"/>
        </w:rPr>
        <w:t xml:space="preserve"> </w:t>
      </w:r>
      <w:r w:rsidRPr="00653948">
        <w:rPr>
          <w:rFonts w:ascii="Arial" w:hAnsi="Arial" w:cs="Arial"/>
          <w:sz w:val="22"/>
          <w:szCs w:val="22"/>
        </w:rPr>
        <w:t>[1998] Env</w:t>
      </w:r>
      <w:r>
        <w:rPr>
          <w:rFonts w:ascii="Arial" w:hAnsi="Arial" w:cs="Arial"/>
          <w:sz w:val="22"/>
          <w:szCs w:val="22"/>
        </w:rPr>
        <w:t xml:space="preserve"> L</w:t>
      </w:r>
      <w:r w:rsidRPr="00653948">
        <w:rPr>
          <w:rFonts w:ascii="Arial" w:hAnsi="Arial" w:cs="Arial"/>
          <w:sz w:val="22"/>
          <w:szCs w:val="22"/>
        </w:rPr>
        <w:t>R 415</w:t>
      </w:r>
      <w:r w:rsidR="007833C4">
        <w:rPr>
          <w:rFonts w:ascii="Arial" w:hAnsi="Arial" w:cs="Arial"/>
          <w:sz w:val="22"/>
          <w:szCs w:val="22"/>
        </w:rPr>
        <w:t>, QBD</w:t>
      </w:r>
      <w:r w:rsidRPr="00653948">
        <w:rPr>
          <w:rFonts w:ascii="Arial" w:hAnsi="Arial" w:cs="Arial"/>
          <w:sz w:val="22"/>
          <w:szCs w:val="22"/>
        </w:rPr>
        <w:t xml:space="preserve">.  For a further application of this more liberal approach, see </w:t>
      </w:r>
      <w:r w:rsidRPr="007833C4">
        <w:rPr>
          <w:rFonts w:ascii="Arial" w:hAnsi="Arial" w:cs="Arial"/>
          <w:b/>
          <w:i/>
          <w:sz w:val="22"/>
          <w:szCs w:val="22"/>
        </w:rPr>
        <w:t>R (Catt) v B</w:t>
      </w:r>
      <w:r w:rsidR="00640AFB" w:rsidRPr="007833C4">
        <w:rPr>
          <w:rFonts w:ascii="Arial" w:hAnsi="Arial" w:cs="Arial"/>
          <w:b/>
          <w:i/>
          <w:sz w:val="22"/>
          <w:szCs w:val="22"/>
        </w:rPr>
        <w:t xml:space="preserve">righton &amp; Hove </w:t>
      </w:r>
      <w:r w:rsidRPr="007833C4">
        <w:rPr>
          <w:rFonts w:ascii="Arial" w:hAnsi="Arial" w:cs="Arial"/>
          <w:b/>
          <w:i/>
          <w:sz w:val="22"/>
          <w:szCs w:val="22"/>
        </w:rPr>
        <w:t>C</w:t>
      </w:r>
      <w:r w:rsidR="00640AFB" w:rsidRPr="007833C4">
        <w:rPr>
          <w:rFonts w:ascii="Arial" w:hAnsi="Arial" w:cs="Arial"/>
          <w:b/>
          <w:i/>
          <w:sz w:val="22"/>
          <w:szCs w:val="22"/>
        </w:rPr>
        <w:t>ity Council</w:t>
      </w:r>
      <w:r w:rsidRPr="007833C4">
        <w:rPr>
          <w:rFonts w:ascii="Arial" w:hAnsi="Arial" w:cs="Arial"/>
          <w:b/>
          <w:i/>
          <w:sz w:val="22"/>
          <w:szCs w:val="22"/>
        </w:rPr>
        <w:t xml:space="preserve"> </w:t>
      </w:r>
      <w:r w:rsidRPr="00653948">
        <w:rPr>
          <w:rFonts w:ascii="Arial" w:hAnsi="Arial" w:cs="Arial"/>
          <w:sz w:val="22"/>
          <w:szCs w:val="22"/>
        </w:rPr>
        <w:t>[2007] EWCA Civ 298,</w:t>
      </w:r>
      <w:r w:rsidR="007833C4">
        <w:rPr>
          <w:rFonts w:ascii="Arial" w:hAnsi="Arial" w:cs="Arial"/>
          <w:sz w:val="22"/>
          <w:szCs w:val="22"/>
        </w:rPr>
        <w:t xml:space="preserve"> [2007] Env LR 32,</w:t>
      </w:r>
      <w:r w:rsidRPr="00653948">
        <w:rPr>
          <w:rFonts w:ascii="Arial" w:hAnsi="Arial" w:cs="Arial"/>
          <w:sz w:val="22"/>
          <w:szCs w:val="22"/>
        </w:rPr>
        <w:t xml:space="preserve"> indicating that it is not until a decision is made which actually affects the citizen’s interests that time starts to run against him – although it was indicated that where some earlier step along the way had served to give notice of the likely point of legal dispute, that might call for a greater degree of promptness in challenging the eventual decision once it was taken (as to that, see also </w:t>
      </w:r>
      <w:r w:rsidRPr="007833C4">
        <w:rPr>
          <w:rFonts w:ascii="Arial" w:hAnsi="Arial" w:cs="Arial"/>
          <w:b/>
          <w:i/>
          <w:sz w:val="22"/>
          <w:szCs w:val="22"/>
        </w:rPr>
        <w:t>Zeb v Birmingham C</w:t>
      </w:r>
      <w:r w:rsidR="007833C4" w:rsidRPr="007833C4">
        <w:rPr>
          <w:rFonts w:ascii="Arial" w:hAnsi="Arial" w:cs="Arial"/>
          <w:b/>
          <w:i/>
          <w:sz w:val="22"/>
          <w:szCs w:val="22"/>
        </w:rPr>
        <w:t xml:space="preserve">ity </w:t>
      </w:r>
      <w:r w:rsidRPr="007833C4">
        <w:rPr>
          <w:rFonts w:ascii="Arial" w:hAnsi="Arial" w:cs="Arial"/>
          <w:b/>
          <w:i/>
          <w:sz w:val="22"/>
          <w:szCs w:val="22"/>
        </w:rPr>
        <w:t>C</w:t>
      </w:r>
      <w:r w:rsidR="007833C4" w:rsidRPr="007833C4">
        <w:rPr>
          <w:rFonts w:ascii="Arial" w:hAnsi="Arial" w:cs="Arial"/>
          <w:b/>
          <w:i/>
          <w:sz w:val="22"/>
          <w:szCs w:val="22"/>
        </w:rPr>
        <w:t>ouncil</w:t>
      </w:r>
      <w:r w:rsidR="007833C4">
        <w:rPr>
          <w:rFonts w:ascii="Arial" w:hAnsi="Arial" w:cs="Arial"/>
          <w:sz w:val="22"/>
          <w:szCs w:val="22"/>
        </w:rPr>
        <w:t xml:space="preserve"> [2009] EWHC 3597 (Admin),</w:t>
      </w:r>
      <w:r w:rsidRPr="00653948">
        <w:rPr>
          <w:rFonts w:ascii="Arial" w:hAnsi="Arial" w:cs="Arial"/>
          <w:i/>
          <w:sz w:val="22"/>
          <w:szCs w:val="22"/>
        </w:rPr>
        <w:t xml:space="preserve"> </w:t>
      </w:r>
      <w:r w:rsidRPr="00653948">
        <w:rPr>
          <w:rFonts w:ascii="Arial" w:hAnsi="Arial" w:cs="Arial"/>
          <w:sz w:val="22"/>
          <w:szCs w:val="22"/>
        </w:rPr>
        <w:t>[2010] Env</w:t>
      </w:r>
      <w:r>
        <w:rPr>
          <w:rFonts w:ascii="Arial" w:hAnsi="Arial" w:cs="Arial"/>
          <w:sz w:val="22"/>
          <w:szCs w:val="22"/>
        </w:rPr>
        <w:t xml:space="preserve"> </w:t>
      </w:r>
      <w:r w:rsidRPr="00653948">
        <w:rPr>
          <w:rFonts w:ascii="Arial" w:hAnsi="Arial" w:cs="Arial"/>
          <w:sz w:val="22"/>
          <w:szCs w:val="22"/>
        </w:rPr>
        <w:t xml:space="preserve">LR 30).  As a defendant’s intentions develop, it may not always be easy to know whether time has started to run for a challenge, or whether on the other hand such a challenge might be characterised as premature: see e.g. </w:t>
      </w:r>
      <w:r w:rsidRPr="007833C4">
        <w:rPr>
          <w:rFonts w:ascii="Arial" w:hAnsi="Arial" w:cs="Arial"/>
          <w:b/>
          <w:i/>
          <w:sz w:val="22"/>
          <w:szCs w:val="22"/>
        </w:rPr>
        <w:t xml:space="preserve">R (Breckland DC) v </w:t>
      </w:r>
      <w:r w:rsidR="00640AFB" w:rsidRPr="007833C4">
        <w:rPr>
          <w:rFonts w:ascii="Arial" w:hAnsi="Arial" w:cs="Arial"/>
          <w:b/>
          <w:i/>
          <w:sz w:val="22"/>
          <w:szCs w:val="22"/>
        </w:rPr>
        <w:t xml:space="preserve">Electoral Commission </w:t>
      </w:r>
      <w:r w:rsidRPr="007833C4">
        <w:rPr>
          <w:rFonts w:ascii="Arial" w:hAnsi="Arial" w:cs="Arial"/>
          <w:b/>
          <w:i/>
          <w:sz w:val="22"/>
          <w:szCs w:val="22"/>
        </w:rPr>
        <w:t>Boundary Committee</w:t>
      </w:r>
      <w:r w:rsidR="00640AFB" w:rsidRPr="007833C4">
        <w:rPr>
          <w:rFonts w:ascii="Arial" w:hAnsi="Arial" w:cs="Arial"/>
          <w:b/>
          <w:i/>
          <w:sz w:val="22"/>
          <w:szCs w:val="22"/>
        </w:rPr>
        <w:t xml:space="preserve"> for England</w:t>
      </w:r>
      <w:r w:rsidRPr="00653948">
        <w:rPr>
          <w:rFonts w:ascii="Arial" w:hAnsi="Arial" w:cs="Arial"/>
          <w:sz w:val="22"/>
          <w:szCs w:val="22"/>
        </w:rPr>
        <w:t xml:space="preserve"> [</w:t>
      </w:r>
      <w:r w:rsidR="007833C4">
        <w:rPr>
          <w:rFonts w:ascii="Arial" w:hAnsi="Arial" w:cs="Arial"/>
          <w:sz w:val="22"/>
          <w:szCs w:val="22"/>
        </w:rPr>
        <w:t>2009] EWCA Civ 239, [</w:t>
      </w:r>
      <w:r w:rsidRPr="00653948">
        <w:rPr>
          <w:rFonts w:ascii="Arial" w:hAnsi="Arial" w:cs="Arial"/>
          <w:sz w:val="22"/>
          <w:szCs w:val="22"/>
        </w:rPr>
        <w:t xml:space="preserve">2009] </w:t>
      </w:r>
      <w:r w:rsidR="00640AFB">
        <w:rPr>
          <w:rFonts w:ascii="Arial" w:hAnsi="Arial" w:cs="Arial"/>
          <w:sz w:val="22"/>
          <w:szCs w:val="22"/>
        </w:rPr>
        <w:lastRenderedPageBreak/>
        <w:t>B</w:t>
      </w:r>
      <w:r w:rsidRPr="00653948">
        <w:rPr>
          <w:rFonts w:ascii="Arial" w:hAnsi="Arial" w:cs="Arial"/>
          <w:sz w:val="22"/>
          <w:szCs w:val="22"/>
        </w:rPr>
        <w:t xml:space="preserve">LGR 589, </w:t>
      </w:r>
      <w:r w:rsidRPr="007833C4">
        <w:rPr>
          <w:rFonts w:ascii="Arial" w:hAnsi="Arial" w:cs="Arial"/>
          <w:b/>
          <w:i/>
          <w:sz w:val="22"/>
          <w:szCs w:val="22"/>
        </w:rPr>
        <w:t>R (Risk Management Partners Ltd</w:t>
      </w:r>
      <w:r w:rsidR="007833C4">
        <w:rPr>
          <w:rFonts w:ascii="Arial" w:hAnsi="Arial" w:cs="Arial"/>
          <w:b/>
          <w:i/>
          <w:sz w:val="22"/>
          <w:szCs w:val="22"/>
        </w:rPr>
        <w:t>.</w:t>
      </w:r>
      <w:r w:rsidRPr="007833C4">
        <w:rPr>
          <w:rFonts w:ascii="Arial" w:hAnsi="Arial" w:cs="Arial"/>
          <w:b/>
          <w:i/>
          <w:sz w:val="22"/>
          <w:szCs w:val="22"/>
        </w:rPr>
        <w:t>) v Brent LBC</w:t>
      </w:r>
      <w:r w:rsidRPr="00653948">
        <w:rPr>
          <w:rFonts w:ascii="Arial" w:hAnsi="Arial" w:cs="Arial"/>
          <w:i/>
          <w:sz w:val="22"/>
          <w:szCs w:val="22"/>
        </w:rPr>
        <w:t xml:space="preserve"> </w:t>
      </w:r>
      <w:r w:rsidRPr="00653948">
        <w:rPr>
          <w:rFonts w:ascii="Arial" w:hAnsi="Arial" w:cs="Arial"/>
          <w:sz w:val="22"/>
          <w:szCs w:val="22"/>
        </w:rPr>
        <w:t>[</w:t>
      </w:r>
      <w:r w:rsidR="007833C4">
        <w:rPr>
          <w:rFonts w:ascii="Arial" w:hAnsi="Arial" w:cs="Arial"/>
          <w:sz w:val="22"/>
          <w:szCs w:val="22"/>
        </w:rPr>
        <w:t>2009] EWCA Civ 490, [</w:t>
      </w:r>
      <w:r w:rsidRPr="00653948">
        <w:rPr>
          <w:rFonts w:ascii="Arial" w:hAnsi="Arial" w:cs="Arial"/>
          <w:sz w:val="22"/>
          <w:szCs w:val="22"/>
        </w:rPr>
        <w:t>2010]</w:t>
      </w:r>
      <w:r w:rsidR="007833C4">
        <w:rPr>
          <w:rFonts w:ascii="Arial" w:hAnsi="Arial" w:cs="Arial"/>
          <w:sz w:val="22"/>
          <w:szCs w:val="22"/>
        </w:rPr>
        <w:t xml:space="preserve"> PTSR 349,</w:t>
      </w:r>
      <w:r w:rsidRPr="00653948">
        <w:rPr>
          <w:rStyle w:val="FootnoteReference"/>
          <w:rFonts w:ascii="Arial" w:hAnsi="Arial" w:cs="Arial"/>
          <w:sz w:val="22"/>
          <w:szCs w:val="22"/>
        </w:rPr>
        <w:footnoteReference w:id="12"/>
      </w:r>
      <w:r w:rsidR="00616029">
        <w:rPr>
          <w:rFonts w:ascii="Arial" w:hAnsi="Arial" w:cs="Arial"/>
          <w:sz w:val="22"/>
          <w:szCs w:val="22"/>
        </w:rPr>
        <w:t xml:space="preserve"> and </w:t>
      </w:r>
      <w:r w:rsidR="00616029" w:rsidRPr="00876D4C">
        <w:rPr>
          <w:rFonts w:ascii="Arial" w:hAnsi="Arial" w:cs="Arial"/>
          <w:b/>
          <w:i/>
          <w:sz w:val="22"/>
          <w:szCs w:val="22"/>
        </w:rPr>
        <w:t>R (Easybus Ltd) v Stansted Airport Ltd</w:t>
      </w:r>
      <w:r w:rsidR="00876D4C">
        <w:rPr>
          <w:rFonts w:ascii="Arial" w:hAnsi="Arial" w:cs="Arial"/>
          <w:b/>
          <w:sz w:val="22"/>
          <w:szCs w:val="22"/>
        </w:rPr>
        <w:t>.</w:t>
      </w:r>
      <w:r w:rsidR="00616029">
        <w:rPr>
          <w:rFonts w:ascii="Arial" w:hAnsi="Arial" w:cs="Arial"/>
          <w:sz w:val="22"/>
          <w:szCs w:val="22"/>
        </w:rPr>
        <w:t xml:space="preserve"> [2015] EWHC 3833 (Admin)</w:t>
      </w:r>
      <w:r w:rsidRPr="00653948">
        <w:rPr>
          <w:rFonts w:ascii="Arial" w:hAnsi="Arial" w:cs="Arial"/>
          <w:sz w:val="22"/>
          <w:szCs w:val="22"/>
        </w:rPr>
        <w:t xml:space="preserve">. The most recent </w:t>
      </w:r>
      <w:r w:rsidR="00640AFB">
        <w:rPr>
          <w:rFonts w:ascii="Arial" w:hAnsi="Arial" w:cs="Arial"/>
          <w:sz w:val="22"/>
          <w:szCs w:val="22"/>
        </w:rPr>
        <w:t xml:space="preserve">significant </w:t>
      </w:r>
      <w:r w:rsidRPr="00653948">
        <w:rPr>
          <w:rFonts w:ascii="Arial" w:hAnsi="Arial" w:cs="Arial"/>
          <w:sz w:val="22"/>
          <w:szCs w:val="22"/>
        </w:rPr>
        <w:t xml:space="preserve">decision on the vexed question of when time starts to run is that of the Court of Appeal in </w:t>
      </w:r>
      <w:r w:rsidRPr="00876D4C">
        <w:rPr>
          <w:rFonts w:ascii="Arial" w:hAnsi="Arial" w:cs="Arial"/>
          <w:b/>
          <w:i/>
          <w:sz w:val="22"/>
          <w:szCs w:val="22"/>
        </w:rPr>
        <w:t>R (Nash) v Barnet LBC</w:t>
      </w:r>
      <w:r w:rsidRPr="00653948">
        <w:rPr>
          <w:rFonts w:ascii="Arial" w:hAnsi="Arial" w:cs="Arial"/>
          <w:i/>
          <w:sz w:val="22"/>
          <w:szCs w:val="22"/>
        </w:rPr>
        <w:t xml:space="preserve"> </w:t>
      </w:r>
      <w:r w:rsidRPr="00653948">
        <w:rPr>
          <w:rFonts w:ascii="Arial" w:hAnsi="Arial" w:cs="Arial"/>
          <w:sz w:val="22"/>
          <w:szCs w:val="22"/>
        </w:rPr>
        <w:t>[2013] EWCA Civ 1004</w:t>
      </w:r>
      <w:r w:rsidR="00876D4C">
        <w:rPr>
          <w:rFonts w:ascii="Arial" w:hAnsi="Arial" w:cs="Arial"/>
          <w:sz w:val="22"/>
          <w:szCs w:val="22"/>
        </w:rPr>
        <w:t>, [2013] PTSR 1457</w:t>
      </w:r>
      <w:r w:rsidRPr="00653948">
        <w:rPr>
          <w:rFonts w:ascii="Arial" w:hAnsi="Arial" w:cs="Arial"/>
          <w:sz w:val="22"/>
          <w:szCs w:val="22"/>
        </w:rPr>
        <w:t>.</w:t>
      </w:r>
    </w:p>
    <w:p w14:paraId="35327824" w14:textId="77777777" w:rsidR="00EB5785" w:rsidRPr="00653948" w:rsidRDefault="00EB5785" w:rsidP="00EB5785">
      <w:pPr>
        <w:pStyle w:val="BodyTextIndent3"/>
        <w:rPr>
          <w:rFonts w:ascii="Arial" w:hAnsi="Arial" w:cs="Arial"/>
          <w:sz w:val="22"/>
          <w:szCs w:val="22"/>
        </w:rPr>
      </w:pPr>
    </w:p>
    <w:p w14:paraId="6C37BDD0" w14:textId="33F36841"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 xml:space="preserve">It is important to note that, if the court decides at the permission stage that the claimant’s time for applying for judicial review should be extended, that is not a matter which can be reopened at the substantive hearing: see </w:t>
      </w:r>
      <w:r w:rsidRPr="00876D4C">
        <w:rPr>
          <w:rFonts w:ascii="Arial" w:hAnsi="Arial" w:cs="Arial"/>
          <w:b/>
          <w:i/>
          <w:sz w:val="22"/>
          <w:szCs w:val="22"/>
        </w:rPr>
        <w:t>R v Criminal Injuries Compensation Board</w:t>
      </w:r>
      <w:r w:rsidR="00C10D1E" w:rsidRPr="00876D4C">
        <w:rPr>
          <w:rFonts w:ascii="Arial" w:hAnsi="Arial" w:cs="Arial"/>
          <w:b/>
          <w:i/>
          <w:sz w:val="22"/>
          <w:szCs w:val="22"/>
        </w:rPr>
        <w:t>,</w:t>
      </w:r>
      <w:r w:rsidRPr="00876D4C">
        <w:rPr>
          <w:rFonts w:ascii="Arial" w:hAnsi="Arial" w:cs="Arial"/>
          <w:b/>
          <w:i/>
          <w:sz w:val="22"/>
          <w:szCs w:val="22"/>
        </w:rPr>
        <w:t xml:space="preserve"> ex p. A</w:t>
      </w:r>
      <w:r w:rsidR="00640AFB">
        <w:rPr>
          <w:rFonts w:ascii="Arial" w:hAnsi="Arial" w:cs="Arial"/>
          <w:sz w:val="22"/>
          <w:szCs w:val="22"/>
        </w:rPr>
        <w:t xml:space="preserve"> [199</w:t>
      </w:r>
      <w:r w:rsidR="00133846">
        <w:rPr>
          <w:rFonts w:ascii="Arial" w:hAnsi="Arial" w:cs="Arial"/>
          <w:sz w:val="22"/>
          <w:szCs w:val="22"/>
        </w:rPr>
        <w:t>9</w:t>
      </w:r>
      <w:r w:rsidR="00640AFB">
        <w:rPr>
          <w:rFonts w:ascii="Arial" w:hAnsi="Arial" w:cs="Arial"/>
          <w:sz w:val="22"/>
          <w:szCs w:val="22"/>
        </w:rPr>
        <w:t>] 2</w:t>
      </w:r>
      <w:r w:rsidRPr="00653948">
        <w:rPr>
          <w:rFonts w:ascii="Arial" w:hAnsi="Arial" w:cs="Arial"/>
          <w:sz w:val="22"/>
          <w:szCs w:val="22"/>
        </w:rPr>
        <w:t xml:space="preserve"> AC 330.  The defendant will in those circumstances be limited to relying upon SCA</w:t>
      </w:r>
      <w:r w:rsidR="00640AFB">
        <w:rPr>
          <w:rFonts w:ascii="Arial" w:hAnsi="Arial" w:cs="Arial"/>
          <w:sz w:val="22"/>
          <w:szCs w:val="22"/>
        </w:rPr>
        <w:t xml:space="preserve"> 19</w:t>
      </w:r>
      <w:r w:rsidRPr="00653948">
        <w:rPr>
          <w:rFonts w:ascii="Arial" w:hAnsi="Arial" w:cs="Arial"/>
          <w:sz w:val="22"/>
          <w:szCs w:val="22"/>
        </w:rPr>
        <w:t>81 s</w:t>
      </w:r>
      <w:r w:rsidR="00640AFB">
        <w:rPr>
          <w:rFonts w:ascii="Arial" w:hAnsi="Arial" w:cs="Arial"/>
          <w:sz w:val="22"/>
          <w:szCs w:val="22"/>
        </w:rPr>
        <w:t>.</w:t>
      </w:r>
      <w:r w:rsidRPr="00653948">
        <w:rPr>
          <w:rFonts w:ascii="Arial" w:hAnsi="Arial" w:cs="Arial"/>
          <w:sz w:val="22"/>
          <w:szCs w:val="22"/>
        </w:rPr>
        <w:t>31(6), and will therefore have to be able to show prejudice as well as delay.  Even then, if issues of prejudice have been extensively canvassed at the permission stage, the court will be reluctant to permit the defendant to go over the same ground at the substantive hearing</w:t>
      </w:r>
      <w:r w:rsidR="00876D4C">
        <w:rPr>
          <w:rFonts w:ascii="Arial" w:hAnsi="Arial" w:cs="Arial"/>
          <w:sz w:val="22"/>
          <w:szCs w:val="22"/>
        </w:rPr>
        <w:t>,</w:t>
      </w:r>
      <w:r w:rsidRPr="00653948">
        <w:rPr>
          <w:rFonts w:ascii="Arial" w:hAnsi="Arial" w:cs="Arial"/>
          <w:sz w:val="22"/>
          <w:szCs w:val="22"/>
        </w:rPr>
        <w:t xml:space="preserve"> unless there has been some change of circumstances: see </w:t>
      </w:r>
      <w:r w:rsidRPr="00876D4C">
        <w:rPr>
          <w:rFonts w:ascii="Arial" w:hAnsi="Arial" w:cs="Arial"/>
          <w:b/>
          <w:i/>
          <w:sz w:val="22"/>
          <w:szCs w:val="22"/>
        </w:rPr>
        <w:t xml:space="preserve">R </w:t>
      </w:r>
      <w:r w:rsidR="00640AFB" w:rsidRPr="00876D4C">
        <w:rPr>
          <w:rFonts w:ascii="Arial" w:hAnsi="Arial" w:cs="Arial"/>
          <w:b/>
          <w:i/>
          <w:sz w:val="22"/>
          <w:szCs w:val="22"/>
        </w:rPr>
        <w:t>(Lichfield Securities Ltd.</w:t>
      </w:r>
      <w:r w:rsidR="00640AFB" w:rsidRPr="00876D4C">
        <w:rPr>
          <w:rFonts w:ascii="Arial" w:hAnsi="Arial" w:cs="Arial"/>
          <w:b/>
          <w:sz w:val="22"/>
          <w:szCs w:val="22"/>
        </w:rPr>
        <w:t xml:space="preserve">) </w:t>
      </w:r>
      <w:r w:rsidRPr="00876D4C">
        <w:rPr>
          <w:rFonts w:ascii="Arial" w:hAnsi="Arial" w:cs="Arial"/>
          <w:b/>
          <w:i/>
          <w:sz w:val="22"/>
          <w:szCs w:val="22"/>
        </w:rPr>
        <w:t>v Lichfield DC</w:t>
      </w:r>
      <w:r w:rsidRPr="00653948">
        <w:rPr>
          <w:rFonts w:ascii="Arial" w:hAnsi="Arial" w:cs="Arial"/>
          <w:i/>
          <w:sz w:val="22"/>
          <w:szCs w:val="22"/>
        </w:rPr>
        <w:t xml:space="preserve"> </w:t>
      </w:r>
      <w:r w:rsidRPr="00653948">
        <w:rPr>
          <w:rFonts w:ascii="Arial" w:hAnsi="Arial" w:cs="Arial"/>
          <w:sz w:val="22"/>
          <w:szCs w:val="22"/>
        </w:rPr>
        <w:t xml:space="preserve">[2001] </w:t>
      </w:r>
      <w:r w:rsidR="00640AFB">
        <w:rPr>
          <w:rFonts w:ascii="Arial" w:hAnsi="Arial" w:cs="Arial"/>
          <w:sz w:val="22"/>
          <w:szCs w:val="22"/>
        </w:rPr>
        <w:t>EWCA Civ 304</w:t>
      </w:r>
      <w:r w:rsidR="00876D4C">
        <w:rPr>
          <w:rFonts w:ascii="Arial" w:hAnsi="Arial" w:cs="Arial"/>
          <w:sz w:val="22"/>
          <w:szCs w:val="22"/>
        </w:rPr>
        <w:t>, [2001] 3 LGLR 35</w:t>
      </w:r>
      <w:r w:rsidRPr="00653948">
        <w:rPr>
          <w:rFonts w:ascii="Arial" w:hAnsi="Arial" w:cs="Arial"/>
          <w:sz w:val="22"/>
          <w:szCs w:val="22"/>
        </w:rPr>
        <w:t>.</w:t>
      </w:r>
    </w:p>
    <w:p w14:paraId="3179D25E" w14:textId="77777777" w:rsidR="00EB5785" w:rsidRPr="00653948" w:rsidRDefault="00EB5785" w:rsidP="00EB5785">
      <w:pPr>
        <w:pStyle w:val="BodyTextIndent3"/>
        <w:ind w:left="0"/>
        <w:rPr>
          <w:rFonts w:ascii="Arial" w:hAnsi="Arial" w:cs="Arial"/>
          <w:sz w:val="22"/>
          <w:szCs w:val="22"/>
        </w:rPr>
      </w:pPr>
    </w:p>
    <w:p w14:paraId="29883917" w14:textId="77777777"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One response to these cases has been the emergence of the “rolled up” hearing – if the defendant wishes to argue a point on delay which cannot conveniently be dealt with in a short permission hearing, the question of permission may be adjourned to be considered along with the substantive issues – tantamount for most purposes to granting permission without prejudice to the defendant’s ability to take the delay point at the substantive hearing.</w:t>
      </w:r>
    </w:p>
    <w:p w14:paraId="6A02F222" w14:textId="77777777" w:rsidR="00EB5785" w:rsidRPr="00653948" w:rsidRDefault="00EB5785" w:rsidP="00EB5785">
      <w:pPr>
        <w:pStyle w:val="BodyTextIndent3"/>
        <w:ind w:left="0"/>
        <w:rPr>
          <w:rFonts w:ascii="Arial" w:hAnsi="Arial" w:cs="Arial"/>
          <w:sz w:val="22"/>
          <w:szCs w:val="22"/>
        </w:rPr>
      </w:pPr>
    </w:p>
    <w:p w14:paraId="0E0FE6D5" w14:textId="29A6D7FE" w:rsidR="00EB5785" w:rsidRPr="00653948" w:rsidRDefault="00876D4C" w:rsidP="00EB5785">
      <w:pPr>
        <w:pStyle w:val="BodyTextIndent3"/>
        <w:numPr>
          <w:ilvl w:val="0"/>
          <w:numId w:val="34"/>
        </w:numPr>
        <w:rPr>
          <w:rFonts w:ascii="Arial" w:hAnsi="Arial" w:cs="Arial"/>
          <w:sz w:val="22"/>
          <w:szCs w:val="22"/>
        </w:rPr>
      </w:pPr>
      <w:r>
        <w:rPr>
          <w:rFonts w:ascii="Arial" w:hAnsi="Arial" w:cs="Arial"/>
          <w:sz w:val="22"/>
          <w:szCs w:val="22"/>
        </w:rPr>
        <w:t>From</w:t>
      </w:r>
      <w:r w:rsidR="00EB5785">
        <w:rPr>
          <w:rFonts w:ascii="Arial" w:hAnsi="Arial" w:cs="Arial"/>
          <w:sz w:val="22"/>
          <w:szCs w:val="22"/>
        </w:rPr>
        <w:t xml:space="preserve"> 1 July 2013, two </w:t>
      </w:r>
      <w:r w:rsidR="00EB5785" w:rsidRPr="00653948">
        <w:rPr>
          <w:rFonts w:ascii="Arial" w:hAnsi="Arial" w:cs="Arial"/>
          <w:sz w:val="22"/>
          <w:szCs w:val="22"/>
        </w:rPr>
        <w:t>important changes to the time limits for bringing judicial review c</w:t>
      </w:r>
      <w:r w:rsidR="00EB5785">
        <w:rPr>
          <w:rFonts w:ascii="Arial" w:hAnsi="Arial" w:cs="Arial"/>
          <w:sz w:val="22"/>
          <w:szCs w:val="22"/>
        </w:rPr>
        <w:t>laims were made</w:t>
      </w:r>
      <w:r w:rsidR="00590190">
        <w:rPr>
          <w:rFonts w:ascii="Arial" w:hAnsi="Arial" w:cs="Arial"/>
          <w:sz w:val="22"/>
          <w:szCs w:val="22"/>
        </w:rPr>
        <w:t>:</w:t>
      </w:r>
      <w:r w:rsidR="00EB5785" w:rsidRPr="00653948">
        <w:rPr>
          <w:rFonts w:ascii="Arial" w:hAnsi="Arial" w:cs="Arial"/>
          <w:sz w:val="22"/>
          <w:szCs w:val="22"/>
        </w:rPr>
        <w:t xml:space="preserve"> </w:t>
      </w:r>
    </w:p>
    <w:p w14:paraId="1317431D" w14:textId="77777777" w:rsidR="00EB5785" w:rsidRPr="00653948" w:rsidRDefault="00EB5785" w:rsidP="00EB5785">
      <w:pPr>
        <w:pStyle w:val="BodyTextIndent3"/>
        <w:ind w:left="0"/>
        <w:rPr>
          <w:rFonts w:ascii="Arial" w:hAnsi="Arial" w:cs="Arial"/>
          <w:sz w:val="22"/>
          <w:szCs w:val="22"/>
        </w:rPr>
      </w:pPr>
    </w:p>
    <w:p w14:paraId="7E7658D1" w14:textId="0A7946A8" w:rsidR="00EB5785" w:rsidRPr="004D1D51" w:rsidRDefault="00876D4C" w:rsidP="00C10D1E">
      <w:pPr>
        <w:pStyle w:val="BodyTextIndent3"/>
        <w:numPr>
          <w:ilvl w:val="0"/>
          <w:numId w:val="38"/>
        </w:numPr>
        <w:ind w:left="720"/>
        <w:rPr>
          <w:rFonts w:ascii="Arial" w:hAnsi="Arial" w:cs="Arial"/>
          <w:sz w:val="22"/>
          <w:szCs w:val="22"/>
        </w:rPr>
      </w:pPr>
      <w:r>
        <w:rPr>
          <w:rFonts w:ascii="Arial" w:hAnsi="Arial" w:cs="Arial"/>
          <w:sz w:val="22"/>
          <w:szCs w:val="22"/>
        </w:rPr>
        <w:t>W</w:t>
      </w:r>
      <w:r w:rsidR="00EB5785" w:rsidRPr="00653948">
        <w:rPr>
          <w:rFonts w:ascii="Arial" w:hAnsi="Arial" w:cs="Arial"/>
          <w:sz w:val="22"/>
          <w:szCs w:val="22"/>
        </w:rPr>
        <w:t>here the application for judicial review relates to a decision made by the Secretary of State or local planning authority under the planning acts</w:t>
      </w:r>
      <w:r w:rsidR="00EB5785">
        <w:rPr>
          <w:rFonts w:ascii="Arial" w:hAnsi="Arial" w:cs="Arial"/>
          <w:sz w:val="22"/>
          <w:szCs w:val="22"/>
        </w:rPr>
        <w:t xml:space="preserve"> (as defined by s</w:t>
      </w:r>
      <w:r w:rsidR="00590190">
        <w:rPr>
          <w:rFonts w:ascii="Arial" w:hAnsi="Arial" w:cs="Arial"/>
          <w:sz w:val="22"/>
          <w:szCs w:val="22"/>
        </w:rPr>
        <w:t>.</w:t>
      </w:r>
      <w:r w:rsidR="00EB5785">
        <w:rPr>
          <w:rFonts w:ascii="Arial" w:hAnsi="Arial" w:cs="Arial"/>
          <w:sz w:val="22"/>
          <w:szCs w:val="22"/>
        </w:rPr>
        <w:t xml:space="preserve"> 336 </w:t>
      </w:r>
      <w:r w:rsidR="00590190">
        <w:rPr>
          <w:rFonts w:ascii="Arial" w:hAnsi="Arial" w:cs="Arial"/>
          <w:sz w:val="22"/>
          <w:szCs w:val="22"/>
        </w:rPr>
        <w:t>of the Town and Country Planning Act 1990 (“</w:t>
      </w:r>
      <w:r w:rsidR="00EB5785" w:rsidRPr="00876D4C">
        <w:rPr>
          <w:rFonts w:ascii="Arial" w:hAnsi="Arial" w:cs="Arial"/>
          <w:b/>
          <w:sz w:val="22"/>
          <w:szCs w:val="22"/>
        </w:rPr>
        <w:t>TCPA 1990</w:t>
      </w:r>
      <w:r w:rsidR="00590190">
        <w:rPr>
          <w:rFonts w:ascii="Arial" w:hAnsi="Arial" w:cs="Arial"/>
          <w:sz w:val="22"/>
          <w:szCs w:val="22"/>
        </w:rPr>
        <w:t>”)</w:t>
      </w:r>
      <w:r w:rsidR="00EB5785">
        <w:rPr>
          <w:rFonts w:ascii="Arial" w:hAnsi="Arial" w:cs="Arial"/>
          <w:sz w:val="22"/>
          <w:szCs w:val="22"/>
        </w:rPr>
        <w:t xml:space="preserve"> as the TCPA 1990,</w:t>
      </w:r>
      <w:r w:rsidR="00EB5785" w:rsidRPr="004D1D51">
        <w:rPr>
          <w:rFonts w:ascii="Arial" w:hAnsi="Arial" w:cs="Arial"/>
          <w:sz w:val="22"/>
          <w:szCs w:val="22"/>
        </w:rPr>
        <w:t> the Planning (Listed Buildings and Conservation Areas) Act 1990, the Planning (Hazardous Substances) Act 1990 and the Planning (Con</w:t>
      </w:r>
      <w:r w:rsidR="00EB5785">
        <w:rPr>
          <w:rFonts w:ascii="Arial" w:hAnsi="Arial" w:cs="Arial"/>
          <w:sz w:val="22"/>
          <w:szCs w:val="22"/>
        </w:rPr>
        <w:t>sequential Provisions) Act 1990), t</w:t>
      </w:r>
      <w:r w:rsidR="00EB5785" w:rsidRPr="004D1D51">
        <w:rPr>
          <w:rFonts w:ascii="Arial" w:hAnsi="Arial" w:cs="Arial"/>
          <w:sz w:val="22"/>
          <w:szCs w:val="22"/>
        </w:rPr>
        <w:t xml:space="preserve">he claim form must be filed not later than six weeks after the grounds to make the claim first arose: see CPR </w:t>
      </w:r>
      <w:r w:rsidR="00590190">
        <w:rPr>
          <w:rFonts w:ascii="Arial" w:hAnsi="Arial" w:cs="Arial"/>
          <w:sz w:val="22"/>
          <w:szCs w:val="22"/>
        </w:rPr>
        <w:t>r.</w:t>
      </w:r>
      <w:r w:rsidR="00EB5785" w:rsidRPr="004D1D51">
        <w:rPr>
          <w:rFonts w:ascii="Arial" w:hAnsi="Arial" w:cs="Arial"/>
          <w:sz w:val="22"/>
          <w:szCs w:val="22"/>
        </w:rPr>
        <w:t xml:space="preserve">54.5(5). </w:t>
      </w:r>
    </w:p>
    <w:p w14:paraId="1D3A4D5A" w14:textId="77777777" w:rsidR="00EB5785" w:rsidRPr="00653948" w:rsidRDefault="00EB5785" w:rsidP="00C10D1E">
      <w:pPr>
        <w:pStyle w:val="BodyTextIndent3"/>
        <w:rPr>
          <w:rFonts w:ascii="Arial" w:hAnsi="Arial" w:cs="Arial"/>
          <w:sz w:val="22"/>
          <w:szCs w:val="22"/>
        </w:rPr>
      </w:pPr>
    </w:p>
    <w:p w14:paraId="60B6403F" w14:textId="2F086D0E" w:rsidR="00EB5785" w:rsidRPr="00653948" w:rsidRDefault="00876D4C" w:rsidP="00C10D1E">
      <w:pPr>
        <w:pStyle w:val="BodyTextIndent3"/>
        <w:numPr>
          <w:ilvl w:val="0"/>
          <w:numId w:val="38"/>
        </w:numPr>
        <w:ind w:left="720"/>
        <w:rPr>
          <w:rFonts w:ascii="Arial" w:hAnsi="Arial" w:cs="Arial"/>
          <w:sz w:val="22"/>
          <w:szCs w:val="22"/>
        </w:rPr>
      </w:pPr>
      <w:r>
        <w:rPr>
          <w:rFonts w:ascii="Arial" w:hAnsi="Arial" w:cs="Arial"/>
          <w:sz w:val="22"/>
          <w:szCs w:val="22"/>
        </w:rPr>
        <w:t>W</w:t>
      </w:r>
      <w:r w:rsidR="00EB5785" w:rsidRPr="00653948">
        <w:rPr>
          <w:rFonts w:ascii="Arial" w:hAnsi="Arial" w:cs="Arial"/>
          <w:sz w:val="22"/>
          <w:szCs w:val="22"/>
        </w:rPr>
        <w:t>here the application for judicial review relates to a decision governed by the P</w:t>
      </w:r>
      <w:r w:rsidR="00EB5785">
        <w:rPr>
          <w:rFonts w:ascii="Arial" w:hAnsi="Arial" w:cs="Arial"/>
          <w:sz w:val="22"/>
          <w:szCs w:val="22"/>
        </w:rPr>
        <w:t xml:space="preserve">ublic Contracts </w:t>
      </w:r>
      <w:r w:rsidR="00EB5785" w:rsidRPr="00133846">
        <w:rPr>
          <w:rFonts w:ascii="Arial" w:hAnsi="Arial" w:cs="Arial"/>
          <w:sz w:val="22"/>
          <w:szCs w:val="22"/>
        </w:rPr>
        <w:t>Regulations 2015,</w:t>
      </w:r>
      <w:r w:rsidR="00EB5785" w:rsidRPr="00653948">
        <w:rPr>
          <w:rFonts w:ascii="Arial" w:hAnsi="Arial" w:cs="Arial"/>
          <w:sz w:val="22"/>
          <w:szCs w:val="22"/>
        </w:rPr>
        <w:t xml:space="preserve"> the claim form must be filed within the time within which an economic operator would have be</w:t>
      </w:r>
      <w:r w:rsidR="00EB5785">
        <w:rPr>
          <w:rFonts w:ascii="Arial" w:hAnsi="Arial" w:cs="Arial"/>
          <w:sz w:val="22"/>
          <w:szCs w:val="22"/>
        </w:rPr>
        <w:t>en required by regulation 92</w:t>
      </w:r>
      <w:r w:rsidR="00590190">
        <w:rPr>
          <w:rFonts w:ascii="Arial" w:hAnsi="Arial" w:cs="Arial"/>
          <w:sz w:val="22"/>
          <w:szCs w:val="22"/>
        </w:rPr>
        <w:t>(2)</w:t>
      </w:r>
      <w:r w:rsidR="00EB5785" w:rsidRPr="00653948">
        <w:rPr>
          <w:rFonts w:ascii="Arial" w:hAnsi="Arial" w:cs="Arial"/>
          <w:sz w:val="22"/>
          <w:szCs w:val="22"/>
        </w:rPr>
        <w:t xml:space="preserve"> of the Regulations to start any proceedings under the Regulations in respec</w:t>
      </w:r>
      <w:r w:rsidR="00590190">
        <w:rPr>
          <w:rFonts w:ascii="Arial" w:hAnsi="Arial" w:cs="Arial"/>
          <w:sz w:val="22"/>
          <w:szCs w:val="22"/>
        </w:rPr>
        <w:t xml:space="preserve">t of that decision. Regulation </w:t>
      </w:r>
      <w:r w:rsidR="00EB5785">
        <w:rPr>
          <w:rFonts w:ascii="Arial" w:hAnsi="Arial" w:cs="Arial"/>
          <w:sz w:val="22"/>
          <w:szCs w:val="22"/>
        </w:rPr>
        <w:t>92</w:t>
      </w:r>
      <w:r w:rsidR="00590190">
        <w:rPr>
          <w:rFonts w:ascii="Arial" w:hAnsi="Arial" w:cs="Arial"/>
          <w:sz w:val="22"/>
          <w:szCs w:val="22"/>
        </w:rPr>
        <w:t>(2)</w:t>
      </w:r>
      <w:r w:rsidR="00EB5785">
        <w:rPr>
          <w:rFonts w:ascii="Arial" w:hAnsi="Arial" w:cs="Arial"/>
          <w:sz w:val="22"/>
          <w:szCs w:val="22"/>
        </w:rPr>
        <w:t xml:space="preserve"> </w:t>
      </w:r>
      <w:r w:rsidR="00EB5785" w:rsidRPr="00653948">
        <w:rPr>
          <w:rFonts w:ascii="Arial" w:hAnsi="Arial" w:cs="Arial"/>
          <w:sz w:val="22"/>
          <w:szCs w:val="22"/>
        </w:rPr>
        <w:t xml:space="preserve">states that proceedings must be started within 30 days beginning with the date when the economic operator first knew or ought to have known that grounds for starting the proceedings had arisen. </w:t>
      </w:r>
    </w:p>
    <w:p w14:paraId="4ACBA6D3" w14:textId="77777777" w:rsidR="00EB5785" w:rsidRPr="00653948" w:rsidRDefault="00EB5785" w:rsidP="00EB5785">
      <w:pPr>
        <w:pStyle w:val="BodyTextIndent3"/>
        <w:ind w:left="0"/>
        <w:rPr>
          <w:rFonts w:ascii="Arial" w:hAnsi="Arial" w:cs="Arial"/>
          <w:sz w:val="22"/>
          <w:szCs w:val="22"/>
        </w:rPr>
      </w:pPr>
    </w:p>
    <w:p w14:paraId="01CBC2C0" w14:textId="77777777" w:rsidR="00EB5785" w:rsidRPr="00653948" w:rsidRDefault="00EB5785" w:rsidP="00EB5785">
      <w:pPr>
        <w:jc w:val="both"/>
        <w:rPr>
          <w:rFonts w:ascii="Arial" w:hAnsi="Arial" w:cs="Arial"/>
          <w:szCs w:val="22"/>
        </w:rPr>
      </w:pPr>
    </w:p>
    <w:p w14:paraId="00FAE7EA" w14:textId="77777777" w:rsidR="00EB5785" w:rsidRPr="00653948" w:rsidRDefault="00EB5785" w:rsidP="00EB5785">
      <w:pPr>
        <w:pStyle w:val="Heading5"/>
        <w:rPr>
          <w:rFonts w:ascii="Arial" w:hAnsi="Arial" w:cs="Arial"/>
          <w:sz w:val="22"/>
          <w:szCs w:val="22"/>
        </w:rPr>
      </w:pPr>
      <w:r w:rsidRPr="00653948">
        <w:rPr>
          <w:rFonts w:ascii="Arial" w:hAnsi="Arial" w:cs="Arial"/>
          <w:sz w:val="22"/>
          <w:szCs w:val="22"/>
        </w:rPr>
        <w:t>(4) Alternative remedies</w:t>
      </w:r>
    </w:p>
    <w:p w14:paraId="349FBD46" w14:textId="77777777" w:rsidR="00EB5785" w:rsidRPr="00653948" w:rsidRDefault="00EB5785" w:rsidP="00EB5785">
      <w:pPr>
        <w:pStyle w:val="BodyTextIndent3"/>
        <w:ind w:left="0"/>
        <w:rPr>
          <w:rFonts w:ascii="Arial" w:hAnsi="Arial" w:cs="Arial"/>
          <w:sz w:val="22"/>
          <w:szCs w:val="22"/>
        </w:rPr>
      </w:pPr>
    </w:p>
    <w:p w14:paraId="29C71974" w14:textId="766F56F7" w:rsidR="00030B6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 xml:space="preserve">The general rule is that permission should not be granted to apply for judicial review where an </w:t>
      </w:r>
      <w:r>
        <w:rPr>
          <w:rFonts w:ascii="Arial" w:hAnsi="Arial" w:cs="Arial"/>
          <w:sz w:val="22"/>
          <w:szCs w:val="22"/>
        </w:rPr>
        <w:t xml:space="preserve">adequate </w:t>
      </w:r>
      <w:r w:rsidRPr="00653948">
        <w:rPr>
          <w:rFonts w:ascii="Arial" w:hAnsi="Arial" w:cs="Arial"/>
          <w:sz w:val="22"/>
          <w:szCs w:val="22"/>
        </w:rPr>
        <w:t xml:space="preserve">alternative remedy exists: see </w:t>
      </w:r>
      <w:r w:rsidRPr="005A4531">
        <w:rPr>
          <w:rFonts w:ascii="Arial" w:hAnsi="Arial" w:cs="Arial"/>
          <w:b/>
          <w:i/>
          <w:sz w:val="22"/>
          <w:szCs w:val="22"/>
        </w:rPr>
        <w:t>R v Chief Constable of Merseyside Police</w:t>
      </w:r>
      <w:r w:rsidR="00C10D1E" w:rsidRPr="005A4531">
        <w:rPr>
          <w:rFonts w:ascii="Arial" w:hAnsi="Arial" w:cs="Arial"/>
          <w:b/>
          <w:i/>
          <w:sz w:val="22"/>
          <w:szCs w:val="22"/>
        </w:rPr>
        <w:t>,</w:t>
      </w:r>
      <w:r w:rsidRPr="005A4531">
        <w:rPr>
          <w:rFonts w:ascii="Arial" w:hAnsi="Arial" w:cs="Arial"/>
          <w:b/>
          <w:i/>
          <w:sz w:val="22"/>
          <w:szCs w:val="22"/>
        </w:rPr>
        <w:t xml:space="preserve"> ex p. Calveley</w:t>
      </w:r>
      <w:r w:rsidRPr="00653948">
        <w:rPr>
          <w:rFonts w:ascii="Arial" w:hAnsi="Arial" w:cs="Arial"/>
          <w:sz w:val="22"/>
          <w:szCs w:val="22"/>
        </w:rPr>
        <w:t xml:space="preserve"> [1986] QB 424</w:t>
      </w:r>
      <w:r w:rsidR="005A4531">
        <w:rPr>
          <w:rFonts w:ascii="Arial" w:hAnsi="Arial" w:cs="Arial"/>
          <w:sz w:val="22"/>
          <w:szCs w:val="22"/>
        </w:rPr>
        <w:t>, CA</w:t>
      </w:r>
      <w:r w:rsidRPr="00653948">
        <w:rPr>
          <w:rFonts w:ascii="Arial" w:hAnsi="Arial" w:cs="Arial"/>
          <w:sz w:val="22"/>
          <w:szCs w:val="22"/>
        </w:rPr>
        <w:t xml:space="preserve">. </w:t>
      </w:r>
      <w:r w:rsidR="00C10D1E" w:rsidRPr="00653948">
        <w:rPr>
          <w:rFonts w:ascii="Arial" w:hAnsi="Arial" w:cs="Arial"/>
          <w:sz w:val="22"/>
          <w:szCs w:val="22"/>
        </w:rPr>
        <w:t>Certainly,</w:t>
      </w:r>
      <w:r w:rsidRPr="00653948">
        <w:rPr>
          <w:rFonts w:ascii="Arial" w:hAnsi="Arial" w:cs="Arial"/>
          <w:sz w:val="22"/>
          <w:szCs w:val="22"/>
        </w:rPr>
        <w:t xml:space="preserve"> judicial review would not normally be appropriate where there is a statutory right of appeal against the decision in question (whether or not that right of appeal has been exercised within the applicable time limit)</w:t>
      </w:r>
      <w:r w:rsidR="00553900">
        <w:rPr>
          <w:rFonts w:ascii="Arial" w:hAnsi="Arial" w:cs="Arial"/>
          <w:sz w:val="22"/>
          <w:szCs w:val="22"/>
        </w:rPr>
        <w:t xml:space="preserve">: see e.g. </w:t>
      </w:r>
      <w:r w:rsidR="00553900" w:rsidRPr="005A4531">
        <w:rPr>
          <w:rFonts w:ascii="Arial" w:hAnsi="Arial" w:cs="Arial"/>
          <w:b/>
          <w:i/>
          <w:sz w:val="22"/>
          <w:szCs w:val="22"/>
        </w:rPr>
        <w:t xml:space="preserve">R (Kalluri) v Secretary of State for the Home Department </w:t>
      </w:r>
      <w:r w:rsidR="00553900">
        <w:rPr>
          <w:rFonts w:ascii="Arial" w:hAnsi="Arial" w:cs="Arial"/>
          <w:sz w:val="22"/>
          <w:szCs w:val="22"/>
        </w:rPr>
        <w:t>[2015] EWHC 4073 (Admin)</w:t>
      </w:r>
      <w:r w:rsidRPr="00653948">
        <w:rPr>
          <w:rFonts w:ascii="Arial" w:hAnsi="Arial" w:cs="Arial"/>
          <w:sz w:val="22"/>
          <w:szCs w:val="22"/>
        </w:rPr>
        <w:t xml:space="preserve">. </w:t>
      </w:r>
      <w:r w:rsidR="00247B5E">
        <w:rPr>
          <w:rFonts w:ascii="Arial" w:hAnsi="Arial" w:cs="Arial"/>
          <w:sz w:val="22"/>
          <w:szCs w:val="22"/>
        </w:rPr>
        <w:t xml:space="preserve">This principle applies equally to judicial review in immigration cases before the Upper Tribunal: see </w:t>
      </w:r>
      <w:r w:rsidR="00247B5E" w:rsidRPr="005A4531">
        <w:rPr>
          <w:rFonts w:ascii="Arial" w:hAnsi="Arial" w:cs="Arial"/>
          <w:b/>
          <w:i/>
          <w:sz w:val="22"/>
          <w:szCs w:val="22"/>
        </w:rPr>
        <w:t xml:space="preserve">R (Khan) </w:t>
      </w:r>
      <w:r w:rsidR="00247B5E" w:rsidRPr="005A4531">
        <w:rPr>
          <w:rFonts w:ascii="Arial" w:hAnsi="Arial" w:cs="Arial"/>
          <w:b/>
          <w:i/>
          <w:sz w:val="22"/>
          <w:szCs w:val="22"/>
        </w:rPr>
        <w:lastRenderedPageBreak/>
        <w:t>v Secretary of State for the Home Department</w:t>
      </w:r>
      <w:r w:rsidR="00247B5E">
        <w:rPr>
          <w:rFonts w:ascii="Arial" w:hAnsi="Arial" w:cs="Arial"/>
          <w:sz w:val="22"/>
          <w:szCs w:val="22"/>
        </w:rPr>
        <w:t xml:space="preserve"> [2015] UKUT 353 (IAC). </w:t>
      </w:r>
      <w:r w:rsidR="00030B68">
        <w:rPr>
          <w:rFonts w:ascii="Arial" w:hAnsi="Arial" w:cs="Arial"/>
          <w:sz w:val="22"/>
          <w:szCs w:val="22"/>
        </w:rPr>
        <w:t xml:space="preserve">Conversely, where an appellate body has no jurisdiction to consider a particular matter, judicial review in respect of that matter may be appropriate: see </w:t>
      </w:r>
      <w:r w:rsidR="00030B68" w:rsidRPr="005A4531">
        <w:rPr>
          <w:rFonts w:ascii="Arial" w:hAnsi="Arial" w:cs="Arial"/>
          <w:b/>
          <w:i/>
          <w:sz w:val="22"/>
          <w:szCs w:val="22"/>
        </w:rPr>
        <w:t>Watch Tower Bible &amp; Tract Society of Britain v Charity Commission</w:t>
      </w:r>
      <w:r w:rsidR="00C10D1E">
        <w:rPr>
          <w:rFonts w:ascii="Arial" w:hAnsi="Arial" w:cs="Arial"/>
          <w:sz w:val="22"/>
          <w:szCs w:val="22"/>
        </w:rPr>
        <w:t xml:space="preserve"> [20</w:t>
      </w:r>
      <w:r w:rsidR="00030B68">
        <w:rPr>
          <w:rFonts w:ascii="Arial" w:hAnsi="Arial" w:cs="Arial"/>
          <w:sz w:val="22"/>
          <w:szCs w:val="22"/>
        </w:rPr>
        <w:t>16] EWCA Civ 154</w:t>
      </w:r>
      <w:r w:rsidR="005A4531">
        <w:rPr>
          <w:rFonts w:ascii="Arial" w:hAnsi="Arial" w:cs="Arial"/>
          <w:sz w:val="22"/>
          <w:szCs w:val="22"/>
        </w:rPr>
        <w:t>, [2016] 1 WLR 2625</w:t>
      </w:r>
      <w:r w:rsidR="00030B68">
        <w:rPr>
          <w:rFonts w:ascii="Arial" w:hAnsi="Arial" w:cs="Arial"/>
          <w:sz w:val="22"/>
          <w:szCs w:val="22"/>
        </w:rPr>
        <w:t xml:space="preserve">. </w:t>
      </w:r>
    </w:p>
    <w:p w14:paraId="1EAE4814" w14:textId="77777777" w:rsidR="00030B68" w:rsidRDefault="00030B68" w:rsidP="00030B68">
      <w:pPr>
        <w:pStyle w:val="BodyTextIndent3"/>
        <w:ind w:left="360"/>
        <w:rPr>
          <w:rFonts w:ascii="Arial" w:hAnsi="Arial" w:cs="Arial"/>
          <w:sz w:val="22"/>
          <w:szCs w:val="22"/>
        </w:rPr>
      </w:pPr>
    </w:p>
    <w:p w14:paraId="6F2CF8EB" w14:textId="0A388CBD"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More difficult questions arise with regard to alternative remedies of an administrative</w:t>
      </w:r>
      <w:r w:rsidR="005A4531">
        <w:rPr>
          <w:rFonts w:ascii="Arial" w:hAnsi="Arial" w:cs="Arial"/>
          <w:sz w:val="22"/>
          <w:szCs w:val="22"/>
        </w:rPr>
        <w:t>,</w:t>
      </w:r>
      <w:r w:rsidRPr="00653948">
        <w:rPr>
          <w:rFonts w:ascii="Arial" w:hAnsi="Arial" w:cs="Arial"/>
          <w:sz w:val="22"/>
          <w:szCs w:val="22"/>
        </w:rPr>
        <w:t xml:space="preserve"> rather than judicial</w:t>
      </w:r>
      <w:r w:rsidR="005A4531">
        <w:rPr>
          <w:rFonts w:ascii="Arial" w:hAnsi="Arial" w:cs="Arial"/>
          <w:sz w:val="22"/>
          <w:szCs w:val="22"/>
        </w:rPr>
        <w:t>,</w:t>
      </w:r>
      <w:r w:rsidRPr="00653948">
        <w:rPr>
          <w:rFonts w:ascii="Arial" w:hAnsi="Arial" w:cs="Arial"/>
          <w:sz w:val="22"/>
          <w:szCs w:val="22"/>
        </w:rPr>
        <w:t xml:space="preserve"> nature: for example, the right to raise a matter with the district auditor, or the possibility of inviting a minister to exercise default powers. Here, the court is likely to be concerned with issues such as the suitability of the alternative procedure to decide the issues raised by the claimant, the likely timescale for that procedure, and the efficacy of any remedy that might be granted: see e.g. </w:t>
      </w:r>
      <w:r w:rsidRPr="005A4531">
        <w:rPr>
          <w:rFonts w:ascii="Arial" w:hAnsi="Arial" w:cs="Arial"/>
          <w:b/>
          <w:i/>
          <w:sz w:val="22"/>
          <w:szCs w:val="22"/>
        </w:rPr>
        <w:t xml:space="preserve">R (Shoesmith) v </w:t>
      </w:r>
      <w:r w:rsidR="00590190" w:rsidRPr="005A4531">
        <w:rPr>
          <w:rFonts w:ascii="Arial" w:hAnsi="Arial" w:cs="Arial"/>
          <w:b/>
          <w:i/>
          <w:sz w:val="22"/>
          <w:szCs w:val="22"/>
        </w:rPr>
        <w:t>Ofsted</w:t>
      </w:r>
      <w:r w:rsidRPr="00653948">
        <w:rPr>
          <w:rFonts w:ascii="Arial" w:hAnsi="Arial" w:cs="Arial"/>
          <w:i/>
          <w:sz w:val="22"/>
          <w:szCs w:val="22"/>
        </w:rPr>
        <w:t xml:space="preserve"> </w:t>
      </w:r>
      <w:r w:rsidRPr="00653948">
        <w:rPr>
          <w:rFonts w:ascii="Arial" w:hAnsi="Arial" w:cs="Arial"/>
          <w:sz w:val="22"/>
          <w:szCs w:val="22"/>
        </w:rPr>
        <w:t>[2011]</w:t>
      </w:r>
      <w:r w:rsidR="005A4531">
        <w:rPr>
          <w:rFonts w:ascii="Arial" w:hAnsi="Arial" w:cs="Arial"/>
          <w:sz w:val="22"/>
          <w:szCs w:val="22"/>
        </w:rPr>
        <w:t xml:space="preserve"> EWCA Civ 642, [2011 ICR 1195</w:t>
      </w:r>
      <w:r w:rsidRPr="00653948">
        <w:rPr>
          <w:rFonts w:ascii="Arial" w:hAnsi="Arial" w:cs="Arial"/>
          <w:sz w:val="22"/>
          <w:szCs w:val="22"/>
        </w:rPr>
        <w:t>.</w:t>
      </w:r>
      <w:r w:rsidR="00590190">
        <w:rPr>
          <w:rFonts w:ascii="Arial" w:hAnsi="Arial" w:cs="Arial"/>
          <w:sz w:val="22"/>
          <w:szCs w:val="22"/>
        </w:rPr>
        <w:t xml:space="preserve"> For an</w:t>
      </w:r>
      <w:r w:rsidRPr="00653948">
        <w:rPr>
          <w:rFonts w:ascii="Arial" w:hAnsi="Arial" w:cs="Arial"/>
          <w:sz w:val="22"/>
          <w:szCs w:val="22"/>
        </w:rPr>
        <w:t xml:space="preserve"> </w:t>
      </w:r>
      <w:r w:rsidRPr="00653948">
        <w:rPr>
          <w:rFonts w:ascii="Arial" w:hAnsi="Arial" w:cs="Arial"/>
          <w:i/>
          <w:sz w:val="22"/>
          <w:szCs w:val="22"/>
        </w:rPr>
        <w:t xml:space="preserve">obiter </w:t>
      </w:r>
      <w:r w:rsidRPr="00653948">
        <w:rPr>
          <w:rFonts w:ascii="Arial" w:hAnsi="Arial" w:cs="Arial"/>
          <w:sz w:val="22"/>
          <w:szCs w:val="22"/>
        </w:rPr>
        <w:t xml:space="preserve">indication that the court would not, in the circumstances of the case before it, have regarded a complaint to an ombudsman as a suitable alternative remedy, see </w:t>
      </w:r>
      <w:r w:rsidRPr="005A4531">
        <w:rPr>
          <w:rFonts w:ascii="Arial" w:hAnsi="Arial" w:cs="Arial"/>
          <w:b/>
          <w:i/>
          <w:sz w:val="22"/>
          <w:szCs w:val="22"/>
        </w:rPr>
        <w:t>R (McIntyre) v Gentoo Group Ltd</w:t>
      </w:r>
      <w:r w:rsidR="005A4531">
        <w:rPr>
          <w:rFonts w:ascii="Arial" w:hAnsi="Arial" w:cs="Arial"/>
          <w:b/>
          <w:i/>
          <w:sz w:val="22"/>
          <w:szCs w:val="22"/>
        </w:rPr>
        <w:t>.</w:t>
      </w:r>
      <w:r w:rsidRPr="00653948">
        <w:rPr>
          <w:rFonts w:ascii="Arial" w:hAnsi="Arial" w:cs="Arial"/>
          <w:i/>
          <w:sz w:val="22"/>
          <w:szCs w:val="22"/>
        </w:rPr>
        <w:t xml:space="preserve"> </w:t>
      </w:r>
      <w:r w:rsidRPr="00653948">
        <w:rPr>
          <w:rFonts w:ascii="Arial" w:hAnsi="Arial" w:cs="Arial"/>
          <w:sz w:val="22"/>
          <w:szCs w:val="22"/>
        </w:rPr>
        <w:t>[2010] EWHC 5 (Admin)</w:t>
      </w:r>
      <w:r w:rsidR="005A4531">
        <w:rPr>
          <w:rFonts w:ascii="Arial" w:hAnsi="Arial" w:cs="Arial"/>
          <w:sz w:val="22"/>
          <w:szCs w:val="22"/>
        </w:rPr>
        <w:t>, [2010] P &amp; C R DG6</w:t>
      </w:r>
      <w:r w:rsidRPr="00653948">
        <w:rPr>
          <w:rFonts w:ascii="Arial" w:hAnsi="Arial" w:cs="Arial"/>
          <w:sz w:val="22"/>
          <w:szCs w:val="22"/>
        </w:rPr>
        <w:t>.</w:t>
      </w:r>
    </w:p>
    <w:p w14:paraId="2B563BE8" w14:textId="77777777" w:rsidR="00EB5785" w:rsidRPr="00653948" w:rsidRDefault="00EB5785" w:rsidP="00EB5785">
      <w:pPr>
        <w:pStyle w:val="BodyTextIndent3"/>
        <w:rPr>
          <w:rFonts w:ascii="Arial" w:hAnsi="Arial" w:cs="Arial"/>
          <w:sz w:val="22"/>
          <w:szCs w:val="22"/>
        </w:rPr>
      </w:pPr>
    </w:p>
    <w:p w14:paraId="2644FE23" w14:textId="7A15A7C6"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Some of the case</w:t>
      </w:r>
      <w:r>
        <w:rPr>
          <w:rFonts w:ascii="Arial" w:hAnsi="Arial" w:cs="Arial"/>
          <w:sz w:val="22"/>
          <w:szCs w:val="22"/>
        </w:rPr>
        <w:t xml:space="preserve"> </w:t>
      </w:r>
      <w:r w:rsidRPr="00653948">
        <w:rPr>
          <w:rFonts w:ascii="Arial" w:hAnsi="Arial" w:cs="Arial"/>
          <w:sz w:val="22"/>
          <w:szCs w:val="22"/>
        </w:rPr>
        <w:t xml:space="preserve">law concerning alternative remedy questions is helpfully reviewed in </w:t>
      </w:r>
      <w:r w:rsidRPr="005A4531">
        <w:rPr>
          <w:rFonts w:ascii="Arial" w:hAnsi="Arial" w:cs="Arial"/>
          <w:b/>
          <w:i/>
          <w:sz w:val="22"/>
          <w:szCs w:val="22"/>
        </w:rPr>
        <w:t>R (JD Wetherspoon plc) v Guildford BC</w:t>
      </w:r>
      <w:r w:rsidRPr="00653948">
        <w:rPr>
          <w:rFonts w:ascii="Arial" w:hAnsi="Arial" w:cs="Arial"/>
          <w:i/>
          <w:sz w:val="22"/>
          <w:szCs w:val="22"/>
        </w:rPr>
        <w:t xml:space="preserve"> </w:t>
      </w:r>
      <w:r w:rsidRPr="00653948">
        <w:rPr>
          <w:rFonts w:ascii="Arial" w:hAnsi="Arial" w:cs="Arial"/>
          <w:sz w:val="22"/>
          <w:szCs w:val="22"/>
        </w:rPr>
        <w:t>[</w:t>
      </w:r>
      <w:r w:rsidR="005A4531">
        <w:rPr>
          <w:rFonts w:ascii="Arial" w:hAnsi="Arial" w:cs="Arial"/>
          <w:sz w:val="22"/>
          <w:szCs w:val="22"/>
        </w:rPr>
        <w:t>2006] EWHC 815 (Admin), [2007] 1 All ER 400</w:t>
      </w:r>
      <w:r w:rsidRPr="00653948">
        <w:rPr>
          <w:rFonts w:ascii="Arial" w:hAnsi="Arial" w:cs="Arial"/>
          <w:sz w:val="22"/>
          <w:szCs w:val="22"/>
        </w:rPr>
        <w:t xml:space="preserve"> at </w:t>
      </w:r>
      <w:r w:rsidR="00590190">
        <w:rPr>
          <w:rFonts w:ascii="Arial" w:hAnsi="Arial" w:cs="Arial"/>
          <w:sz w:val="22"/>
          <w:szCs w:val="22"/>
        </w:rPr>
        <w:t>[</w:t>
      </w:r>
      <w:r w:rsidRPr="00653948">
        <w:rPr>
          <w:rFonts w:ascii="Arial" w:hAnsi="Arial" w:cs="Arial"/>
          <w:sz w:val="22"/>
          <w:szCs w:val="22"/>
        </w:rPr>
        <w:t>87</w:t>
      </w:r>
      <w:r w:rsidR="00590190">
        <w:rPr>
          <w:rFonts w:ascii="Arial" w:hAnsi="Arial" w:cs="Arial"/>
          <w:sz w:val="22"/>
          <w:szCs w:val="22"/>
        </w:rPr>
        <w:t>]</w:t>
      </w:r>
      <w:r w:rsidRPr="00653948">
        <w:rPr>
          <w:rFonts w:ascii="Arial" w:hAnsi="Arial" w:cs="Arial"/>
          <w:sz w:val="22"/>
          <w:szCs w:val="22"/>
        </w:rPr>
        <w:t xml:space="preserve"> to </w:t>
      </w:r>
      <w:r w:rsidR="00590190">
        <w:rPr>
          <w:rFonts w:ascii="Arial" w:hAnsi="Arial" w:cs="Arial"/>
          <w:sz w:val="22"/>
          <w:szCs w:val="22"/>
        </w:rPr>
        <w:t>[</w:t>
      </w:r>
      <w:r w:rsidRPr="00653948">
        <w:rPr>
          <w:rFonts w:ascii="Arial" w:hAnsi="Arial" w:cs="Arial"/>
          <w:sz w:val="22"/>
          <w:szCs w:val="22"/>
        </w:rPr>
        <w:t>91</w:t>
      </w:r>
      <w:r w:rsidR="00590190">
        <w:rPr>
          <w:rFonts w:ascii="Arial" w:hAnsi="Arial" w:cs="Arial"/>
          <w:sz w:val="22"/>
          <w:szCs w:val="22"/>
        </w:rPr>
        <w:t>]</w:t>
      </w:r>
      <w:r w:rsidRPr="00653948">
        <w:rPr>
          <w:rFonts w:ascii="Arial" w:hAnsi="Arial" w:cs="Arial"/>
          <w:sz w:val="22"/>
          <w:szCs w:val="22"/>
        </w:rPr>
        <w:t>. Amongst other points, Beatson J</w:t>
      </w:r>
      <w:r w:rsidR="005A4531">
        <w:rPr>
          <w:rFonts w:ascii="Arial" w:hAnsi="Arial" w:cs="Arial"/>
          <w:sz w:val="22"/>
          <w:szCs w:val="22"/>
        </w:rPr>
        <w:t xml:space="preserve"> (as he then was)</w:t>
      </w:r>
      <w:r w:rsidRPr="00653948">
        <w:rPr>
          <w:rFonts w:ascii="Arial" w:hAnsi="Arial" w:cs="Arial"/>
          <w:sz w:val="22"/>
          <w:szCs w:val="22"/>
        </w:rPr>
        <w:t xml:space="preserve"> acknowledged that questions about alternative remedy would normally arise at the permission stage rather than at a substantive hearing following the grant of permission, but rejected the suggestion that only exceptionally could a claim be dismissed or relief be refused on this ground at the substantive hearing (</w:t>
      </w:r>
      <w:r w:rsidR="00247B5E">
        <w:rPr>
          <w:rFonts w:ascii="Arial" w:hAnsi="Arial" w:cs="Arial"/>
          <w:sz w:val="22"/>
          <w:szCs w:val="22"/>
        </w:rPr>
        <w:t xml:space="preserve">see also </w:t>
      </w:r>
      <w:r w:rsidR="00247B5E" w:rsidRPr="005A4531">
        <w:rPr>
          <w:rFonts w:ascii="Arial" w:hAnsi="Arial" w:cs="Arial"/>
          <w:b/>
          <w:i/>
          <w:sz w:val="22"/>
          <w:szCs w:val="22"/>
        </w:rPr>
        <w:t>R (Islam) v Secretary of State for the Home Department</w:t>
      </w:r>
      <w:r w:rsidR="00247B5E">
        <w:rPr>
          <w:rFonts w:ascii="Arial" w:hAnsi="Arial" w:cs="Arial"/>
          <w:sz w:val="22"/>
          <w:szCs w:val="22"/>
        </w:rPr>
        <w:t xml:space="preserve"> [2016] EWHC 2491 (Admin)</w:t>
      </w:r>
      <w:r w:rsidR="005A4531">
        <w:rPr>
          <w:rFonts w:ascii="Arial" w:hAnsi="Arial" w:cs="Arial"/>
          <w:sz w:val="22"/>
          <w:szCs w:val="22"/>
        </w:rPr>
        <w:t>, [2017] Imm AR 565</w:t>
      </w:r>
      <w:r w:rsidR="00247B5E">
        <w:rPr>
          <w:rFonts w:ascii="Arial" w:hAnsi="Arial" w:cs="Arial"/>
          <w:sz w:val="22"/>
          <w:szCs w:val="22"/>
        </w:rPr>
        <w:t xml:space="preserve">; </w:t>
      </w:r>
      <w:r w:rsidRPr="00653948">
        <w:rPr>
          <w:rFonts w:ascii="Arial" w:hAnsi="Arial" w:cs="Arial"/>
          <w:sz w:val="22"/>
          <w:szCs w:val="22"/>
        </w:rPr>
        <w:t xml:space="preserve">but cf. Cranston J’s lack of enthusiasm for such a course in </w:t>
      </w:r>
      <w:r w:rsidRPr="005A4531">
        <w:rPr>
          <w:rFonts w:ascii="Arial" w:hAnsi="Arial" w:cs="Arial"/>
          <w:b/>
          <w:i/>
          <w:sz w:val="22"/>
          <w:szCs w:val="22"/>
        </w:rPr>
        <w:t>R (Crest Nicholson plc</w:t>
      </w:r>
      <w:r w:rsidR="00590190" w:rsidRPr="005A4531">
        <w:rPr>
          <w:rFonts w:ascii="Arial" w:hAnsi="Arial" w:cs="Arial"/>
          <w:b/>
          <w:i/>
          <w:sz w:val="22"/>
          <w:szCs w:val="22"/>
        </w:rPr>
        <w:t>)</w:t>
      </w:r>
      <w:r w:rsidRPr="005A4531">
        <w:rPr>
          <w:rFonts w:ascii="Arial" w:hAnsi="Arial" w:cs="Arial"/>
          <w:b/>
          <w:i/>
          <w:sz w:val="22"/>
          <w:szCs w:val="22"/>
        </w:rPr>
        <w:t xml:space="preserve"> v Office of Fair Trading</w:t>
      </w:r>
      <w:r w:rsidRPr="00653948">
        <w:rPr>
          <w:rFonts w:ascii="Arial" w:hAnsi="Arial" w:cs="Arial"/>
          <w:i/>
          <w:sz w:val="22"/>
          <w:szCs w:val="22"/>
        </w:rPr>
        <w:t xml:space="preserve"> </w:t>
      </w:r>
      <w:r w:rsidRPr="00653948">
        <w:rPr>
          <w:rFonts w:ascii="Arial" w:hAnsi="Arial" w:cs="Arial"/>
          <w:sz w:val="22"/>
          <w:szCs w:val="22"/>
        </w:rPr>
        <w:t>[2009] EWHC 1875 (Admin</w:t>
      </w:r>
      <w:r>
        <w:rPr>
          <w:rFonts w:ascii="Arial" w:hAnsi="Arial" w:cs="Arial"/>
          <w:sz w:val="22"/>
          <w:szCs w:val="22"/>
        </w:rPr>
        <w:t>)</w:t>
      </w:r>
      <w:r w:rsidR="00C10D1E">
        <w:rPr>
          <w:rFonts w:ascii="Arial" w:hAnsi="Arial" w:cs="Arial"/>
          <w:sz w:val="22"/>
          <w:szCs w:val="22"/>
        </w:rPr>
        <w:t>)</w:t>
      </w:r>
      <w:r>
        <w:rPr>
          <w:rFonts w:ascii="Arial" w:hAnsi="Arial" w:cs="Arial"/>
          <w:sz w:val="22"/>
          <w:szCs w:val="22"/>
        </w:rPr>
        <w:t xml:space="preserve">. See also </w:t>
      </w:r>
      <w:r w:rsidRPr="005A4531">
        <w:rPr>
          <w:rFonts w:ascii="Arial" w:hAnsi="Arial" w:cs="Arial"/>
          <w:b/>
          <w:i/>
          <w:sz w:val="22"/>
          <w:szCs w:val="22"/>
        </w:rPr>
        <w:t>R (Willford) v F</w:t>
      </w:r>
      <w:r w:rsidR="00590190" w:rsidRPr="005A4531">
        <w:rPr>
          <w:rFonts w:ascii="Arial" w:hAnsi="Arial" w:cs="Arial"/>
          <w:b/>
          <w:i/>
          <w:sz w:val="22"/>
          <w:szCs w:val="22"/>
        </w:rPr>
        <w:t>inancial Services Authority</w:t>
      </w:r>
      <w:r>
        <w:rPr>
          <w:rFonts w:ascii="Arial" w:hAnsi="Arial" w:cs="Arial"/>
          <w:i/>
          <w:sz w:val="22"/>
          <w:szCs w:val="22"/>
        </w:rPr>
        <w:t xml:space="preserve"> </w:t>
      </w:r>
      <w:r>
        <w:rPr>
          <w:rFonts w:ascii="Arial" w:hAnsi="Arial" w:cs="Arial"/>
          <w:sz w:val="22"/>
          <w:szCs w:val="22"/>
        </w:rPr>
        <w:t>[2013] EWCA Civ 674</w:t>
      </w:r>
      <w:r w:rsidR="005A4531">
        <w:rPr>
          <w:rFonts w:ascii="Arial" w:hAnsi="Arial" w:cs="Arial"/>
          <w:sz w:val="22"/>
          <w:szCs w:val="22"/>
        </w:rPr>
        <w:t>, [2013] CP Rep 43</w:t>
      </w:r>
      <w:r w:rsidRPr="00653948">
        <w:rPr>
          <w:rFonts w:ascii="Arial" w:hAnsi="Arial" w:cs="Arial"/>
          <w:sz w:val="22"/>
          <w:szCs w:val="22"/>
        </w:rPr>
        <w:t>.</w:t>
      </w:r>
    </w:p>
    <w:p w14:paraId="3FD649CD" w14:textId="77777777" w:rsidR="00EB5785" w:rsidRPr="00653948" w:rsidRDefault="00EB5785" w:rsidP="00EB5785">
      <w:pPr>
        <w:pStyle w:val="BodyTextIndent3"/>
        <w:ind w:left="0"/>
        <w:rPr>
          <w:rFonts w:ascii="Arial" w:hAnsi="Arial" w:cs="Arial"/>
          <w:sz w:val="22"/>
          <w:szCs w:val="22"/>
        </w:rPr>
      </w:pPr>
    </w:p>
    <w:p w14:paraId="1ADA0315" w14:textId="56B57393"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 xml:space="preserve">There is a linkage in some cases between questions of alternative remedy and the issues relating to delay already discussed.  If an initial decision is thought to be unlawful, but there is some statutory mechanism for challenging it, the claimant will normally be required to make use of that mechanism.  However, if the alternative remedy fails to overturn the original decision, the claimant may then be out of time to challenge it by way of judicial review, or in some cases the exercise of the alternative remedy may have operated so as to cure any defect in the original decision: see e.g. the discussion in </w:t>
      </w:r>
      <w:r w:rsidRPr="005A4531">
        <w:rPr>
          <w:rFonts w:ascii="Arial" w:hAnsi="Arial" w:cs="Arial"/>
          <w:b/>
          <w:i/>
          <w:sz w:val="22"/>
          <w:szCs w:val="22"/>
        </w:rPr>
        <w:t>R (DR) v Headteacher of S School</w:t>
      </w:r>
      <w:r w:rsidRPr="00653948">
        <w:rPr>
          <w:rFonts w:ascii="Arial" w:hAnsi="Arial" w:cs="Arial"/>
          <w:i/>
          <w:sz w:val="22"/>
          <w:szCs w:val="22"/>
        </w:rPr>
        <w:t xml:space="preserve"> </w:t>
      </w:r>
      <w:r w:rsidR="005A4531">
        <w:rPr>
          <w:rFonts w:ascii="Arial" w:hAnsi="Arial" w:cs="Arial"/>
          <w:sz w:val="22"/>
          <w:szCs w:val="22"/>
        </w:rPr>
        <w:t xml:space="preserve">[2002] EWCA Civ 1822, </w:t>
      </w:r>
      <w:r w:rsidRPr="00653948">
        <w:rPr>
          <w:rFonts w:ascii="Arial" w:hAnsi="Arial" w:cs="Arial"/>
          <w:sz w:val="22"/>
          <w:szCs w:val="22"/>
        </w:rPr>
        <w:t>[2003] ELR 104.</w:t>
      </w:r>
    </w:p>
    <w:p w14:paraId="38B50CA7" w14:textId="77777777" w:rsidR="00EB5785" w:rsidRPr="00653948" w:rsidRDefault="00EB5785" w:rsidP="00EB5785">
      <w:pPr>
        <w:pStyle w:val="BodyTextIndent3"/>
        <w:ind w:left="0"/>
        <w:rPr>
          <w:rFonts w:ascii="Arial" w:hAnsi="Arial" w:cs="Arial"/>
          <w:sz w:val="22"/>
          <w:szCs w:val="22"/>
        </w:rPr>
      </w:pPr>
    </w:p>
    <w:p w14:paraId="14B33C36" w14:textId="65265826"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 xml:space="preserve">The fact that the alternative remedy may no longer be available by the time the judicial review proceedings are brought may not prevent permission being refused, if that remedy ought to have been pursued whilst it was available: see </w:t>
      </w:r>
      <w:r w:rsidRPr="005A4531">
        <w:rPr>
          <w:rFonts w:ascii="Arial" w:hAnsi="Arial" w:cs="Arial"/>
          <w:b/>
          <w:i/>
          <w:sz w:val="22"/>
          <w:szCs w:val="22"/>
        </w:rPr>
        <w:t>R (Carnell) v Regents Park College</w:t>
      </w:r>
      <w:r w:rsidRPr="00653948">
        <w:rPr>
          <w:rFonts w:ascii="Arial" w:hAnsi="Arial" w:cs="Arial"/>
          <w:i/>
          <w:sz w:val="22"/>
          <w:szCs w:val="22"/>
        </w:rPr>
        <w:t xml:space="preserve"> </w:t>
      </w:r>
      <w:r w:rsidRPr="00653948">
        <w:rPr>
          <w:rFonts w:ascii="Arial" w:hAnsi="Arial" w:cs="Arial"/>
          <w:sz w:val="22"/>
          <w:szCs w:val="22"/>
        </w:rPr>
        <w:t>[</w:t>
      </w:r>
      <w:r w:rsidR="005A4531">
        <w:rPr>
          <w:rFonts w:ascii="Arial" w:hAnsi="Arial" w:cs="Arial"/>
          <w:sz w:val="22"/>
          <w:szCs w:val="22"/>
        </w:rPr>
        <w:t>2008] EWHC 739 (Admin), [</w:t>
      </w:r>
      <w:r w:rsidRPr="00653948">
        <w:rPr>
          <w:rFonts w:ascii="Arial" w:hAnsi="Arial" w:cs="Arial"/>
          <w:sz w:val="22"/>
          <w:szCs w:val="22"/>
        </w:rPr>
        <w:t xml:space="preserve">2008] ELR 268. See also the discussion in </w:t>
      </w:r>
      <w:r w:rsidRPr="005A4531">
        <w:rPr>
          <w:rFonts w:ascii="Arial" w:hAnsi="Arial" w:cs="Arial"/>
          <w:b/>
          <w:i/>
          <w:sz w:val="22"/>
          <w:szCs w:val="22"/>
        </w:rPr>
        <w:t>R (Enfield LBC) v Secretary of State for Health</w:t>
      </w:r>
      <w:r w:rsidRPr="00653948">
        <w:rPr>
          <w:rFonts w:ascii="Arial" w:hAnsi="Arial" w:cs="Arial"/>
          <w:i/>
          <w:sz w:val="22"/>
          <w:szCs w:val="22"/>
        </w:rPr>
        <w:t xml:space="preserve"> </w:t>
      </w:r>
      <w:r w:rsidRPr="00653948">
        <w:rPr>
          <w:rFonts w:ascii="Arial" w:hAnsi="Arial" w:cs="Arial"/>
          <w:sz w:val="22"/>
          <w:szCs w:val="22"/>
        </w:rPr>
        <w:t>[2009] EWHC 743 (Admin)</w:t>
      </w:r>
      <w:r w:rsidR="00DC4559">
        <w:rPr>
          <w:rFonts w:ascii="Arial" w:hAnsi="Arial" w:cs="Arial"/>
          <w:sz w:val="22"/>
          <w:szCs w:val="22"/>
        </w:rPr>
        <w:t xml:space="preserve">. In </w:t>
      </w:r>
      <w:r w:rsidR="00DC4559" w:rsidRPr="005A4531">
        <w:rPr>
          <w:rFonts w:ascii="Arial" w:hAnsi="Arial" w:cs="Arial"/>
          <w:b/>
          <w:i/>
          <w:sz w:val="22"/>
          <w:szCs w:val="22"/>
        </w:rPr>
        <w:t>Carespec Ltd</w:t>
      </w:r>
      <w:r w:rsidR="005A4531" w:rsidRPr="005A4531">
        <w:rPr>
          <w:rFonts w:ascii="Arial" w:hAnsi="Arial" w:cs="Arial"/>
          <w:b/>
          <w:i/>
          <w:sz w:val="22"/>
          <w:szCs w:val="22"/>
        </w:rPr>
        <w:t>.</w:t>
      </w:r>
      <w:r w:rsidR="00DC4559" w:rsidRPr="005A4531">
        <w:rPr>
          <w:rFonts w:ascii="Arial" w:hAnsi="Arial" w:cs="Arial"/>
          <w:b/>
          <w:i/>
          <w:sz w:val="22"/>
          <w:szCs w:val="22"/>
        </w:rPr>
        <w:t xml:space="preserve"> v Wolverhampton City Council</w:t>
      </w:r>
      <w:r w:rsidR="00DC4559">
        <w:rPr>
          <w:rFonts w:ascii="Arial" w:hAnsi="Arial" w:cs="Arial"/>
          <w:sz w:val="22"/>
          <w:szCs w:val="22"/>
        </w:rPr>
        <w:t xml:space="preserve"> [2016] EWHC 521 (Admin) the fact that the measure that was being challenged had already expired rendered judicial review wholly inappropriate where alternative remedies had existed</w:t>
      </w:r>
      <w:r w:rsidRPr="00653948">
        <w:rPr>
          <w:rFonts w:ascii="Arial" w:hAnsi="Arial" w:cs="Arial"/>
          <w:sz w:val="22"/>
          <w:szCs w:val="22"/>
        </w:rPr>
        <w:t>.</w:t>
      </w:r>
    </w:p>
    <w:p w14:paraId="3B19996B" w14:textId="77777777" w:rsidR="00EB5785" w:rsidRPr="00653948" w:rsidRDefault="00EB5785" w:rsidP="00EB5785">
      <w:pPr>
        <w:pStyle w:val="BodyTextIndent3"/>
        <w:ind w:left="0"/>
        <w:rPr>
          <w:rFonts w:ascii="Arial" w:hAnsi="Arial" w:cs="Arial"/>
          <w:sz w:val="22"/>
          <w:szCs w:val="22"/>
        </w:rPr>
      </w:pPr>
    </w:p>
    <w:p w14:paraId="601F6161" w14:textId="04B54DBD"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 xml:space="preserve">A connected question is whether the court may refuse to grant permission to apply for judicial review if it considers that some form of alternative dispute resolution </w:t>
      </w:r>
      <w:r w:rsidR="005A4531">
        <w:rPr>
          <w:rFonts w:ascii="Arial" w:hAnsi="Arial" w:cs="Arial"/>
          <w:sz w:val="22"/>
          <w:szCs w:val="22"/>
        </w:rPr>
        <w:t>(“</w:t>
      </w:r>
      <w:r w:rsidR="005A4531" w:rsidRPr="005A4531">
        <w:rPr>
          <w:rFonts w:ascii="Arial" w:hAnsi="Arial" w:cs="Arial"/>
          <w:b/>
          <w:sz w:val="22"/>
          <w:szCs w:val="22"/>
        </w:rPr>
        <w:t>ADR</w:t>
      </w:r>
      <w:r w:rsidR="005A4531">
        <w:rPr>
          <w:rFonts w:ascii="Arial" w:hAnsi="Arial" w:cs="Arial"/>
          <w:sz w:val="22"/>
          <w:szCs w:val="22"/>
        </w:rPr>
        <w:t xml:space="preserve">”) </w:t>
      </w:r>
      <w:r w:rsidRPr="00653948">
        <w:rPr>
          <w:rFonts w:ascii="Arial" w:hAnsi="Arial" w:cs="Arial"/>
          <w:sz w:val="22"/>
          <w:szCs w:val="22"/>
        </w:rPr>
        <w:t xml:space="preserve">ought to be pursued.  At the time, the Court of Appeal’s decision in </w:t>
      </w:r>
      <w:r w:rsidRPr="005A4531">
        <w:rPr>
          <w:rFonts w:ascii="Arial" w:hAnsi="Arial" w:cs="Arial"/>
          <w:b/>
          <w:i/>
          <w:sz w:val="22"/>
          <w:szCs w:val="22"/>
        </w:rPr>
        <w:t>R (Cowl) v Plymouth C</w:t>
      </w:r>
      <w:r w:rsidR="005A4531">
        <w:rPr>
          <w:rFonts w:ascii="Arial" w:hAnsi="Arial" w:cs="Arial"/>
          <w:b/>
          <w:i/>
          <w:sz w:val="22"/>
          <w:szCs w:val="22"/>
        </w:rPr>
        <w:t xml:space="preserve">ity </w:t>
      </w:r>
      <w:r w:rsidRPr="005A4531">
        <w:rPr>
          <w:rFonts w:ascii="Arial" w:hAnsi="Arial" w:cs="Arial"/>
          <w:b/>
          <w:i/>
          <w:sz w:val="22"/>
          <w:szCs w:val="22"/>
        </w:rPr>
        <w:t>C</w:t>
      </w:r>
      <w:r w:rsidR="005A4531">
        <w:rPr>
          <w:rFonts w:ascii="Arial" w:hAnsi="Arial" w:cs="Arial"/>
          <w:b/>
          <w:i/>
          <w:sz w:val="22"/>
          <w:szCs w:val="22"/>
        </w:rPr>
        <w:t>ouncil</w:t>
      </w:r>
      <w:r w:rsidR="005A4531">
        <w:rPr>
          <w:rFonts w:ascii="Arial" w:hAnsi="Arial" w:cs="Arial"/>
          <w:sz w:val="22"/>
          <w:szCs w:val="22"/>
        </w:rPr>
        <w:t xml:space="preserve"> [2001] EWCA Civ 1935,</w:t>
      </w:r>
      <w:r w:rsidRPr="00653948">
        <w:rPr>
          <w:rFonts w:ascii="Arial" w:hAnsi="Arial" w:cs="Arial"/>
          <w:i/>
          <w:sz w:val="22"/>
          <w:szCs w:val="22"/>
        </w:rPr>
        <w:t xml:space="preserve"> </w:t>
      </w:r>
      <w:r w:rsidRPr="00653948">
        <w:rPr>
          <w:rFonts w:ascii="Arial" w:hAnsi="Arial" w:cs="Arial"/>
          <w:sz w:val="22"/>
          <w:szCs w:val="22"/>
        </w:rPr>
        <w:t xml:space="preserve">[2002] 1 WLR 803 seemed to prefigure an activist judicial role in encouraging mediation or other ADR by this means.  In practice, it does not appear that there are many cases where permission has been refused or adjourned on this basis – although see </w:t>
      </w:r>
      <w:r w:rsidRPr="00E76974">
        <w:rPr>
          <w:rFonts w:ascii="Arial" w:hAnsi="Arial" w:cs="Arial"/>
          <w:b/>
          <w:i/>
          <w:sz w:val="22"/>
          <w:szCs w:val="22"/>
        </w:rPr>
        <w:t>R (S) v Hampshire CC</w:t>
      </w:r>
      <w:r w:rsidRPr="00653948">
        <w:rPr>
          <w:rFonts w:ascii="Arial" w:hAnsi="Arial" w:cs="Arial"/>
          <w:i/>
          <w:sz w:val="22"/>
          <w:szCs w:val="22"/>
        </w:rPr>
        <w:t xml:space="preserve"> </w:t>
      </w:r>
      <w:r w:rsidRPr="00653948">
        <w:rPr>
          <w:rFonts w:ascii="Arial" w:hAnsi="Arial" w:cs="Arial"/>
          <w:sz w:val="22"/>
          <w:szCs w:val="22"/>
        </w:rPr>
        <w:t xml:space="preserve">[2009] EWHC 2537 (Admin).  In part this is because mediation remains </w:t>
      </w:r>
      <w:r w:rsidRPr="00653948">
        <w:rPr>
          <w:rFonts w:ascii="Arial" w:hAnsi="Arial" w:cs="Arial"/>
          <w:sz w:val="22"/>
          <w:szCs w:val="22"/>
        </w:rPr>
        <w:lastRenderedPageBreak/>
        <w:t>relatively little utilised in judicial review proceedings: this is for a variety of reasons, some valid and others not</w:t>
      </w:r>
      <w:r w:rsidR="00E76974">
        <w:rPr>
          <w:rFonts w:ascii="Arial" w:hAnsi="Arial" w:cs="Arial"/>
          <w:sz w:val="22"/>
          <w:szCs w:val="22"/>
        </w:rPr>
        <w:t>.</w:t>
      </w:r>
      <w:r w:rsidRPr="00653948">
        <w:rPr>
          <w:rStyle w:val="FootnoteReference"/>
          <w:rFonts w:ascii="Arial" w:hAnsi="Arial" w:cs="Arial"/>
          <w:sz w:val="22"/>
          <w:szCs w:val="22"/>
        </w:rPr>
        <w:footnoteReference w:id="13"/>
      </w:r>
    </w:p>
    <w:p w14:paraId="2EE7B954" w14:textId="77777777" w:rsidR="00EB5785" w:rsidRPr="00653948" w:rsidRDefault="00EB5785" w:rsidP="00EB5785">
      <w:pPr>
        <w:jc w:val="both"/>
        <w:rPr>
          <w:rFonts w:ascii="Arial" w:hAnsi="Arial" w:cs="Arial"/>
          <w:szCs w:val="22"/>
        </w:rPr>
      </w:pPr>
    </w:p>
    <w:p w14:paraId="6816120E" w14:textId="77777777" w:rsidR="00553900" w:rsidRDefault="00553900" w:rsidP="00EB5785">
      <w:pPr>
        <w:pStyle w:val="Heading5"/>
        <w:rPr>
          <w:rFonts w:ascii="Arial" w:hAnsi="Arial" w:cs="Arial"/>
          <w:sz w:val="22"/>
          <w:szCs w:val="22"/>
        </w:rPr>
      </w:pPr>
    </w:p>
    <w:p w14:paraId="0ABDA55C" w14:textId="2B9C2BA5" w:rsidR="00EB5785" w:rsidRDefault="00EB5785" w:rsidP="00EB5785">
      <w:pPr>
        <w:pStyle w:val="Heading5"/>
        <w:rPr>
          <w:rFonts w:ascii="Arial" w:hAnsi="Arial" w:cs="Arial"/>
          <w:sz w:val="22"/>
          <w:szCs w:val="22"/>
        </w:rPr>
      </w:pPr>
      <w:r w:rsidRPr="00653948">
        <w:rPr>
          <w:rFonts w:ascii="Arial" w:hAnsi="Arial" w:cs="Arial"/>
          <w:sz w:val="22"/>
          <w:szCs w:val="22"/>
        </w:rPr>
        <w:t>(5) “</w:t>
      </w:r>
      <w:r w:rsidRPr="00653948">
        <w:rPr>
          <w:rFonts w:ascii="Arial" w:hAnsi="Arial" w:cs="Arial"/>
          <w:i/>
          <w:sz w:val="22"/>
          <w:szCs w:val="22"/>
        </w:rPr>
        <w:t xml:space="preserve">Cart” </w:t>
      </w:r>
      <w:r w:rsidRPr="00653948">
        <w:rPr>
          <w:rFonts w:ascii="Arial" w:hAnsi="Arial" w:cs="Arial"/>
          <w:sz w:val="22"/>
          <w:szCs w:val="22"/>
        </w:rPr>
        <w:t xml:space="preserve">Judicial Reviews </w:t>
      </w:r>
    </w:p>
    <w:p w14:paraId="21433362" w14:textId="77777777" w:rsidR="00553900" w:rsidRPr="00653948" w:rsidRDefault="00553900" w:rsidP="00EB5785">
      <w:pPr>
        <w:pStyle w:val="Heading5"/>
        <w:rPr>
          <w:rFonts w:ascii="Arial" w:hAnsi="Arial" w:cs="Arial"/>
          <w:sz w:val="22"/>
          <w:szCs w:val="22"/>
        </w:rPr>
      </w:pPr>
    </w:p>
    <w:p w14:paraId="287D65BB" w14:textId="284C6A2C" w:rsidR="00EB5785" w:rsidRPr="00653948" w:rsidRDefault="00EB5785" w:rsidP="00EB5785">
      <w:pPr>
        <w:pStyle w:val="Heading5"/>
        <w:keepLines w:val="0"/>
        <w:numPr>
          <w:ilvl w:val="0"/>
          <w:numId w:val="34"/>
        </w:numPr>
        <w:jc w:val="both"/>
        <w:rPr>
          <w:rFonts w:ascii="Arial" w:hAnsi="Arial" w:cs="Arial"/>
          <w:b w:val="0"/>
          <w:sz w:val="22"/>
          <w:szCs w:val="22"/>
        </w:rPr>
      </w:pPr>
      <w:r w:rsidRPr="00653948">
        <w:rPr>
          <w:rFonts w:ascii="Arial" w:hAnsi="Arial" w:cs="Arial"/>
          <w:b w:val="0"/>
          <w:sz w:val="22"/>
          <w:szCs w:val="22"/>
        </w:rPr>
        <w:t xml:space="preserve">In </w:t>
      </w:r>
      <w:r w:rsidRPr="00E76974">
        <w:rPr>
          <w:rFonts w:ascii="Arial" w:hAnsi="Arial" w:cs="Arial"/>
          <w:i/>
          <w:sz w:val="22"/>
          <w:szCs w:val="22"/>
        </w:rPr>
        <w:t>R (Cart) v Upper Tribunal</w:t>
      </w:r>
      <w:r w:rsidRPr="00653948">
        <w:rPr>
          <w:rFonts w:ascii="Arial" w:hAnsi="Arial" w:cs="Arial"/>
          <w:b w:val="0"/>
          <w:i/>
          <w:sz w:val="22"/>
          <w:szCs w:val="22"/>
        </w:rPr>
        <w:t xml:space="preserve"> </w:t>
      </w:r>
      <w:r w:rsidR="00E76974">
        <w:rPr>
          <w:rFonts w:ascii="Arial" w:hAnsi="Arial" w:cs="Arial"/>
          <w:b w:val="0"/>
          <w:sz w:val="22"/>
          <w:szCs w:val="22"/>
        </w:rPr>
        <w:t xml:space="preserve">[2011] UKSC 28, </w:t>
      </w:r>
      <w:r w:rsidRPr="00653948">
        <w:rPr>
          <w:rFonts w:ascii="Arial" w:hAnsi="Arial" w:cs="Arial"/>
          <w:b w:val="0"/>
          <w:sz w:val="22"/>
          <w:szCs w:val="22"/>
        </w:rPr>
        <w:t xml:space="preserve">[2012] 1 AC 663, the Supreme Court held that judicial review of the Upper Tribunal’s decision to refuse permission to appeal </w:t>
      </w:r>
      <w:r w:rsidR="00590190">
        <w:rPr>
          <w:rFonts w:ascii="Arial" w:hAnsi="Arial" w:cs="Arial"/>
          <w:b w:val="0"/>
          <w:sz w:val="22"/>
          <w:szCs w:val="22"/>
        </w:rPr>
        <w:t xml:space="preserve">from the First-tier Tribunal </w:t>
      </w:r>
      <w:r w:rsidRPr="00653948">
        <w:rPr>
          <w:rFonts w:ascii="Arial" w:hAnsi="Arial" w:cs="Arial"/>
          <w:b w:val="0"/>
          <w:sz w:val="22"/>
          <w:szCs w:val="22"/>
        </w:rPr>
        <w:t>was possible, albeit on a “</w:t>
      </w:r>
      <w:r w:rsidRPr="00E76974">
        <w:rPr>
          <w:rFonts w:ascii="Arial" w:hAnsi="Arial" w:cs="Arial"/>
          <w:b w:val="0"/>
          <w:i/>
          <w:sz w:val="22"/>
          <w:szCs w:val="22"/>
        </w:rPr>
        <w:t>second appeals</w:t>
      </w:r>
      <w:r w:rsidRPr="00653948">
        <w:rPr>
          <w:rFonts w:ascii="Arial" w:hAnsi="Arial" w:cs="Arial"/>
          <w:b w:val="0"/>
          <w:sz w:val="22"/>
          <w:szCs w:val="22"/>
        </w:rPr>
        <w:t xml:space="preserve">” test. </w:t>
      </w:r>
      <w:r w:rsidR="00E76974">
        <w:rPr>
          <w:rFonts w:ascii="Arial" w:hAnsi="Arial" w:cs="Arial"/>
          <w:b w:val="0"/>
          <w:sz w:val="22"/>
          <w:szCs w:val="22"/>
        </w:rPr>
        <w:t xml:space="preserve">CPR </w:t>
      </w:r>
      <w:r w:rsidRPr="00653948">
        <w:rPr>
          <w:rFonts w:ascii="Arial" w:hAnsi="Arial" w:cs="Arial"/>
          <w:b w:val="0"/>
          <w:sz w:val="22"/>
          <w:szCs w:val="22"/>
        </w:rPr>
        <w:t>Part 54 has now been amended to incorporate a new CPR 54.7A which governs judicial review of decision</w:t>
      </w:r>
      <w:r w:rsidR="00C10D1E">
        <w:rPr>
          <w:rFonts w:ascii="Arial" w:hAnsi="Arial" w:cs="Arial"/>
          <w:b w:val="0"/>
          <w:sz w:val="22"/>
          <w:szCs w:val="22"/>
        </w:rPr>
        <w:t>s</w:t>
      </w:r>
      <w:r w:rsidRPr="00653948">
        <w:rPr>
          <w:rFonts w:ascii="Arial" w:hAnsi="Arial" w:cs="Arial"/>
          <w:b w:val="0"/>
          <w:sz w:val="22"/>
          <w:szCs w:val="22"/>
        </w:rPr>
        <w:t xml:space="preserve"> of the Upper Tribunal. In summary, rule </w:t>
      </w:r>
      <w:r w:rsidR="00590190">
        <w:rPr>
          <w:rFonts w:ascii="Arial" w:hAnsi="Arial" w:cs="Arial"/>
          <w:b w:val="0"/>
          <w:sz w:val="22"/>
          <w:szCs w:val="22"/>
        </w:rPr>
        <w:t>r.</w:t>
      </w:r>
      <w:r w:rsidRPr="00653948">
        <w:rPr>
          <w:rFonts w:ascii="Arial" w:hAnsi="Arial" w:cs="Arial"/>
          <w:b w:val="0"/>
          <w:sz w:val="22"/>
          <w:szCs w:val="22"/>
        </w:rPr>
        <w:t>54.7A provides that:-</w:t>
      </w:r>
      <w:r w:rsidRPr="00653948">
        <w:rPr>
          <w:rFonts w:ascii="Arial" w:hAnsi="Arial" w:cs="Arial"/>
          <w:b w:val="0"/>
          <w:sz w:val="22"/>
          <w:szCs w:val="22"/>
        </w:rPr>
        <w:tab/>
      </w:r>
    </w:p>
    <w:p w14:paraId="6DB49052" w14:textId="77777777" w:rsidR="00EB5785" w:rsidRPr="00653948" w:rsidRDefault="00EB5785" w:rsidP="00EB5785">
      <w:pPr>
        <w:jc w:val="both"/>
        <w:rPr>
          <w:rFonts w:ascii="Arial" w:hAnsi="Arial" w:cs="Arial"/>
          <w:szCs w:val="22"/>
        </w:rPr>
      </w:pPr>
    </w:p>
    <w:p w14:paraId="43118E61" w14:textId="43D612D6" w:rsidR="00EB5785" w:rsidRPr="00653948" w:rsidRDefault="00EB5785" w:rsidP="00C10D1E">
      <w:pPr>
        <w:pStyle w:val="ListParagraph"/>
        <w:numPr>
          <w:ilvl w:val="0"/>
          <w:numId w:val="39"/>
        </w:numPr>
        <w:ind w:left="720"/>
        <w:jc w:val="both"/>
        <w:rPr>
          <w:rFonts w:ascii="Arial" w:hAnsi="Arial" w:cs="Arial"/>
          <w:sz w:val="22"/>
          <w:szCs w:val="22"/>
        </w:rPr>
      </w:pPr>
      <w:r w:rsidRPr="00653948">
        <w:rPr>
          <w:rFonts w:ascii="Arial" w:hAnsi="Arial" w:cs="Arial"/>
          <w:sz w:val="22"/>
          <w:szCs w:val="22"/>
        </w:rPr>
        <w:t>There is now a 16 day</w:t>
      </w:r>
      <w:r w:rsidR="00C10D1E">
        <w:rPr>
          <w:rFonts w:ascii="Arial" w:hAnsi="Arial" w:cs="Arial"/>
          <w:sz w:val="22"/>
          <w:szCs w:val="22"/>
        </w:rPr>
        <w:t>s’</w:t>
      </w:r>
      <w:r w:rsidRPr="00653948">
        <w:rPr>
          <w:rFonts w:ascii="Arial" w:hAnsi="Arial" w:cs="Arial"/>
          <w:sz w:val="22"/>
          <w:szCs w:val="22"/>
        </w:rPr>
        <w:t xml:space="preserve"> fixed time limit for lodging a claim for judicial review of a decision of the Upper Tribunal: see CPR </w:t>
      </w:r>
      <w:r w:rsidR="00590190">
        <w:rPr>
          <w:rFonts w:ascii="Arial" w:hAnsi="Arial" w:cs="Arial"/>
          <w:sz w:val="22"/>
          <w:szCs w:val="22"/>
        </w:rPr>
        <w:t>r.</w:t>
      </w:r>
      <w:r w:rsidRPr="00653948">
        <w:rPr>
          <w:rFonts w:ascii="Arial" w:hAnsi="Arial" w:cs="Arial"/>
          <w:sz w:val="22"/>
          <w:szCs w:val="22"/>
        </w:rPr>
        <w:t>54.7A (3). The claim must be served with supporting documents including</w:t>
      </w:r>
      <w:r w:rsidR="00590190">
        <w:rPr>
          <w:rFonts w:ascii="Arial" w:hAnsi="Arial" w:cs="Arial"/>
          <w:sz w:val="22"/>
          <w:szCs w:val="22"/>
        </w:rPr>
        <w:t>:</w:t>
      </w:r>
      <w:r w:rsidRPr="00653948">
        <w:rPr>
          <w:rFonts w:ascii="Arial" w:hAnsi="Arial" w:cs="Arial"/>
          <w:sz w:val="22"/>
          <w:szCs w:val="22"/>
        </w:rPr>
        <w:t xml:space="preserve"> (a) the decision of the Upper Tribunal; (b) the grounds of appeal to the Upper Tribunal</w:t>
      </w:r>
      <w:r w:rsidR="00590190">
        <w:rPr>
          <w:rFonts w:ascii="Arial" w:hAnsi="Arial" w:cs="Arial"/>
          <w:sz w:val="22"/>
          <w:szCs w:val="22"/>
        </w:rPr>
        <w:t>; (c) the decision of the First-</w:t>
      </w:r>
      <w:r w:rsidRPr="00653948">
        <w:rPr>
          <w:rFonts w:ascii="Arial" w:hAnsi="Arial" w:cs="Arial"/>
          <w:sz w:val="22"/>
          <w:szCs w:val="22"/>
        </w:rPr>
        <w:t xml:space="preserve">tier Tribunal, the application to that tribunal for permission to appeal and its reasons for refusing permission; and (d) any other documents essential to the claim. The claim form and supporting documents must be served on the Upper Tribunal and any other interested party no later than 7 days after the date of issue. </w:t>
      </w:r>
    </w:p>
    <w:p w14:paraId="138FEAFE" w14:textId="77777777" w:rsidR="00EB5785" w:rsidRPr="00653948" w:rsidRDefault="00EB5785" w:rsidP="00C10D1E">
      <w:pPr>
        <w:pStyle w:val="ListParagraph"/>
        <w:jc w:val="both"/>
        <w:rPr>
          <w:rFonts w:ascii="Arial" w:hAnsi="Arial" w:cs="Arial"/>
          <w:sz w:val="22"/>
          <w:szCs w:val="22"/>
        </w:rPr>
      </w:pPr>
    </w:p>
    <w:p w14:paraId="1336DE41" w14:textId="7A21C6A1" w:rsidR="00EB5785" w:rsidRPr="00653948" w:rsidRDefault="00EB5785" w:rsidP="00C10D1E">
      <w:pPr>
        <w:pStyle w:val="ListParagraph"/>
        <w:numPr>
          <w:ilvl w:val="0"/>
          <w:numId w:val="39"/>
        </w:numPr>
        <w:ind w:left="720"/>
        <w:jc w:val="both"/>
        <w:rPr>
          <w:rFonts w:ascii="Arial" w:hAnsi="Arial" w:cs="Arial"/>
          <w:sz w:val="22"/>
          <w:szCs w:val="22"/>
        </w:rPr>
      </w:pPr>
      <w:r w:rsidRPr="00653948">
        <w:rPr>
          <w:rFonts w:ascii="Arial" w:hAnsi="Arial" w:cs="Arial"/>
          <w:sz w:val="22"/>
          <w:szCs w:val="22"/>
        </w:rPr>
        <w:t xml:space="preserve">A defendant or interested party has the usual 21 day time period to file an Acknowledgment of Service or Summary Grounds: CPR </w:t>
      </w:r>
      <w:r w:rsidR="00590190">
        <w:rPr>
          <w:rFonts w:ascii="Arial" w:hAnsi="Arial" w:cs="Arial"/>
          <w:sz w:val="22"/>
          <w:szCs w:val="22"/>
        </w:rPr>
        <w:t>r.</w:t>
      </w:r>
      <w:r w:rsidRPr="00653948">
        <w:rPr>
          <w:rFonts w:ascii="Arial" w:hAnsi="Arial" w:cs="Arial"/>
          <w:sz w:val="22"/>
          <w:szCs w:val="22"/>
        </w:rPr>
        <w:t>54.7A(6)</w:t>
      </w:r>
      <w:r w:rsidR="00590190">
        <w:rPr>
          <w:rFonts w:ascii="Arial" w:hAnsi="Arial" w:cs="Arial"/>
          <w:sz w:val="22"/>
          <w:szCs w:val="22"/>
        </w:rPr>
        <w:t>.</w:t>
      </w:r>
      <w:r w:rsidRPr="00653948">
        <w:rPr>
          <w:rFonts w:ascii="Arial" w:hAnsi="Arial" w:cs="Arial"/>
          <w:sz w:val="22"/>
          <w:szCs w:val="22"/>
        </w:rPr>
        <w:t xml:space="preserve"> </w:t>
      </w:r>
    </w:p>
    <w:p w14:paraId="3AF91E22" w14:textId="77777777" w:rsidR="00EB5785" w:rsidRPr="00653948" w:rsidRDefault="00EB5785" w:rsidP="00C10D1E">
      <w:pPr>
        <w:jc w:val="both"/>
        <w:rPr>
          <w:rFonts w:ascii="Arial" w:hAnsi="Arial" w:cs="Arial"/>
          <w:szCs w:val="22"/>
        </w:rPr>
      </w:pPr>
    </w:p>
    <w:p w14:paraId="0205D2E0" w14:textId="7AA11147" w:rsidR="00EB5785" w:rsidRPr="00653948" w:rsidRDefault="00EB5785" w:rsidP="00C10D1E">
      <w:pPr>
        <w:pStyle w:val="ListParagraph"/>
        <w:numPr>
          <w:ilvl w:val="0"/>
          <w:numId w:val="39"/>
        </w:numPr>
        <w:ind w:left="720"/>
        <w:jc w:val="both"/>
        <w:rPr>
          <w:rFonts w:ascii="Arial" w:hAnsi="Arial" w:cs="Arial"/>
          <w:sz w:val="22"/>
          <w:szCs w:val="22"/>
        </w:rPr>
      </w:pPr>
      <w:r w:rsidRPr="00653948">
        <w:rPr>
          <w:rFonts w:ascii="Arial" w:hAnsi="Arial" w:cs="Arial"/>
          <w:sz w:val="22"/>
          <w:szCs w:val="22"/>
        </w:rPr>
        <w:t>The “</w:t>
      </w:r>
      <w:r w:rsidRPr="00E76974">
        <w:rPr>
          <w:rFonts w:ascii="Arial" w:hAnsi="Arial" w:cs="Arial"/>
          <w:i/>
          <w:sz w:val="22"/>
          <w:szCs w:val="22"/>
        </w:rPr>
        <w:t>second appeals test</w:t>
      </w:r>
      <w:r w:rsidRPr="00653948">
        <w:rPr>
          <w:rFonts w:ascii="Arial" w:hAnsi="Arial" w:cs="Arial"/>
          <w:sz w:val="22"/>
          <w:szCs w:val="22"/>
        </w:rPr>
        <w:t>” for permission is codified – the court will give permission to proceed only if it considers</w:t>
      </w:r>
      <w:r w:rsidR="00590190">
        <w:rPr>
          <w:rFonts w:ascii="Arial" w:hAnsi="Arial" w:cs="Arial"/>
          <w:sz w:val="22"/>
          <w:szCs w:val="22"/>
        </w:rPr>
        <w:t>:</w:t>
      </w:r>
      <w:r w:rsidRPr="00653948">
        <w:rPr>
          <w:rFonts w:ascii="Arial" w:hAnsi="Arial" w:cs="Arial"/>
          <w:sz w:val="22"/>
          <w:szCs w:val="22"/>
        </w:rPr>
        <w:t xml:space="preserve"> (a) that there is an arguable case, which has a reasonable prospect of success, that both the decision of the Upper Tribunal refusing permission to appeal and the decision of the First-tier Tribunal against which permission to appeal was sought are wrong in law</w:t>
      </w:r>
      <w:r w:rsidR="00E76974">
        <w:rPr>
          <w:rFonts w:ascii="Arial" w:hAnsi="Arial" w:cs="Arial"/>
          <w:sz w:val="22"/>
          <w:szCs w:val="22"/>
        </w:rPr>
        <w:t>;</w:t>
      </w:r>
      <w:r w:rsidR="00280420">
        <w:rPr>
          <w:rStyle w:val="FootnoteReference"/>
          <w:rFonts w:ascii="Arial" w:hAnsi="Arial" w:cs="Arial"/>
          <w:sz w:val="22"/>
          <w:szCs w:val="22"/>
        </w:rPr>
        <w:footnoteReference w:id="14"/>
      </w:r>
      <w:r w:rsidRPr="00653948">
        <w:rPr>
          <w:rFonts w:ascii="Arial" w:hAnsi="Arial" w:cs="Arial"/>
          <w:sz w:val="22"/>
          <w:szCs w:val="22"/>
        </w:rPr>
        <w:t xml:space="preserve"> and (b) that either – (i) the claim raises an important point of principle or practice; or (ii) there is some other compelling reason to hear it. See CPR </w:t>
      </w:r>
      <w:r w:rsidR="00590190">
        <w:rPr>
          <w:rFonts w:ascii="Arial" w:hAnsi="Arial" w:cs="Arial"/>
          <w:sz w:val="22"/>
          <w:szCs w:val="22"/>
        </w:rPr>
        <w:t>r.54.7A(7).</w:t>
      </w:r>
    </w:p>
    <w:p w14:paraId="34778AA8" w14:textId="77777777" w:rsidR="00EB5785" w:rsidRPr="00653948" w:rsidRDefault="00EB5785" w:rsidP="00C10D1E">
      <w:pPr>
        <w:jc w:val="both"/>
        <w:rPr>
          <w:rFonts w:ascii="Arial" w:hAnsi="Arial" w:cs="Arial"/>
          <w:szCs w:val="22"/>
        </w:rPr>
      </w:pPr>
    </w:p>
    <w:p w14:paraId="690F1A1C" w14:textId="113F904D" w:rsidR="00EB5785" w:rsidRPr="00653948" w:rsidRDefault="00EB5785" w:rsidP="00C10D1E">
      <w:pPr>
        <w:pStyle w:val="ListParagraph"/>
        <w:numPr>
          <w:ilvl w:val="0"/>
          <w:numId w:val="39"/>
        </w:numPr>
        <w:ind w:left="720"/>
        <w:jc w:val="both"/>
        <w:rPr>
          <w:rFonts w:ascii="Arial" w:hAnsi="Arial" w:cs="Arial"/>
          <w:sz w:val="22"/>
          <w:szCs w:val="22"/>
        </w:rPr>
      </w:pPr>
      <w:r w:rsidRPr="00653948">
        <w:rPr>
          <w:rFonts w:ascii="Arial" w:hAnsi="Arial" w:cs="Arial"/>
          <w:sz w:val="22"/>
          <w:szCs w:val="22"/>
        </w:rPr>
        <w:t xml:space="preserve">CPR </w:t>
      </w:r>
      <w:r w:rsidR="00590190">
        <w:rPr>
          <w:rFonts w:ascii="Arial" w:hAnsi="Arial" w:cs="Arial"/>
          <w:sz w:val="22"/>
          <w:szCs w:val="22"/>
        </w:rPr>
        <w:t>r.</w:t>
      </w:r>
      <w:r w:rsidRPr="00653948">
        <w:rPr>
          <w:rFonts w:ascii="Arial" w:hAnsi="Arial" w:cs="Arial"/>
          <w:sz w:val="22"/>
          <w:szCs w:val="22"/>
        </w:rPr>
        <w:t xml:space="preserve">54.7A(8) dis-applies CPR </w:t>
      </w:r>
      <w:r w:rsidR="00590190">
        <w:rPr>
          <w:rFonts w:ascii="Arial" w:hAnsi="Arial" w:cs="Arial"/>
          <w:sz w:val="22"/>
          <w:szCs w:val="22"/>
        </w:rPr>
        <w:t>r.</w:t>
      </w:r>
      <w:r w:rsidRPr="00653948">
        <w:rPr>
          <w:rFonts w:ascii="Arial" w:hAnsi="Arial" w:cs="Arial"/>
          <w:sz w:val="22"/>
          <w:szCs w:val="22"/>
        </w:rPr>
        <w:t>54.12(3), so that there is no right to renew to an oral hearing following refusal on the papers</w:t>
      </w:r>
      <w:r w:rsidR="00590190">
        <w:rPr>
          <w:rFonts w:ascii="Arial" w:hAnsi="Arial" w:cs="Arial"/>
          <w:sz w:val="22"/>
          <w:szCs w:val="22"/>
        </w:rPr>
        <w:t>.</w:t>
      </w:r>
    </w:p>
    <w:p w14:paraId="0369952B" w14:textId="77777777" w:rsidR="00EB5785" w:rsidRPr="00653948" w:rsidRDefault="00EB5785" w:rsidP="00C10D1E">
      <w:pPr>
        <w:jc w:val="both"/>
        <w:rPr>
          <w:rFonts w:ascii="Arial" w:hAnsi="Arial" w:cs="Arial"/>
          <w:szCs w:val="22"/>
        </w:rPr>
      </w:pPr>
    </w:p>
    <w:p w14:paraId="048C42CE" w14:textId="5B6172CA" w:rsidR="00EB5785" w:rsidRPr="00653948" w:rsidRDefault="00EB5785" w:rsidP="00C10D1E">
      <w:pPr>
        <w:pStyle w:val="ListParagraph"/>
        <w:numPr>
          <w:ilvl w:val="0"/>
          <w:numId w:val="39"/>
        </w:numPr>
        <w:ind w:left="720"/>
        <w:jc w:val="both"/>
        <w:rPr>
          <w:rFonts w:ascii="Arial" w:hAnsi="Arial" w:cs="Arial"/>
          <w:sz w:val="22"/>
          <w:szCs w:val="22"/>
        </w:rPr>
      </w:pPr>
      <w:r w:rsidRPr="00653948">
        <w:rPr>
          <w:rFonts w:ascii="Arial" w:hAnsi="Arial" w:cs="Arial"/>
          <w:sz w:val="22"/>
          <w:szCs w:val="22"/>
        </w:rPr>
        <w:t xml:space="preserve">CPR </w:t>
      </w:r>
      <w:r w:rsidR="00590190">
        <w:rPr>
          <w:rFonts w:ascii="Arial" w:hAnsi="Arial" w:cs="Arial"/>
          <w:sz w:val="22"/>
          <w:szCs w:val="22"/>
        </w:rPr>
        <w:t>r.</w:t>
      </w:r>
      <w:r w:rsidRPr="00653948">
        <w:rPr>
          <w:rFonts w:ascii="Arial" w:hAnsi="Arial" w:cs="Arial"/>
          <w:sz w:val="22"/>
          <w:szCs w:val="22"/>
        </w:rPr>
        <w:t xml:space="preserve">54.7A(9) provides that where permission is granted, final relief will follow automatically, unless the defendant or Interested Party makes a specific request that there be a final substantive hearing. </w:t>
      </w:r>
    </w:p>
    <w:p w14:paraId="13EB8472" w14:textId="77777777" w:rsidR="00EB5785" w:rsidRPr="00653948" w:rsidRDefault="00EB5785" w:rsidP="00C10D1E">
      <w:pPr>
        <w:jc w:val="both"/>
        <w:rPr>
          <w:rFonts w:ascii="Arial" w:hAnsi="Arial" w:cs="Arial"/>
          <w:szCs w:val="22"/>
        </w:rPr>
      </w:pPr>
    </w:p>
    <w:p w14:paraId="4D44D850" w14:textId="7CEA99F9" w:rsidR="00EB5785" w:rsidRPr="00653948" w:rsidRDefault="00EB5785" w:rsidP="00C10D1E">
      <w:pPr>
        <w:pStyle w:val="ListParagraph"/>
        <w:numPr>
          <w:ilvl w:val="0"/>
          <w:numId w:val="39"/>
        </w:numPr>
        <w:ind w:left="720"/>
        <w:jc w:val="both"/>
        <w:rPr>
          <w:rFonts w:ascii="Arial" w:hAnsi="Arial" w:cs="Arial"/>
          <w:sz w:val="22"/>
          <w:szCs w:val="22"/>
        </w:rPr>
      </w:pPr>
      <w:r w:rsidRPr="00653948">
        <w:rPr>
          <w:rFonts w:ascii="Arial" w:hAnsi="Arial" w:cs="Arial"/>
          <w:sz w:val="22"/>
          <w:szCs w:val="22"/>
        </w:rPr>
        <w:t xml:space="preserve">There is a right of appeal, but under CPR </w:t>
      </w:r>
      <w:r w:rsidR="00590190">
        <w:rPr>
          <w:rFonts w:ascii="Arial" w:hAnsi="Arial" w:cs="Arial"/>
          <w:sz w:val="22"/>
          <w:szCs w:val="22"/>
        </w:rPr>
        <w:t>r.</w:t>
      </w:r>
      <w:r w:rsidR="00326F95">
        <w:rPr>
          <w:rFonts w:ascii="Arial" w:hAnsi="Arial" w:cs="Arial"/>
          <w:sz w:val="22"/>
          <w:szCs w:val="22"/>
        </w:rPr>
        <w:t>52.8</w:t>
      </w:r>
      <w:r w:rsidRPr="00653948">
        <w:rPr>
          <w:rFonts w:ascii="Arial" w:hAnsi="Arial" w:cs="Arial"/>
          <w:sz w:val="22"/>
          <w:szCs w:val="22"/>
        </w:rPr>
        <w:t>, the application for permission will be determined on paper only</w:t>
      </w:r>
      <w:r w:rsidR="00590190">
        <w:rPr>
          <w:rFonts w:ascii="Arial" w:hAnsi="Arial" w:cs="Arial"/>
          <w:sz w:val="22"/>
          <w:szCs w:val="22"/>
        </w:rPr>
        <w:t xml:space="preserve"> (as indeed </w:t>
      </w:r>
      <w:r w:rsidR="00326F95">
        <w:rPr>
          <w:rFonts w:ascii="Arial" w:hAnsi="Arial" w:cs="Arial"/>
          <w:sz w:val="22"/>
          <w:szCs w:val="22"/>
        </w:rPr>
        <w:t xml:space="preserve">will be </w:t>
      </w:r>
      <w:r w:rsidR="00590190">
        <w:rPr>
          <w:rFonts w:ascii="Arial" w:hAnsi="Arial" w:cs="Arial"/>
          <w:sz w:val="22"/>
          <w:szCs w:val="22"/>
        </w:rPr>
        <w:t>the case from 2 October 2016 for all appeals against refusal of permission by the High Court</w:t>
      </w:r>
      <w:r w:rsidR="00326F95">
        <w:rPr>
          <w:rFonts w:ascii="Arial" w:hAnsi="Arial" w:cs="Arial"/>
          <w:sz w:val="22"/>
          <w:szCs w:val="22"/>
        </w:rPr>
        <w:t>, unless a judge considers an oral hearing necessary</w:t>
      </w:r>
      <w:r w:rsidR="00590190">
        <w:rPr>
          <w:rFonts w:ascii="Arial" w:hAnsi="Arial" w:cs="Arial"/>
          <w:sz w:val="22"/>
          <w:szCs w:val="22"/>
        </w:rPr>
        <w:t>)</w:t>
      </w:r>
      <w:r w:rsidRPr="00653948">
        <w:rPr>
          <w:rFonts w:ascii="Arial" w:hAnsi="Arial" w:cs="Arial"/>
          <w:sz w:val="22"/>
          <w:szCs w:val="22"/>
        </w:rPr>
        <w:t xml:space="preserve">. </w:t>
      </w:r>
    </w:p>
    <w:p w14:paraId="652B592A" w14:textId="77777777" w:rsidR="00EB5785" w:rsidRPr="00653948" w:rsidRDefault="00EB5785" w:rsidP="00590190">
      <w:pPr>
        <w:jc w:val="both"/>
        <w:rPr>
          <w:rFonts w:ascii="Arial" w:hAnsi="Arial" w:cs="Arial"/>
          <w:szCs w:val="22"/>
        </w:rPr>
      </w:pPr>
    </w:p>
    <w:p w14:paraId="4B0893DF" w14:textId="77777777" w:rsidR="00EB5785" w:rsidRPr="00653948" w:rsidRDefault="00EB5785" w:rsidP="00EB5785">
      <w:pPr>
        <w:jc w:val="both"/>
        <w:rPr>
          <w:rFonts w:ascii="Arial" w:hAnsi="Arial" w:cs="Arial"/>
          <w:szCs w:val="22"/>
        </w:rPr>
      </w:pPr>
    </w:p>
    <w:p w14:paraId="231DB645" w14:textId="77777777" w:rsidR="00EB5785" w:rsidRPr="00653948" w:rsidRDefault="00EB5785" w:rsidP="00EB5785">
      <w:pPr>
        <w:pStyle w:val="Heading5"/>
        <w:rPr>
          <w:rFonts w:ascii="Arial" w:hAnsi="Arial" w:cs="Arial"/>
          <w:sz w:val="22"/>
          <w:szCs w:val="22"/>
        </w:rPr>
      </w:pPr>
      <w:r w:rsidRPr="00653948">
        <w:rPr>
          <w:rFonts w:ascii="Arial" w:hAnsi="Arial" w:cs="Arial"/>
          <w:sz w:val="22"/>
          <w:szCs w:val="22"/>
        </w:rPr>
        <w:lastRenderedPageBreak/>
        <w:t>(6) Collateral challenges and the exclusivity rule</w:t>
      </w:r>
    </w:p>
    <w:p w14:paraId="45E629E4" w14:textId="77777777" w:rsidR="00EB5785" w:rsidRPr="00653948" w:rsidRDefault="00EB5785" w:rsidP="00EB5785">
      <w:pPr>
        <w:jc w:val="both"/>
        <w:rPr>
          <w:rFonts w:ascii="Arial" w:hAnsi="Arial" w:cs="Arial"/>
          <w:szCs w:val="22"/>
        </w:rPr>
      </w:pPr>
    </w:p>
    <w:p w14:paraId="29E1EBD7" w14:textId="0F3C796A"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 xml:space="preserve">The House of Lords in </w:t>
      </w:r>
      <w:r w:rsidRPr="00E76974">
        <w:rPr>
          <w:rFonts w:ascii="Arial" w:hAnsi="Arial" w:cs="Arial"/>
          <w:b/>
          <w:i/>
          <w:sz w:val="22"/>
          <w:szCs w:val="22"/>
        </w:rPr>
        <w:t>O’Reilly v Mackman</w:t>
      </w:r>
      <w:r w:rsidRPr="00653948">
        <w:rPr>
          <w:rFonts w:ascii="Arial" w:hAnsi="Arial" w:cs="Arial"/>
          <w:sz w:val="22"/>
          <w:szCs w:val="22"/>
        </w:rPr>
        <w:t xml:space="preserve"> [1983] 2 AC 237</w:t>
      </w:r>
      <w:r w:rsidR="00E76974">
        <w:rPr>
          <w:rFonts w:ascii="Arial" w:hAnsi="Arial" w:cs="Arial"/>
          <w:sz w:val="22"/>
          <w:szCs w:val="22"/>
        </w:rPr>
        <w:t>, HL,</w:t>
      </w:r>
      <w:r w:rsidRPr="00653948">
        <w:rPr>
          <w:rFonts w:ascii="Arial" w:hAnsi="Arial" w:cs="Arial"/>
          <w:sz w:val="22"/>
          <w:szCs w:val="22"/>
        </w:rPr>
        <w:t xml:space="preserve"> held that it was, generally speaking, an abuse of process to bring a public law challenge otherwise than by way of an application for judicial review. That decision arose in the context of an attempt to obtain, by way of a writ action</w:t>
      </w:r>
      <w:r w:rsidR="00326F95">
        <w:rPr>
          <w:rFonts w:ascii="Arial" w:hAnsi="Arial" w:cs="Arial"/>
          <w:sz w:val="22"/>
          <w:szCs w:val="22"/>
        </w:rPr>
        <w:t xml:space="preserve"> (i.e. what is now a Part 7 claim)</w:t>
      </w:r>
      <w:r w:rsidRPr="00653948">
        <w:rPr>
          <w:rFonts w:ascii="Arial" w:hAnsi="Arial" w:cs="Arial"/>
          <w:sz w:val="22"/>
          <w:szCs w:val="22"/>
        </w:rPr>
        <w:t>, declarations that a particular public body had acted unlawfully by reason of a failure to comply with the rules of natural justice. The House of Lords was particularly concerned that litigants should not be able to evade the requirement to obtain permission, and the short time limit applicable to judicial review proceedings.</w:t>
      </w:r>
    </w:p>
    <w:p w14:paraId="5B21730B" w14:textId="77777777" w:rsidR="00EB5785" w:rsidRPr="00653948" w:rsidRDefault="00EB5785" w:rsidP="00EB5785">
      <w:pPr>
        <w:pStyle w:val="BodyTextIndent3"/>
        <w:rPr>
          <w:rFonts w:ascii="Arial" w:hAnsi="Arial" w:cs="Arial"/>
          <w:sz w:val="22"/>
          <w:szCs w:val="22"/>
        </w:rPr>
      </w:pPr>
    </w:p>
    <w:p w14:paraId="1582EE67" w14:textId="7B02D0E9" w:rsidR="00DC4559" w:rsidRPr="00653948" w:rsidRDefault="00EB5785" w:rsidP="00DC4559">
      <w:pPr>
        <w:pStyle w:val="ListParagraph"/>
        <w:numPr>
          <w:ilvl w:val="0"/>
          <w:numId w:val="34"/>
        </w:numPr>
        <w:jc w:val="both"/>
        <w:rPr>
          <w:rFonts w:ascii="Arial" w:hAnsi="Arial" w:cs="Arial"/>
          <w:sz w:val="22"/>
          <w:szCs w:val="22"/>
        </w:rPr>
      </w:pPr>
      <w:r w:rsidRPr="00653948">
        <w:rPr>
          <w:rFonts w:ascii="Arial" w:hAnsi="Arial" w:cs="Arial"/>
          <w:sz w:val="22"/>
          <w:szCs w:val="22"/>
        </w:rPr>
        <w:t xml:space="preserve">Subsequently, however, the courts have for the most part been markedly reluctant to hold the </w:t>
      </w:r>
      <w:r w:rsidRPr="00E76974">
        <w:rPr>
          <w:rFonts w:ascii="Arial" w:hAnsi="Arial" w:cs="Arial"/>
          <w:b/>
          <w:i/>
          <w:sz w:val="22"/>
          <w:szCs w:val="22"/>
        </w:rPr>
        <w:t>O’Reilly</w:t>
      </w:r>
      <w:r w:rsidRPr="00653948">
        <w:rPr>
          <w:rFonts w:ascii="Arial" w:hAnsi="Arial" w:cs="Arial"/>
          <w:sz w:val="22"/>
          <w:szCs w:val="22"/>
        </w:rPr>
        <w:t xml:space="preserve"> line. There has been a tendency to regard exclusivity arguments as a matter of sterile procedural squabbling: see e.g. </w:t>
      </w:r>
      <w:r w:rsidRPr="00E76974">
        <w:rPr>
          <w:rFonts w:ascii="Arial" w:hAnsi="Arial" w:cs="Arial"/>
          <w:b/>
          <w:i/>
          <w:sz w:val="22"/>
          <w:szCs w:val="22"/>
        </w:rPr>
        <w:t>Trustees of Dennis Rye Pension Fund v Sheffield C</w:t>
      </w:r>
      <w:r w:rsidR="00C10D1E" w:rsidRPr="00E76974">
        <w:rPr>
          <w:rFonts w:ascii="Arial" w:hAnsi="Arial" w:cs="Arial"/>
          <w:b/>
          <w:i/>
          <w:sz w:val="22"/>
          <w:szCs w:val="22"/>
        </w:rPr>
        <w:t xml:space="preserve">ity </w:t>
      </w:r>
      <w:r w:rsidRPr="00E76974">
        <w:rPr>
          <w:rFonts w:ascii="Arial" w:hAnsi="Arial" w:cs="Arial"/>
          <w:b/>
          <w:i/>
          <w:sz w:val="22"/>
          <w:szCs w:val="22"/>
        </w:rPr>
        <w:t>C</w:t>
      </w:r>
      <w:r w:rsidR="00C10D1E" w:rsidRPr="00E76974">
        <w:rPr>
          <w:rFonts w:ascii="Arial" w:hAnsi="Arial" w:cs="Arial"/>
          <w:b/>
          <w:i/>
          <w:sz w:val="22"/>
          <w:szCs w:val="22"/>
        </w:rPr>
        <w:t>ouncil</w:t>
      </w:r>
      <w:r w:rsidRPr="00653948">
        <w:rPr>
          <w:rFonts w:ascii="Arial" w:hAnsi="Arial" w:cs="Arial"/>
          <w:i/>
          <w:sz w:val="22"/>
          <w:szCs w:val="22"/>
        </w:rPr>
        <w:t xml:space="preserve"> </w:t>
      </w:r>
      <w:r w:rsidRPr="00653948">
        <w:rPr>
          <w:rFonts w:ascii="Arial" w:hAnsi="Arial" w:cs="Arial"/>
          <w:sz w:val="22"/>
          <w:szCs w:val="22"/>
        </w:rPr>
        <w:t xml:space="preserve">[1998] 1 WLR </w:t>
      </w:r>
      <w:r w:rsidR="00326F95">
        <w:rPr>
          <w:rFonts w:ascii="Arial" w:hAnsi="Arial" w:cs="Arial"/>
          <w:sz w:val="22"/>
          <w:szCs w:val="22"/>
        </w:rPr>
        <w:t>840</w:t>
      </w:r>
      <w:r w:rsidR="00E76974">
        <w:rPr>
          <w:rFonts w:ascii="Arial" w:hAnsi="Arial" w:cs="Arial"/>
          <w:sz w:val="22"/>
          <w:szCs w:val="22"/>
        </w:rPr>
        <w:t>, CA</w:t>
      </w:r>
      <w:r w:rsidRPr="00653948">
        <w:rPr>
          <w:rFonts w:ascii="Arial" w:hAnsi="Arial" w:cs="Arial"/>
          <w:sz w:val="22"/>
          <w:szCs w:val="22"/>
        </w:rPr>
        <w:t xml:space="preserve"> (but contrast </w:t>
      </w:r>
      <w:r w:rsidRPr="00E76974">
        <w:rPr>
          <w:rFonts w:ascii="Arial" w:hAnsi="Arial" w:cs="Arial"/>
          <w:b/>
          <w:i/>
          <w:sz w:val="22"/>
          <w:szCs w:val="22"/>
        </w:rPr>
        <w:t>Clark v University of Lincolnshire &amp; Humberside</w:t>
      </w:r>
      <w:r w:rsidRPr="00653948">
        <w:rPr>
          <w:rFonts w:ascii="Arial" w:hAnsi="Arial" w:cs="Arial"/>
          <w:sz w:val="22"/>
          <w:szCs w:val="22"/>
        </w:rPr>
        <w:t xml:space="preserve"> [2000] 1 WLR 1988</w:t>
      </w:r>
      <w:r w:rsidR="00E76974">
        <w:rPr>
          <w:rFonts w:ascii="Arial" w:hAnsi="Arial" w:cs="Arial"/>
          <w:sz w:val="22"/>
          <w:szCs w:val="22"/>
        </w:rPr>
        <w:t>, CA</w:t>
      </w:r>
      <w:r w:rsidRPr="00653948">
        <w:rPr>
          <w:rFonts w:ascii="Arial" w:hAnsi="Arial" w:cs="Arial"/>
          <w:sz w:val="22"/>
          <w:szCs w:val="22"/>
        </w:rPr>
        <w:t xml:space="preserve">, and see now the rather greater enthusiasm for the merits of exclusivity in its proper place shown by the Court of Appeal in </w:t>
      </w:r>
      <w:r w:rsidRPr="00E76974">
        <w:rPr>
          <w:rFonts w:ascii="Arial" w:hAnsi="Arial" w:cs="Arial"/>
          <w:b/>
          <w:i/>
          <w:sz w:val="22"/>
          <w:szCs w:val="22"/>
        </w:rPr>
        <w:t>North Dorset DC v Trim</w:t>
      </w:r>
      <w:r w:rsidRPr="00653948">
        <w:rPr>
          <w:rFonts w:ascii="Arial" w:hAnsi="Arial" w:cs="Arial"/>
          <w:i/>
          <w:sz w:val="22"/>
          <w:szCs w:val="22"/>
        </w:rPr>
        <w:t xml:space="preserve"> </w:t>
      </w:r>
      <w:r w:rsidRPr="00653948">
        <w:rPr>
          <w:rFonts w:ascii="Arial" w:hAnsi="Arial" w:cs="Arial"/>
          <w:sz w:val="22"/>
          <w:szCs w:val="22"/>
        </w:rPr>
        <w:t>[</w:t>
      </w:r>
      <w:r w:rsidR="00E76974">
        <w:rPr>
          <w:rFonts w:ascii="Arial" w:hAnsi="Arial" w:cs="Arial"/>
          <w:sz w:val="22"/>
          <w:szCs w:val="22"/>
        </w:rPr>
        <w:t>2010] EWCA Civ 1446, [</w:t>
      </w:r>
      <w:r w:rsidRPr="00653948">
        <w:rPr>
          <w:rFonts w:ascii="Arial" w:hAnsi="Arial" w:cs="Arial"/>
          <w:sz w:val="22"/>
          <w:szCs w:val="22"/>
        </w:rPr>
        <w:t>2011] 1 WLR 1901</w:t>
      </w:r>
      <w:r w:rsidR="00326F95">
        <w:rPr>
          <w:rFonts w:ascii="Arial" w:hAnsi="Arial" w:cs="Arial"/>
          <w:sz w:val="22"/>
          <w:szCs w:val="22"/>
        </w:rPr>
        <w:t>)</w:t>
      </w:r>
      <w:r w:rsidRPr="00653948">
        <w:rPr>
          <w:rFonts w:ascii="Arial" w:hAnsi="Arial" w:cs="Arial"/>
          <w:sz w:val="22"/>
          <w:szCs w:val="22"/>
        </w:rPr>
        <w:t>.</w:t>
      </w:r>
      <w:r w:rsidR="00DC4559">
        <w:rPr>
          <w:rFonts w:ascii="Arial" w:hAnsi="Arial" w:cs="Arial"/>
          <w:sz w:val="22"/>
          <w:szCs w:val="22"/>
        </w:rPr>
        <w:t xml:space="preserve"> Although in </w:t>
      </w:r>
      <w:r w:rsidR="00DC4559" w:rsidRPr="00E76974">
        <w:rPr>
          <w:rFonts w:ascii="Arial" w:hAnsi="Arial" w:cs="Arial"/>
          <w:b/>
          <w:i/>
          <w:sz w:val="22"/>
          <w:szCs w:val="22"/>
        </w:rPr>
        <w:t>Newlyn plc v Waltham Forest LBC</w:t>
      </w:r>
      <w:r w:rsidR="00DC4559">
        <w:rPr>
          <w:rFonts w:ascii="Arial" w:hAnsi="Arial" w:cs="Arial"/>
          <w:sz w:val="22"/>
          <w:szCs w:val="22"/>
        </w:rPr>
        <w:t xml:space="preserve"> [2016] EWHC 771 (TCC) Coulson J held that there was no power to permit an action begun under CPR Part 7 to continue as an application for judicial review (but found </w:t>
      </w:r>
      <w:r w:rsidR="00E76974">
        <w:rPr>
          <w:rFonts w:ascii="Arial" w:hAnsi="Arial" w:cs="Arial"/>
          <w:sz w:val="22"/>
          <w:szCs w:val="22"/>
        </w:rPr>
        <w:t xml:space="preserve">that </w:t>
      </w:r>
      <w:r w:rsidR="00DC4559">
        <w:rPr>
          <w:rFonts w:ascii="Arial" w:hAnsi="Arial" w:cs="Arial"/>
          <w:sz w:val="22"/>
          <w:szCs w:val="22"/>
        </w:rPr>
        <w:t xml:space="preserve">such an application would have been doomed to fail in any event). </w:t>
      </w:r>
    </w:p>
    <w:p w14:paraId="2D4741F7" w14:textId="0C68FC87" w:rsidR="00EB5785" w:rsidRPr="00653948" w:rsidRDefault="00EB5785" w:rsidP="00DC4559">
      <w:pPr>
        <w:pStyle w:val="BodyTextIndent3"/>
        <w:ind w:left="360"/>
        <w:rPr>
          <w:rFonts w:ascii="Arial" w:hAnsi="Arial" w:cs="Arial"/>
          <w:sz w:val="22"/>
          <w:szCs w:val="22"/>
        </w:rPr>
      </w:pPr>
    </w:p>
    <w:p w14:paraId="21BA79D3" w14:textId="77777777" w:rsidR="00EB5785" w:rsidRPr="00653948" w:rsidRDefault="00EB5785" w:rsidP="00EB5785">
      <w:pPr>
        <w:pStyle w:val="BodyTextIndent3"/>
        <w:ind w:left="0"/>
        <w:rPr>
          <w:rFonts w:ascii="Arial" w:hAnsi="Arial" w:cs="Arial"/>
          <w:sz w:val="22"/>
          <w:szCs w:val="22"/>
        </w:rPr>
      </w:pPr>
    </w:p>
    <w:p w14:paraId="09E04602" w14:textId="77777777" w:rsidR="00EB5785" w:rsidRPr="00653948" w:rsidRDefault="00EB5785" w:rsidP="00EB5785">
      <w:pPr>
        <w:pStyle w:val="BodyTextIndent3"/>
        <w:numPr>
          <w:ilvl w:val="0"/>
          <w:numId w:val="34"/>
        </w:numPr>
        <w:rPr>
          <w:rFonts w:ascii="Arial" w:hAnsi="Arial" w:cs="Arial"/>
          <w:sz w:val="22"/>
          <w:szCs w:val="22"/>
        </w:rPr>
      </w:pPr>
      <w:r w:rsidRPr="00653948">
        <w:rPr>
          <w:rFonts w:ascii="Arial" w:hAnsi="Arial" w:cs="Arial"/>
          <w:sz w:val="22"/>
          <w:szCs w:val="22"/>
        </w:rPr>
        <w:t xml:space="preserve">In particular, </w:t>
      </w:r>
      <w:r w:rsidRPr="00E76974">
        <w:rPr>
          <w:rFonts w:ascii="Arial" w:hAnsi="Arial" w:cs="Arial"/>
          <w:b/>
          <w:i/>
          <w:sz w:val="22"/>
          <w:szCs w:val="22"/>
        </w:rPr>
        <w:t>O’Reilly</w:t>
      </w:r>
      <w:r w:rsidRPr="00653948">
        <w:rPr>
          <w:rFonts w:ascii="Arial" w:hAnsi="Arial" w:cs="Arial"/>
          <w:sz w:val="22"/>
          <w:szCs w:val="22"/>
        </w:rPr>
        <w:t xml:space="preserve"> has been qualified to the extent that:</w:t>
      </w:r>
    </w:p>
    <w:p w14:paraId="7BEA7099" w14:textId="77777777" w:rsidR="00EB5785" w:rsidRPr="00653948" w:rsidRDefault="00EB5785" w:rsidP="00EB5785">
      <w:pPr>
        <w:jc w:val="both"/>
        <w:rPr>
          <w:rFonts w:ascii="Arial" w:hAnsi="Arial" w:cs="Arial"/>
          <w:szCs w:val="22"/>
        </w:rPr>
      </w:pPr>
    </w:p>
    <w:p w14:paraId="6BEE8E6C" w14:textId="6CA518C9" w:rsidR="00EB5785" w:rsidRPr="00653948" w:rsidRDefault="00EB5785" w:rsidP="00C10D1E">
      <w:pPr>
        <w:numPr>
          <w:ilvl w:val="0"/>
          <w:numId w:val="32"/>
        </w:numPr>
        <w:tabs>
          <w:tab w:val="num" w:pos="0"/>
        </w:tabs>
        <w:spacing w:line="240" w:lineRule="auto"/>
        <w:ind w:left="720"/>
        <w:jc w:val="both"/>
        <w:rPr>
          <w:rFonts w:ascii="Arial" w:hAnsi="Arial" w:cs="Arial"/>
          <w:szCs w:val="22"/>
        </w:rPr>
      </w:pPr>
      <w:r w:rsidRPr="00653948">
        <w:rPr>
          <w:rFonts w:ascii="Arial" w:hAnsi="Arial" w:cs="Arial"/>
          <w:szCs w:val="22"/>
        </w:rPr>
        <w:t xml:space="preserve">Where the party seeking to raise the public law issue is doing so by way of a </w:t>
      </w:r>
      <w:r w:rsidRPr="00653948">
        <w:rPr>
          <w:rFonts w:ascii="Arial" w:hAnsi="Arial" w:cs="Arial"/>
          <w:i/>
          <w:szCs w:val="22"/>
        </w:rPr>
        <w:t>defence</w:t>
      </w:r>
      <w:r w:rsidRPr="00653948">
        <w:rPr>
          <w:rFonts w:ascii="Arial" w:hAnsi="Arial" w:cs="Arial"/>
          <w:szCs w:val="22"/>
        </w:rPr>
        <w:t xml:space="preserve"> to a claim brought against him</w:t>
      </w:r>
      <w:r w:rsidR="00E76974">
        <w:rPr>
          <w:rFonts w:ascii="Arial" w:hAnsi="Arial" w:cs="Arial"/>
          <w:szCs w:val="22"/>
        </w:rPr>
        <w:t>/her</w:t>
      </w:r>
      <w:r w:rsidRPr="00653948">
        <w:rPr>
          <w:rFonts w:ascii="Arial" w:hAnsi="Arial" w:cs="Arial"/>
          <w:szCs w:val="22"/>
        </w:rPr>
        <w:t xml:space="preserve">, in whatever forum, </w:t>
      </w:r>
      <w:r w:rsidR="00E76974">
        <w:rPr>
          <w:rFonts w:ascii="Arial" w:hAnsi="Arial" w:cs="Arial"/>
          <w:szCs w:val="22"/>
        </w:rPr>
        <w:t>s/</w:t>
      </w:r>
      <w:r w:rsidRPr="00653948">
        <w:rPr>
          <w:rFonts w:ascii="Arial" w:hAnsi="Arial" w:cs="Arial"/>
          <w:szCs w:val="22"/>
        </w:rPr>
        <w:t xml:space="preserve">he will generally be permitted to do so. See </w:t>
      </w:r>
      <w:r w:rsidRPr="00E76974">
        <w:rPr>
          <w:rFonts w:ascii="Arial" w:hAnsi="Arial" w:cs="Arial"/>
          <w:b/>
          <w:i/>
          <w:szCs w:val="22"/>
        </w:rPr>
        <w:t>Wandsworth LBC v Winder</w:t>
      </w:r>
      <w:r w:rsidR="00E76974">
        <w:rPr>
          <w:rFonts w:ascii="Arial" w:hAnsi="Arial" w:cs="Arial"/>
          <w:b/>
          <w:i/>
          <w:szCs w:val="22"/>
        </w:rPr>
        <w:t xml:space="preserve"> (No.1)</w:t>
      </w:r>
      <w:r w:rsidRPr="00653948">
        <w:rPr>
          <w:rFonts w:ascii="Arial" w:hAnsi="Arial" w:cs="Arial"/>
          <w:i/>
          <w:szCs w:val="22"/>
        </w:rPr>
        <w:t xml:space="preserve"> </w:t>
      </w:r>
      <w:r w:rsidRPr="00653948">
        <w:rPr>
          <w:rFonts w:ascii="Arial" w:hAnsi="Arial" w:cs="Arial"/>
          <w:szCs w:val="22"/>
        </w:rPr>
        <w:t>[1985] AC 461</w:t>
      </w:r>
      <w:r w:rsidR="00E76974">
        <w:rPr>
          <w:rFonts w:ascii="Arial" w:hAnsi="Arial" w:cs="Arial"/>
          <w:szCs w:val="22"/>
        </w:rPr>
        <w:t>, HL</w:t>
      </w:r>
      <w:r w:rsidRPr="00653948">
        <w:rPr>
          <w:rFonts w:ascii="Arial" w:hAnsi="Arial" w:cs="Arial"/>
          <w:szCs w:val="22"/>
        </w:rPr>
        <w:t xml:space="preserve">, </w:t>
      </w:r>
      <w:r w:rsidRPr="00E76974">
        <w:rPr>
          <w:rFonts w:ascii="Arial" w:hAnsi="Arial" w:cs="Arial"/>
          <w:b/>
          <w:i/>
          <w:szCs w:val="22"/>
        </w:rPr>
        <w:t>Wandsworth LBC v A</w:t>
      </w:r>
      <w:r w:rsidR="00E76974">
        <w:rPr>
          <w:rFonts w:ascii="Arial" w:hAnsi="Arial" w:cs="Arial"/>
          <w:szCs w:val="22"/>
        </w:rPr>
        <w:t xml:space="preserve"> [2000</w:t>
      </w:r>
      <w:r w:rsidRPr="00653948">
        <w:rPr>
          <w:rFonts w:ascii="Arial" w:hAnsi="Arial" w:cs="Arial"/>
          <w:szCs w:val="22"/>
        </w:rPr>
        <w:t>] 1 WLR 1246,</w:t>
      </w:r>
      <w:r w:rsidR="00E76974">
        <w:rPr>
          <w:rFonts w:ascii="Arial" w:hAnsi="Arial" w:cs="Arial"/>
          <w:szCs w:val="22"/>
        </w:rPr>
        <w:t xml:space="preserve"> CA,</w:t>
      </w:r>
      <w:r w:rsidRPr="00653948">
        <w:rPr>
          <w:rFonts w:ascii="Arial" w:hAnsi="Arial" w:cs="Arial"/>
          <w:szCs w:val="22"/>
        </w:rPr>
        <w:t xml:space="preserve"> </w:t>
      </w:r>
      <w:r w:rsidRPr="00E76974">
        <w:rPr>
          <w:rFonts w:ascii="Arial" w:hAnsi="Arial" w:cs="Arial"/>
          <w:b/>
          <w:i/>
          <w:szCs w:val="22"/>
        </w:rPr>
        <w:t>Boddington v British Transport Police</w:t>
      </w:r>
      <w:r w:rsidRPr="00653948">
        <w:rPr>
          <w:rFonts w:ascii="Arial" w:hAnsi="Arial" w:cs="Arial"/>
          <w:i/>
          <w:szCs w:val="22"/>
        </w:rPr>
        <w:t xml:space="preserve"> </w:t>
      </w:r>
      <w:r w:rsidRPr="00653948">
        <w:rPr>
          <w:rFonts w:ascii="Arial" w:hAnsi="Arial" w:cs="Arial"/>
          <w:szCs w:val="22"/>
        </w:rPr>
        <w:t>[1999] 2 AC 143</w:t>
      </w:r>
      <w:r w:rsidR="00E76974">
        <w:rPr>
          <w:rFonts w:ascii="Arial" w:hAnsi="Arial" w:cs="Arial"/>
          <w:szCs w:val="22"/>
        </w:rPr>
        <w:t>, HL</w:t>
      </w:r>
      <w:r w:rsidRPr="00653948">
        <w:rPr>
          <w:rFonts w:ascii="Arial" w:hAnsi="Arial" w:cs="Arial"/>
          <w:szCs w:val="22"/>
        </w:rPr>
        <w:t xml:space="preserve">. Cf. </w:t>
      </w:r>
      <w:r w:rsidRPr="00E76974">
        <w:rPr>
          <w:rFonts w:ascii="Arial" w:hAnsi="Arial" w:cs="Arial"/>
          <w:b/>
          <w:i/>
          <w:szCs w:val="22"/>
        </w:rPr>
        <w:t>R v Wicks</w:t>
      </w:r>
      <w:r w:rsidRPr="00653948">
        <w:rPr>
          <w:rFonts w:ascii="Arial" w:hAnsi="Arial" w:cs="Arial"/>
          <w:i/>
          <w:szCs w:val="22"/>
        </w:rPr>
        <w:t xml:space="preserve"> </w:t>
      </w:r>
      <w:r w:rsidR="00326F95">
        <w:rPr>
          <w:rFonts w:ascii="Arial" w:hAnsi="Arial" w:cs="Arial"/>
          <w:szCs w:val="22"/>
        </w:rPr>
        <w:t xml:space="preserve">[1998] </w:t>
      </w:r>
      <w:r w:rsidRPr="00653948">
        <w:rPr>
          <w:rFonts w:ascii="Arial" w:hAnsi="Arial" w:cs="Arial"/>
          <w:szCs w:val="22"/>
        </w:rPr>
        <w:t>AC 92</w:t>
      </w:r>
      <w:r w:rsidR="00E76974">
        <w:rPr>
          <w:rFonts w:ascii="Arial" w:hAnsi="Arial" w:cs="Arial"/>
          <w:szCs w:val="22"/>
        </w:rPr>
        <w:t>, HL</w:t>
      </w:r>
      <w:r w:rsidRPr="00653948">
        <w:rPr>
          <w:rFonts w:ascii="Arial" w:hAnsi="Arial" w:cs="Arial"/>
          <w:szCs w:val="22"/>
        </w:rPr>
        <w:t>.</w:t>
      </w:r>
    </w:p>
    <w:p w14:paraId="39DAB45B" w14:textId="77777777" w:rsidR="00EB5785" w:rsidRPr="00653948" w:rsidRDefault="00EB5785" w:rsidP="00C10D1E">
      <w:pPr>
        <w:ind w:left="720"/>
        <w:jc w:val="both"/>
        <w:rPr>
          <w:rFonts w:ascii="Arial" w:hAnsi="Arial" w:cs="Arial"/>
          <w:szCs w:val="22"/>
        </w:rPr>
      </w:pPr>
    </w:p>
    <w:p w14:paraId="1645C8EC" w14:textId="2206EDF2" w:rsidR="00EB5785" w:rsidRPr="00653948" w:rsidRDefault="00EB5785" w:rsidP="00C10D1E">
      <w:pPr>
        <w:numPr>
          <w:ilvl w:val="0"/>
          <w:numId w:val="32"/>
        </w:numPr>
        <w:tabs>
          <w:tab w:val="num" w:pos="0"/>
        </w:tabs>
        <w:spacing w:line="240" w:lineRule="auto"/>
        <w:ind w:left="720"/>
        <w:jc w:val="both"/>
        <w:rPr>
          <w:rFonts w:ascii="Arial" w:hAnsi="Arial" w:cs="Arial"/>
          <w:szCs w:val="22"/>
        </w:rPr>
      </w:pPr>
      <w:r w:rsidRPr="00653948">
        <w:rPr>
          <w:rFonts w:ascii="Arial" w:hAnsi="Arial" w:cs="Arial"/>
          <w:szCs w:val="22"/>
        </w:rPr>
        <w:t xml:space="preserve">Where a party is making a claim of a private law nature (e.g. a claim for a particular sum of money as being due and owing), the fact that his entitlement to that sum may depend in part upon the resolution of a public law issue will not normally make it inappropriate for him to have proceeded otherwise than by way of judicial review. See </w:t>
      </w:r>
      <w:r w:rsidRPr="00E76974">
        <w:rPr>
          <w:rFonts w:ascii="Arial" w:hAnsi="Arial" w:cs="Arial"/>
          <w:b/>
          <w:i/>
          <w:szCs w:val="22"/>
        </w:rPr>
        <w:t>Roy v Kensington &amp; Chelsea &amp; Westminster Family Practitioner Committee</w:t>
      </w:r>
      <w:r w:rsidRPr="00653948">
        <w:rPr>
          <w:rFonts w:ascii="Arial" w:hAnsi="Arial" w:cs="Arial"/>
          <w:szCs w:val="22"/>
        </w:rPr>
        <w:t xml:space="preserve"> [1992] 1 AC 624, </w:t>
      </w:r>
      <w:r w:rsidRPr="00E76974">
        <w:rPr>
          <w:rFonts w:ascii="Arial" w:hAnsi="Arial" w:cs="Arial"/>
          <w:b/>
          <w:i/>
          <w:szCs w:val="22"/>
        </w:rPr>
        <w:t xml:space="preserve">Steed v </w:t>
      </w:r>
      <w:r w:rsidR="00326F95" w:rsidRPr="00E76974">
        <w:rPr>
          <w:rFonts w:ascii="Arial" w:hAnsi="Arial" w:cs="Arial"/>
          <w:b/>
          <w:i/>
          <w:szCs w:val="22"/>
        </w:rPr>
        <w:t xml:space="preserve">Secretary of State for the </w:t>
      </w:r>
      <w:r w:rsidRPr="00E76974">
        <w:rPr>
          <w:rFonts w:ascii="Arial" w:hAnsi="Arial" w:cs="Arial"/>
          <w:b/>
          <w:i/>
          <w:szCs w:val="22"/>
        </w:rPr>
        <w:t xml:space="preserve">Home </w:t>
      </w:r>
      <w:r w:rsidR="00326F95" w:rsidRPr="00E76974">
        <w:rPr>
          <w:rFonts w:ascii="Arial" w:hAnsi="Arial" w:cs="Arial"/>
          <w:b/>
          <w:i/>
          <w:szCs w:val="22"/>
        </w:rPr>
        <w:t>Department</w:t>
      </w:r>
      <w:r w:rsidRPr="00E76974">
        <w:rPr>
          <w:rFonts w:ascii="Arial" w:hAnsi="Arial" w:cs="Arial"/>
          <w:b/>
          <w:i/>
          <w:szCs w:val="22"/>
        </w:rPr>
        <w:t xml:space="preserve"> </w:t>
      </w:r>
      <w:r w:rsidR="00553900">
        <w:rPr>
          <w:rFonts w:ascii="Arial" w:hAnsi="Arial" w:cs="Arial"/>
          <w:szCs w:val="22"/>
        </w:rPr>
        <w:t xml:space="preserve">[2000] 1 WLR 1169, </w:t>
      </w:r>
      <w:r w:rsidRPr="00E76974">
        <w:rPr>
          <w:rFonts w:ascii="Arial" w:hAnsi="Arial" w:cs="Arial"/>
          <w:b/>
          <w:i/>
          <w:szCs w:val="22"/>
        </w:rPr>
        <w:t>Bloomsbury International Ltd v Sea Fish Industry Authority</w:t>
      </w:r>
      <w:r w:rsidRPr="00653948">
        <w:rPr>
          <w:rFonts w:ascii="Arial" w:hAnsi="Arial" w:cs="Arial"/>
          <w:i/>
          <w:szCs w:val="22"/>
        </w:rPr>
        <w:t xml:space="preserve"> </w:t>
      </w:r>
      <w:r w:rsidR="00E76974">
        <w:rPr>
          <w:rFonts w:ascii="Arial" w:hAnsi="Arial" w:cs="Arial"/>
          <w:szCs w:val="22"/>
        </w:rPr>
        <w:t xml:space="preserve">[2009] EWHC 1721 (QB), </w:t>
      </w:r>
      <w:r w:rsidRPr="00653948">
        <w:rPr>
          <w:rFonts w:ascii="Arial" w:hAnsi="Arial" w:cs="Arial"/>
          <w:szCs w:val="22"/>
        </w:rPr>
        <w:t>[2010] 1 CMLR 12</w:t>
      </w:r>
      <w:r w:rsidR="00E76974">
        <w:rPr>
          <w:rFonts w:ascii="Arial" w:hAnsi="Arial" w:cs="Arial"/>
          <w:szCs w:val="22"/>
        </w:rPr>
        <w:t>,</w:t>
      </w:r>
      <w:r w:rsidR="00326F95">
        <w:rPr>
          <w:rStyle w:val="FootnoteReference"/>
          <w:rFonts w:ascii="Arial" w:hAnsi="Arial" w:cs="Arial"/>
          <w:szCs w:val="22"/>
        </w:rPr>
        <w:footnoteReference w:id="15"/>
      </w:r>
      <w:r w:rsidR="00553900">
        <w:rPr>
          <w:rFonts w:ascii="Arial" w:hAnsi="Arial" w:cs="Arial"/>
          <w:szCs w:val="22"/>
        </w:rPr>
        <w:t xml:space="preserve"> and </w:t>
      </w:r>
      <w:r w:rsidR="00553900" w:rsidRPr="00E76974">
        <w:rPr>
          <w:rFonts w:ascii="Arial" w:hAnsi="Arial" w:cs="Arial"/>
          <w:b/>
          <w:i/>
          <w:szCs w:val="22"/>
        </w:rPr>
        <w:t>Richards v Worcestershire CC</w:t>
      </w:r>
      <w:r w:rsidR="00553900">
        <w:rPr>
          <w:rFonts w:ascii="Arial" w:hAnsi="Arial" w:cs="Arial"/>
          <w:szCs w:val="22"/>
        </w:rPr>
        <w:t xml:space="preserve"> [2016] EWHC 1954 (Ch)</w:t>
      </w:r>
      <w:r w:rsidR="00E76974">
        <w:rPr>
          <w:rFonts w:ascii="Arial" w:hAnsi="Arial" w:cs="Arial"/>
          <w:szCs w:val="22"/>
        </w:rPr>
        <w:t>, [2017] PTSR 165</w:t>
      </w:r>
      <w:r w:rsidRPr="00653948">
        <w:rPr>
          <w:rFonts w:ascii="Arial" w:hAnsi="Arial" w:cs="Arial"/>
          <w:szCs w:val="22"/>
        </w:rPr>
        <w:t>.</w:t>
      </w:r>
      <w:r w:rsidR="00133846">
        <w:rPr>
          <w:rStyle w:val="FootnoteReference"/>
          <w:rFonts w:ascii="Arial" w:hAnsi="Arial" w:cs="Arial"/>
          <w:szCs w:val="22"/>
        </w:rPr>
        <w:footnoteReference w:id="16"/>
      </w:r>
    </w:p>
    <w:p w14:paraId="0E39D29D" w14:textId="77777777" w:rsidR="00EB5785" w:rsidRPr="00653948" w:rsidRDefault="00EB5785" w:rsidP="00EB5785">
      <w:pPr>
        <w:jc w:val="both"/>
        <w:rPr>
          <w:rFonts w:ascii="Arial" w:hAnsi="Arial" w:cs="Arial"/>
          <w:szCs w:val="22"/>
        </w:rPr>
      </w:pPr>
    </w:p>
    <w:p w14:paraId="5B519272" w14:textId="4838E33E"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However, the approach taken by the courts often fails to come to grips with the fact that the way in which the public law issue is raised may not simply be a matter of procedure. Rather, it may impact upon the substantive outcome of the case. This is most immediately apparent in cases where the public law issue is raised at a time when an application for judicial review would in all probability have failed on discretionary grounds.</w:t>
      </w:r>
    </w:p>
    <w:p w14:paraId="636C0F35" w14:textId="77777777" w:rsidR="00EB5785" w:rsidRPr="00653948" w:rsidRDefault="00EB5785" w:rsidP="00EB5785">
      <w:pPr>
        <w:pStyle w:val="ListParagraph"/>
        <w:jc w:val="both"/>
        <w:rPr>
          <w:rFonts w:ascii="Arial" w:hAnsi="Arial" w:cs="Arial"/>
          <w:sz w:val="22"/>
          <w:szCs w:val="22"/>
        </w:rPr>
      </w:pPr>
    </w:p>
    <w:p w14:paraId="43903E65" w14:textId="5EFEB236"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lastRenderedPageBreak/>
        <w:t xml:space="preserve">There is an interesting discussion of the procedural exclusivity issue in </w:t>
      </w:r>
      <w:r w:rsidRPr="00E76974">
        <w:rPr>
          <w:rFonts w:ascii="Arial" w:hAnsi="Arial" w:cs="Arial"/>
          <w:b/>
          <w:i/>
          <w:sz w:val="22"/>
          <w:szCs w:val="22"/>
        </w:rPr>
        <w:t>Bunney v Burns Anderson plc</w:t>
      </w:r>
      <w:r w:rsidRPr="00653948">
        <w:rPr>
          <w:rFonts w:ascii="Arial" w:hAnsi="Arial" w:cs="Arial"/>
          <w:i/>
          <w:sz w:val="22"/>
          <w:szCs w:val="22"/>
        </w:rPr>
        <w:t xml:space="preserve"> </w:t>
      </w:r>
      <w:r w:rsidRPr="00653948">
        <w:rPr>
          <w:rFonts w:ascii="Arial" w:hAnsi="Arial" w:cs="Arial"/>
          <w:sz w:val="22"/>
          <w:szCs w:val="22"/>
        </w:rPr>
        <w:t>[2007]</w:t>
      </w:r>
      <w:r w:rsidR="00E76974">
        <w:rPr>
          <w:rFonts w:ascii="Arial" w:hAnsi="Arial" w:cs="Arial"/>
          <w:sz w:val="22"/>
          <w:szCs w:val="22"/>
        </w:rPr>
        <w:t xml:space="preserve"> EWHC 1240 (Ch), [2007]</w:t>
      </w:r>
      <w:r w:rsidRPr="00653948">
        <w:rPr>
          <w:rFonts w:ascii="Arial" w:hAnsi="Arial" w:cs="Arial"/>
          <w:sz w:val="22"/>
          <w:szCs w:val="22"/>
        </w:rPr>
        <w:t xml:space="preserve"> 4 All ER 246</w:t>
      </w:r>
      <w:r w:rsidR="00E76974">
        <w:rPr>
          <w:rFonts w:ascii="Arial" w:hAnsi="Arial" w:cs="Arial"/>
          <w:sz w:val="22"/>
          <w:szCs w:val="22"/>
        </w:rPr>
        <w:t>,</w:t>
      </w:r>
      <w:r w:rsidRPr="00653948">
        <w:rPr>
          <w:rFonts w:ascii="Arial" w:hAnsi="Arial" w:cs="Arial"/>
          <w:sz w:val="22"/>
          <w:szCs w:val="22"/>
        </w:rPr>
        <w:t xml:space="preserve"> at </w:t>
      </w:r>
      <w:r w:rsidR="00326F95">
        <w:rPr>
          <w:rFonts w:ascii="Arial" w:hAnsi="Arial" w:cs="Arial"/>
          <w:sz w:val="22"/>
          <w:szCs w:val="22"/>
        </w:rPr>
        <w:t>[</w:t>
      </w:r>
      <w:r w:rsidRPr="00653948">
        <w:rPr>
          <w:rFonts w:ascii="Arial" w:hAnsi="Arial" w:cs="Arial"/>
          <w:sz w:val="22"/>
          <w:szCs w:val="22"/>
        </w:rPr>
        <w:t>25</w:t>
      </w:r>
      <w:r w:rsidR="00326F95">
        <w:rPr>
          <w:rFonts w:ascii="Arial" w:hAnsi="Arial" w:cs="Arial"/>
          <w:sz w:val="22"/>
          <w:szCs w:val="22"/>
        </w:rPr>
        <w:t>]</w:t>
      </w:r>
      <w:r w:rsidRPr="00653948">
        <w:rPr>
          <w:rFonts w:ascii="Arial" w:hAnsi="Arial" w:cs="Arial"/>
          <w:sz w:val="22"/>
          <w:szCs w:val="22"/>
        </w:rPr>
        <w:t xml:space="preserve"> to </w:t>
      </w:r>
      <w:r w:rsidR="00326F95">
        <w:rPr>
          <w:rFonts w:ascii="Arial" w:hAnsi="Arial" w:cs="Arial"/>
          <w:sz w:val="22"/>
          <w:szCs w:val="22"/>
        </w:rPr>
        <w:t>[</w:t>
      </w:r>
      <w:r w:rsidRPr="00653948">
        <w:rPr>
          <w:rFonts w:ascii="Arial" w:hAnsi="Arial" w:cs="Arial"/>
          <w:sz w:val="22"/>
          <w:szCs w:val="22"/>
        </w:rPr>
        <w:t>48</w:t>
      </w:r>
      <w:r w:rsidR="00326F95">
        <w:rPr>
          <w:rFonts w:ascii="Arial" w:hAnsi="Arial" w:cs="Arial"/>
          <w:sz w:val="22"/>
          <w:szCs w:val="22"/>
        </w:rPr>
        <w:t>]. In that case</w:t>
      </w:r>
      <w:r w:rsidRPr="00653948">
        <w:rPr>
          <w:rFonts w:ascii="Arial" w:hAnsi="Arial" w:cs="Arial"/>
          <w:sz w:val="22"/>
          <w:szCs w:val="22"/>
        </w:rPr>
        <w:t xml:space="preserve"> the Financial Services Ombudsman gave a direction requiring the defendant firm to pay compensation. The direction was not challenged by judicial review, but the firm raised its alleged invalidity in public law when the individual to whom it had given financial advice later brought a claim to enforce the direction. Lewison J </w:t>
      </w:r>
      <w:r w:rsidR="00E76974">
        <w:rPr>
          <w:rFonts w:ascii="Arial" w:hAnsi="Arial" w:cs="Arial"/>
          <w:sz w:val="22"/>
          <w:szCs w:val="22"/>
        </w:rPr>
        <w:t xml:space="preserve">(as he then was) </w:t>
      </w:r>
      <w:r w:rsidRPr="00653948">
        <w:rPr>
          <w:rFonts w:ascii="Arial" w:hAnsi="Arial" w:cs="Arial"/>
          <w:sz w:val="22"/>
          <w:szCs w:val="22"/>
        </w:rPr>
        <w:t xml:space="preserve">was of the view that </w:t>
      </w:r>
      <w:r w:rsidRPr="00E76974">
        <w:rPr>
          <w:rFonts w:ascii="Arial" w:hAnsi="Arial" w:cs="Arial"/>
          <w:b/>
          <w:i/>
          <w:sz w:val="22"/>
          <w:szCs w:val="22"/>
        </w:rPr>
        <w:t>O’Reilly</w:t>
      </w:r>
      <w:r w:rsidRPr="00653948">
        <w:rPr>
          <w:rFonts w:ascii="Arial" w:hAnsi="Arial" w:cs="Arial"/>
          <w:i/>
          <w:sz w:val="22"/>
          <w:szCs w:val="22"/>
        </w:rPr>
        <w:t xml:space="preserve"> </w:t>
      </w:r>
      <w:r w:rsidRPr="00653948">
        <w:rPr>
          <w:rFonts w:ascii="Arial" w:hAnsi="Arial" w:cs="Arial"/>
          <w:sz w:val="22"/>
          <w:szCs w:val="22"/>
        </w:rPr>
        <w:t xml:space="preserve">had lost much of its force, and that there was normally no discretion to refuse to allow a defendant to a claim to raise a challenge to a public law decision by way of defence. Whilst the true construction of the statutory scheme concerned might be that a particular decision could only be challenged by way of judicial review, there was a strong presumption against such a reading.  Unsurprisingly (since the case had only been decided the previous day) Lewison J did not refer to the Court of Appeal’s judgment in </w:t>
      </w:r>
      <w:r w:rsidRPr="00E76974">
        <w:rPr>
          <w:rFonts w:ascii="Arial" w:hAnsi="Arial" w:cs="Arial"/>
          <w:b/>
          <w:i/>
          <w:sz w:val="22"/>
          <w:szCs w:val="22"/>
        </w:rPr>
        <w:t>Ford-Camber Ltd v Deanminster Ltd</w:t>
      </w:r>
      <w:r w:rsidRPr="00653948">
        <w:rPr>
          <w:rFonts w:ascii="Arial" w:hAnsi="Arial" w:cs="Arial"/>
          <w:i/>
          <w:sz w:val="22"/>
          <w:szCs w:val="22"/>
        </w:rPr>
        <w:t xml:space="preserve"> </w:t>
      </w:r>
      <w:r w:rsidRPr="00653948">
        <w:rPr>
          <w:rFonts w:ascii="Arial" w:hAnsi="Arial" w:cs="Arial"/>
          <w:sz w:val="22"/>
          <w:szCs w:val="22"/>
        </w:rPr>
        <w:t xml:space="preserve">[2007] EWCA Civ 458.  It is hard to derive a clear statement of principle from that decision, but it suggests that (at any rate) as between two private parties, the court may have a much wider discretion than </w:t>
      </w:r>
      <w:r w:rsidRPr="00E76974">
        <w:rPr>
          <w:rFonts w:ascii="Arial" w:hAnsi="Arial" w:cs="Arial"/>
          <w:b/>
          <w:i/>
          <w:sz w:val="22"/>
          <w:szCs w:val="22"/>
        </w:rPr>
        <w:t>Bunney</w:t>
      </w:r>
      <w:r w:rsidRPr="00653948">
        <w:rPr>
          <w:rFonts w:ascii="Arial" w:hAnsi="Arial" w:cs="Arial"/>
          <w:i/>
          <w:sz w:val="22"/>
          <w:szCs w:val="22"/>
        </w:rPr>
        <w:t xml:space="preserve"> </w:t>
      </w:r>
      <w:r w:rsidRPr="00653948">
        <w:rPr>
          <w:rFonts w:ascii="Arial" w:hAnsi="Arial" w:cs="Arial"/>
          <w:sz w:val="22"/>
          <w:szCs w:val="22"/>
        </w:rPr>
        <w:t xml:space="preserve">recognised to say that a public law argument is an abuse of process where it should have been raised earlier by way of judicial review, in particular if the delay in raising the point has led to prejudice.  See also </w:t>
      </w:r>
      <w:r w:rsidRPr="00E76974">
        <w:rPr>
          <w:rFonts w:ascii="Arial" w:hAnsi="Arial" w:cs="Arial"/>
          <w:b/>
          <w:i/>
          <w:sz w:val="22"/>
          <w:szCs w:val="22"/>
        </w:rPr>
        <w:t>Arqiva Ltd v Everything Everywhere Ltd</w:t>
      </w:r>
      <w:r w:rsidRPr="00653948">
        <w:rPr>
          <w:rFonts w:ascii="Arial" w:hAnsi="Arial" w:cs="Arial"/>
          <w:i/>
          <w:sz w:val="22"/>
          <w:szCs w:val="22"/>
        </w:rPr>
        <w:t xml:space="preserve"> </w:t>
      </w:r>
      <w:r w:rsidRPr="00653948">
        <w:rPr>
          <w:rFonts w:ascii="Arial" w:hAnsi="Arial" w:cs="Arial"/>
          <w:sz w:val="22"/>
          <w:szCs w:val="22"/>
        </w:rPr>
        <w:t>[2011] EWHC 1411 (TCC).</w:t>
      </w:r>
    </w:p>
    <w:p w14:paraId="0FB66FE0" w14:textId="77777777" w:rsidR="00EB5785" w:rsidRPr="00653948" w:rsidRDefault="00EB5785" w:rsidP="00EB5785">
      <w:pPr>
        <w:pStyle w:val="ListParagraph"/>
        <w:jc w:val="both"/>
        <w:rPr>
          <w:rFonts w:ascii="Arial" w:hAnsi="Arial" w:cs="Arial"/>
          <w:sz w:val="22"/>
          <w:szCs w:val="22"/>
        </w:rPr>
      </w:pPr>
    </w:p>
    <w:p w14:paraId="64EEAD47" w14:textId="56E3BD63" w:rsidR="00EB5785"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 xml:space="preserve">In the </w:t>
      </w:r>
      <w:r w:rsidRPr="00E76974">
        <w:rPr>
          <w:rFonts w:ascii="Arial" w:hAnsi="Arial" w:cs="Arial"/>
          <w:b/>
          <w:i/>
          <w:sz w:val="22"/>
          <w:szCs w:val="22"/>
        </w:rPr>
        <w:t>McIntyre</w:t>
      </w:r>
      <w:r w:rsidRPr="00653948">
        <w:rPr>
          <w:rFonts w:ascii="Arial" w:hAnsi="Arial" w:cs="Arial"/>
          <w:sz w:val="22"/>
          <w:szCs w:val="22"/>
        </w:rPr>
        <w:t xml:space="preserve"> case, above, raising the public law issue collaterally in an ordinary civil claim was held to be an alternative remedy which ought to have been pursued instead of judicial review.  However, this may be a comparatively unusual outcome, save in cases where there are disputes of fact which ought to be resolved (as in </w:t>
      </w:r>
      <w:r w:rsidRPr="00E76974">
        <w:rPr>
          <w:rFonts w:ascii="Arial" w:hAnsi="Arial" w:cs="Arial"/>
          <w:b/>
          <w:i/>
          <w:sz w:val="22"/>
          <w:szCs w:val="22"/>
        </w:rPr>
        <w:t>R (Sher) v Chief Constable of Greater Manchester Police</w:t>
      </w:r>
      <w:r w:rsidRPr="00653948">
        <w:rPr>
          <w:rFonts w:ascii="Arial" w:hAnsi="Arial" w:cs="Arial"/>
          <w:i/>
          <w:sz w:val="22"/>
          <w:szCs w:val="22"/>
        </w:rPr>
        <w:t xml:space="preserve"> </w:t>
      </w:r>
      <w:r w:rsidRPr="00653948">
        <w:rPr>
          <w:rFonts w:ascii="Arial" w:hAnsi="Arial" w:cs="Arial"/>
          <w:sz w:val="22"/>
          <w:szCs w:val="22"/>
        </w:rPr>
        <w:t>[</w:t>
      </w:r>
      <w:r w:rsidR="00A80ECF">
        <w:rPr>
          <w:rFonts w:ascii="Arial" w:hAnsi="Arial" w:cs="Arial"/>
          <w:sz w:val="22"/>
          <w:szCs w:val="22"/>
        </w:rPr>
        <w:t>2010] EWHC 1859 (Admin), [</w:t>
      </w:r>
      <w:r w:rsidRPr="00653948">
        <w:rPr>
          <w:rFonts w:ascii="Arial" w:hAnsi="Arial" w:cs="Arial"/>
          <w:sz w:val="22"/>
          <w:szCs w:val="22"/>
        </w:rPr>
        <w:t xml:space="preserve">2011] 2 All ER 364).  See also </w:t>
      </w:r>
      <w:r w:rsidRPr="00A80ECF">
        <w:rPr>
          <w:rFonts w:ascii="Arial" w:hAnsi="Arial" w:cs="Arial"/>
          <w:b/>
          <w:i/>
          <w:sz w:val="22"/>
          <w:szCs w:val="22"/>
        </w:rPr>
        <w:t>R (Valentines Homes &amp; Construction Ltd</w:t>
      </w:r>
      <w:r w:rsidR="00A80ECF" w:rsidRPr="00A80ECF">
        <w:rPr>
          <w:rFonts w:ascii="Arial" w:hAnsi="Arial" w:cs="Arial"/>
          <w:b/>
          <w:i/>
          <w:sz w:val="22"/>
          <w:szCs w:val="22"/>
        </w:rPr>
        <w:t>.</w:t>
      </w:r>
      <w:r w:rsidRPr="00653948">
        <w:rPr>
          <w:rFonts w:ascii="Arial" w:hAnsi="Arial" w:cs="Arial"/>
          <w:i/>
          <w:sz w:val="22"/>
          <w:szCs w:val="22"/>
        </w:rPr>
        <w:t xml:space="preserve">) v HMRC </w:t>
      </w:r>
      <w:r w:rsidRPr="00653948">
        <w:rPr>
          <w:rFonts w:ascii="Arial" w:hAnsi="Arial" w:cs="Arial"/>
          <w:sz w:val="22"/>
          <w:szCs w:val="22"/>
        </w:rPr>
        <w:t>[</w:t>
      </w:r>
      <w:r w:rsidR="00A80ECF">
        <w:rPr>
          <w:rFonts w:ascii="Arial" w:hAnsi="Arial" w:cs="Arial"/>
          <w:sz w:val="22"/>
          <w:szCs w:val="22"/>
        </w:rPr>
        <w:t>2010] EWCA Civ 345, [</w:t>
      </w:r>
      <w:r w:rsidRPr="00653948">
        <w:rPr>
          <w:rFonts w:ascii="Arial" w:hAnsi="Arial" w:cs="Arial"/>
          <w:sz w:val="22"/>
          <w:szCs w:val="22"/>
        </w:rPr>
        <w:t>2010] STC 1208, where it was not an abuse of process to commence judicial review proceedings</w:t>
      </w:r>
      <w:r w:rsidR="00A80ECF">
        <w:rPr>
          <w:rFonts w:ascii="Arial" w:hAnsi="Arial" w:cs="Arial"/>
          <w:sz w:val="22"/>
          <w:szCs w:val="22"/>
        </w:rPr>
        <w:t>,</w:t>
      </w:r>
      <w:r w:rsidRPr="00653948">
        <w:rPr>
          <w:rFonts w:ascii="Arial" w:hAnsi="Arial" w:cs="Arial"/>
          <w:sz w:val="22"/>
          <w:szCs w:val="22"/>
        </w:rPr>
        <w:t xml:space="preserve"> rather than waiting to raise a defence if sued for the tax alleged to be due.</w:t>
      </w:r>
    </w:p>
    <w:p w14:paraId="72147122" w14:textId="77777777" w:rsidR="00DC4559" w:rsidRPr="00DC4559" w:rsidRDefault="00DC4559" w:rsidP="00DC4559">
      <w:pPr>
        <w:pStyle w:val="ListParagraph"/>
        <w:rPr>
          <w:rFonts w:ascii="Arial" w:hAnsi="Arial" w:cs="Arial"/>
          <w:sz w:val="22"/>
          <w:szCs w:val="22"/>
        </w:rPr>
      </w:pPr>
    </w:p>
    <w:p w14:paraId="6AF3DC68" w14:textId="77777777" w:rsidR="00326F95" w:rsidRDefault="00326F95" w:rsidP="00EB5785">
      <w:pPr>
        <w:pStyle w:val="Heading5"/>
        <w:rPr>
          <w:rFonts w:ascii="Arial" w:hAnsi="Arial" w:cs="Arial"/>
          <w:sz w:val="22"/>
          <w:szCs w:val="22"/>
        </w:rPr>
      </w:pPr>
    </w:p>
    <w:p w14:paraId="7B9605C4" w14:textId="20F826C3" w:rsidR="00EB5785" w:rsidRPr="00653948" w:rsidRDefault="00EB5785" w:rsidP="00EB5785">
      <w:pPr>
        <w:pStyle w:val="Heading5"/>
        <w:rPr>
          <w:rFonts w:ascii="Arial" w:hAnsi="Arial" w:cs="Arial"/>
          <w:b w:val="0"/>
          <w:sz w:val="22"/>
          <w:szCs w:val="22"/>
        </w:rPr>
      </w:pPr>
      <w:r w:rsidRPr="00653948">
        <w:rPr>
          <w:rFonts w:ascii="Arial" w:hAnsi="Arial" w:cs="Arial"/>
          <w:sz w:val="22"/>
          <w:szCs w:val="22"/>
        </w:rPr>
        <w:t>(7) Remedies</w:t>
      </w:r>
    </w:p>
    <w:p w14:paraId="45681CD9" w14:textId="77777777" w:rsidR="00EB5785" w:rsidRPr="00653948" w:rsidRDefault="00EB5785" w:rsidP="00EB5785">
      <w:pPr>
        <w:jc w:val="both"/>
        <w:rPr>
          <w:rFonts w:ascii="Arial" w:hAnsi="Arial" w:cs="Arial"/>
          <w:szCs w:val="22"/>
        </w:rPr>
      </w:pPr>
    </w:p>
    <w:p w14:paraId="4627995B" w14:textId="77777777"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The claim form must state any remedy (including any interim remedy) that the claimant is claiming: CPR r.54.6(c).</w:t>
      </w:r>
    </w:p>
    <w:p w14:paraId="783320CE" w14:textId="77777777" w:rsidR="00EB5785" w:rsidRDefault="00EB5785" w:rsidP="00EB5785">
      <w:pPr>
        <w:jc w:val="both"/>
        <w:rPr>
          <w:rFonts w:ascii="Arial" w:hAnsi="Arial" w:cs="Arial"/>
          <w:szCs w:val="22"/>
        </w:rPr>
      </w:pPr>
    </w:p>
    <w:p w14:paraId="5C7E7C7D" w14:textId="77777777" w:rsidR="00EB5785" w:rsidRDefault="00EB5785" w:rsidP="00EB5785">
      <w:pPr>
        <w:jc w:val="both"/>
        <w:rPr>
          <w:rFonts w:ascii="Arial" w:hAnsi="Arial" w:cs="Arial"/>
          <w:szCs w:val="22"/>
        </w:rPr>
      </w:pPr>
    </w:p>
    <w:p w14:paraId="2E0F7D51" w14:textId="77777777" w:rsidR="00EB5785" w:rsidRPr="00653948" w:rsidRDefault="00EB5785" w:rsidP="00EB5785">
      <w:pPr>
        <w:jc w:val="both"/>
        <w:rPr>
          <w:rFonts w:ascii="Arial" w:hAnsi="Arial" w:cs="Arial"/>
          <w:szCs w:val="22"/>
        </w:rPr>
      </w:pPr>
      <w:r w:rsidRPr="00653948">
        <w:rPr>
          <w:rFonts w:ascii="Arial" w:hAnsi="Arial" w:cs="Arial"/>
          <w:i/>
          <w:szCs w:val="22"/>
        </w:rPr>
        <w:t>Final remedies</w:t>
      </w:r>
    </w:p>
    <w:p w14:paraId="234749CB" w14:textId="77777777" w:rsidR="00EB5785" w:rsidRPr="00653948" w:rsidRDefault="00EB5785" w:rsidP="00EB5785">
      <w:pPr>
        <w:ind w:left="720"/>
        <w:jc w:val="both"/>
        <w:rPr>
          <w:rFonts w:ascii="Arial" w:hAnsi="Arial" w:cs="Arial"/>
          <w:szCs w:val="22"/>
        </w:rPr>
      </w:pPr>
    </w:p>
    <w:p w14:paraId="00E6C186" w14:textId="70A53BEF"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By far the most common remedy granted on a successful application for judicial review is a quashing order.  This reflects the fact that, when the court allows an application for judicial review, it generally does so on the basis that a decision has been improperly taken, but that it remains a matter for the decision-maker as to what the ultimate decision should be.  It is not for the court to substitute its own view, except in those cases where there is only one possible lawful answer (a situation catered for by SCA</w:t>
      </w:r>
      <w:r w:rsidR="00326F95">
        <w:rPr>
          <w:rFonts w:ascii="Arial" w:hAnsi="Arial" w:cs="Arial"/>
          <w:sz w:val="22"/>
          <w:szCs w:val="22"/>
        </w:rPr>
        <w:t xml:space="preserve"> 19</w:t>
      </w:r>
      <w:r w:rsidRPr="00653948">
        <w:rPr>
          <w:rFonts w:ascii="Arial" w:hAnsi="Arial" w:cs="Arial"/>
          <w:sz w:val="22"/>
          <w:szCs w:val="22"/>
        </w:rPr>
        <w:t>81 ss</w:t>
      </w:r>
      <w:r w:rsidR="00326F95">
        <w:rPr>
          <w:rFonts w:ascii="Arial" w:hAnsi="Arial" w:cs="Arial"/>
          <w:sz w:val="22"/>
          <w:szCs w:val="22"/>
        </w:rPr>
        <w:t>.</w:t>
      </w:r>
      <w:r w:rsidRPr="00653948">
        <w:rPr>
          <w:rFonts w:ascii="Arial" w:hAnsi="Arial" w:cs="Arial"/>
          <w:sz w:val="22"/>
          <w:szCs w:val="22"/>
        </w:rPr>
        <w:t>31(5) and (5A)).  Another type of case for a quashing order would be where the defendant has done something which it simply has no power to do.</w:t>
      </w:r>
    </w:p>
    <w:p w14:paraId="2F9ADDD0" w14:textId="77777777" w:rsidR="00EB5785" w:rsidRPr="00653948" w:rsidRDefault="00EB5785" w:rsidP="00EB5785">
      <w:pPr>
        <w:pStyle w:val="ListParagraph"/>
        <w:jc w:val="both"/>
        <w:rPr>
          <w:rFonts w:ascii="Arial" w:hAnsi="Arial" w:cs="Arial"/>
          <w:sz w:val="22"/>
          <w:szCs w:val="22"/>
        </w:rPr>
      </w:pPr>
    </w:p>
    <w:p w14:paraId="633C4DE0" w14:textId="77777777"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 xml:space="preserve">Declarations are also fairly common in practice.  They may serve, for example, to crystallise a definitive decision on the rights and obligations of the parties in a manner which will be relevant to their future relationship – although often it will suffice to let the court’s judgment speak for itself.  A declaration may also be appropriate where the defendant has acted unlawfully but for one reason or another it is inappropriate as a matter of discretion to grant any more substantive form of relief (see further below).  A party which has succeeded in the ultimate result, but has </w:t>
      </w:r>
      <w:r w:rsidRPr="00653948">
        <w:rPr>
          <w:rFonts w:ascii="Arial" w:hAnsi="Arial" w:cs="Arial"/>
          <w:sz w:val="22"/>
          <w:szCs w:val="22"/>
        </w:rPr>
        <w:lastRenderedPageBreak/>
        <w:t>lost on some discrete issue which it considers of wider importance, may wish to consider inviting the court to make a declaration on that issue so that it has something to appeal against.</w:t>
      </w:r>
    </w:p>
    <w:p w14:paraId="1B848380" w14:textId="77777777" w:rsidR="00EB5785" w:rsidRPr="00653948" w:rsidRDefault="00EB5785" w:rsidP="00EB5785">
      <w:pPr>
        <w:jc w:val="both"/>
        <w:rPr>
          <w:rFonts w:ascii="Arial" w:hAnsi="Arial" w:cs="Arial"/>
          <w:szCs w:val="22"/>
        </w:rPr>
      </w:pPr>
    </w:p>
    <w:p w14:paraId="45B57DB2" w14:textId="7E3D8692"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Sometimes a claim for a declaration may be pursued in an appropriate case designed to resolve an important point of principle even though the dispute has become academic on the facts of the particular case.   For a discussion of the circumstances in which it is appropriate to consider an “</w:t>
      </w:r>
      <w:r w:rsidRPr="00A80ECF">
        <w:rPr>
          <w:rFonts w:ascii="Arial" w:hAnsi="Arial" w:cs="Arial"/>
          <w:i/>
          <w:sz w:val="22"/>
          <w:szCs w:val="22"/>
        </w:rPr>
        <w:t>academic</w:t>
      </w:r>
      <w:r w:rsidRPr="00653948">
        <w:rPr>
          <w:rFonts w:ascii="Arial" w:hAnsi="Arial" w:cs="Arial"/>
          <w:sz w:val="22"/>
          <w:szCs w:val="22"/>
        </w:rPr>
        <w:t xml:space="preserve">” appeal in a public law case, see </w:t>
      </w:r>
      <w:r w:rsidRPr="00A80ECF">
        <w:rPr>
          <w:rFonts w:ascii="Arial" w:hAnsi="Arial" w:cs="Arial"/>
          <w:b/>
          <w:i/>
          <w:sz w:val="22"/>
          <w:szCs w:val="22"/>
        </w:rPr>
        <w:t xml:space="preserve">R v </w:t>
      </w:r>
      <w:r w:rsidR="00326F95" w:rsidRPr="00A80ECF">
        <w:rPr>
          <w:rFonts w:ascii="Arial" w:hAnsi="Arial" w:cs="Arial"/>
          <w:b/>
          <w:i/>
          <w:sz w:val="22"/>
          <w:szCs w:val="22"/>
        </w:rPr>
        <w:t xml:space="preserve">Secretary of State for the </w:t>
      </w:r>
      <w:r w:rsidRPr="00A80ECF">
        <w:rPr>
          <w:rFonts w:ascii="Arial" w:hAnsi="Arial" w:cs="Arial"/>
          <w:b/>
          <w:i/>
          <w:sz w:val="22"/>
          <w:szCs w:val="22"/>
        </w:rPr>
        <w:t xml:space="preserve">Home </w:t>
      </w:r>
      <w:r w:rsidR="00326F95" w:rsidRPr="00A80ECF">
        <w:rPr>
          <w:rFonts w:ascii="Arial" w:hAnsi="Arial" w:cs="Arial"/>
          <w:b/>
          <w:i/>
          <w:sz w:val="22"/>
          <w:szCs w:val="22"/>
        </w:rPr>
        <w:t>Department</w:t>
      </w:r>
      <w:r w:rsidR="00C10D1E" w:rsidRPr="00A80ECF">
        <w:rPr>
          <w:rFonts w:ascii="Arial" w:hAnsi="Arial" w:cs="Arial"/>
          <w:b/>
          <w:i/>
          <w:sz w:val="22"/>
          <w:szCs w:val="22"/>
        </w:rPr>
        <w:t>,</w:t>
      </w:r>
      <w:r w:rsidR="00326F95" w:rsidRPr="00A80ECF">
        <w:rPr>
          <w:rFonts w:ascii="Arial" w:hAnsi="Arial" w:cs="Arial"/>
          <w:b/>
          <w:i/>
          <w:sz w:val="22"/>
          <w:szCs w:val="22"/>
        </w:rPr>
        <w:t xml:space="preserve"> </w:t>
      </w:r>
      <w:r w:rsidRPr="00A80ECF">
        <w:rPr>
          <w:rFonts w:ascii="Arial" w:hAnsi="Arial" w:cs="Arial"/>
          <w:b/>
          <w:i/>
          <w:sz w:val="22"/>
          <w:szCs w:val="22"/>
        </w:rPr>
        <w:t>ex p. Salem</w:t>
      </w:r>
      <w:r w:rsidRPr="00653948">
        <w:rPr>
          <w:rFonts w:ascii="Arial" w:hAnsi="Arial" w:cs="Arial"/>
          <w:sz w:val="22"/>
          <w:szCs w:val="22"/>
        </w:rPr>
        <w:t xml:space="preserve"> [1999] </w:t>
      </w:r>
      <w:r w:rsidR="00326F95">
        <w:rPr>
          <w:rFonts w:ascii="Arial" w:hAnsi="Arial" w:cs="Arial"/>
          <w:sz w:val="22"/>
          <w:szCs w:val="22"/>
        </w:rPr>
        <w:t xml:space="preserve">1 </w:t>
      </w:r>
      <w:r w:rsidRPr="00653948">
        <w:rPr>
          <w:rFonts w:ascii="Arial" w:hAnsi="Arial" w:cs="Arial"/>
          <w:sz w:val="22"/>
          <w:szCs w:val="22"/>
        </w:rPr>
        <w:t>AC 450</w:t>
      </w:r>
      <w:r w:rsidR="00A80ECF">
        <w:rPr>
          <w:rFonts w:ascii="Arial" w:hAnsi="Arial" w:cs="Arial"/>
          <w:sz w:val="22"/>
          <w:szCs w:val="22"/>
        </w:rPr>
        <w:t>, HL</w:t>
      </w:r>
      <w:r w:rsidRPr="00653948">
        <w:rPr>
          <w:rFonts w:ascii="Arial" w:hAnsi="Arial" w:cs="Arial"/>
          <w:sz w:val="22"/>
          <w:szCs w:val="22"/>
        </w:rPr>
        <w:t xml:space="preserve"> – some of the same considerations will apply in considering whether it is appropriate to give permission for such a case to proceed at first instance.  See the discussion in </w:t>
      </w:r>
      <w:r w:rsidRPr="00A80ECF">
        <w:rPr>
          <w:rFonts w:ascii="Arial" w:hAnsi="Arial" w:cs="Arial"/>
          <w:b/>
          <w:i/>
          <w:sz w:val="22"/>
          <w:szCs w:val="22"/>
        </w:rPr>
        <w:t xml:space="preserve">R (Raw) v Lambeth LBC </w:t>
      </w:r>
      <w:r w:rsidRPr="00653948">
        <w:rPr>
          <w:rFonts w:ascii="Arial" w:hAnsi="Arial" w:cs="Arial"/>
          <w:sz w:val="22"/>
          <w:szCs w:val="22"/>
        </w:rPr>
        <w:t xml:space="preserve">[2010] EWHC 507 (Admin), and see also </w:t>
      </w:r>
      <w:r w:rsidRPr="00A80ECF">
        <w:rPr>
          <w:rFonts w:ascii="Arial" w:hAnsi="Arial" w:cs="Arial"/>
          <w:b/>
          <w:i/>
          <w:sz w:val="22"/>
          <w:szCs w:val="22"/>
        </w:rPr>
        <w:t>R (Burke) v General Medical Council</w:t>
      </w:r>
      <w:r w:rsidRPr="00653948">
        <w:rPr>
          <w:rFonts w:ascii="Arial" w:hAnsi="Arial" w:cs="Arial"/>
          <w:i/>
          <w:sz w:val="22"/>
          <w:szCs w:val="22"/>
        </w:rPr>
        <w:t xml:space="preserve"> </w:t>
      </w:r>
      <w:r w:rsidR="00A80ECF">
        <w:rPr>
          <w:rFonts w:ascii="Arial" w:hAnsi="Arial" w:cs="Arial"/>
          <w:sz w:val="22"/>
          <w:szCs w:val="22"/>
        </w:rPr>
        <w:t xml:space="preserve">[2005] EWCA Civ 1003, </w:t>
      </w:r>
      <w:r w:rsidRPr="00653948">
        <w:rPr>
          <w:rFonts w:ascii="Arial" w:hAnsi="Arial" w:cs="Arial"/>
          <w:sz w:val="22"/>
          <w:szCs w:val="22"/>
        </w:rPr>
        <w:t xml:space="preserve">[2006] QB 273 for a warning against the temptation to make declarations about issues divorced from the facts of a particular case properly before the court. The Court of Appeal has had a tendency in recent years to consider academic appeals, especially in the immigration sphere, where the appeal raises a point of statutory construction of wider significance. </w:t>
      </w:r>
    </w:p>
    <w:p w14:paraId="5EA3F858" w14:textId="77777777" w:rsidR="00EB5785" w:rsidRPr="00653948" w:rsidRDefault="00EB5785" w:rsidP="00EB5785">
      <w:pPr>
        <w:jc w:val="both"/>
        <w:rPr>
          <w:rFonts w:ascii="Arial" w:hAnsi="Arial" w:cs="Arial"/>
          <w:szCs w:val="22"/>
        </w:rPr>
      </w:pPr>
    </w:p>
    <w:p w14:paraId="537B2A46" w14:textId="77777777"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Injunctions are less common at the end of the substantive hearing (although frequently encountered at the interim stage), as are mandatory orders requiring the defendant to perform a particular duty.  Usually it can be taken as read that, once the court has given judgment, a public body will act in accordance with that judgment without being specifically ordered to do so.  However, there may be cases of (for example) extreme procrastination by a defendant in which it is necessary to enlist the coercive power of the court to ensure it does its duty within a specified time.  If an injunction or a mandatory order is to be made, it is important (from the perspective of both parties) to ensure that its terms are clear and precise.</w:t>
      </w:r>
    </w:p>
    <w:p w14:paraId="3711A542" w14:textId="77777777" w:rsidR="00EB5785" w:rsidRPr="00653948" w:rsidRDefault="00EB5785" w:rsidP="00EB5785">
      <w:pPr>
        <w:jc w:val="both"/>
        <w:rPr>
          <w:rFonts w:ascii="Arial" w:hAnsi="Arial" w:cs="Arial"/>
          <w:szCs w:val="22"/>
        </w:rPr>
      </w:pPr>
    </w:p>
    <w:p w14:paraId="30E427DB" w14:textId="77777777" w:rsidR="00326F95"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 xml:space="preserve">Prohibiting orders are very rarely encountered in practice. </w:t>
      </w:r>
    </w:p>
    <w:p w14:paraId="4821EC11" w14:textId="77777777" w:rsidR="00326F95" w:rsidRPr="00326F95" w:rsidRDefault="00326F95" w:rsidP="00326F95">
      <w:pPr>
        <w:pStyle w:val="ListParagraph"/>
        <w:rPr>
          <w:rFonts w:ascii="Arial" w:hAnsi="Arial" w:cs="Arial"/>
          <w:sz w:val="22"/>
          <w:szCs w:val="22"/>
        </w:rPr>
      </w:pPr>
    </w:p>
    <w:p w14:paraId="3AFDA90C" w14:textId="6927A4A4"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The grant of relief, or any particular form of relief, in judicial review proceedings is always at the discretion of the court.</w:t>
      </w:r>
    </w:p>
    <w:p w14:paraId="304B038F" w14:textId="77777777" w:rsidR="00EB5785" w:rsidRPr="00653948" w:rsidRDefault="00EB5785" w:rsidP="00EB5785">
      <w:pPr>
        <w:jc w:val="both"/>
        <w:rPr>
          <w:rFonts w:ascii="Arial" w:hAnsi="Arial" w:cs="Arial"/>
          <w:szCs w:val="22"/>
        </w:rPr>
      </w:pPr>
    </w:p>
    <w:p w14:paraId="48D44264" w14:textId="020EF8D7" w:rsidR="00EB5785" w:rsidRPr="00653948" w:rsidRDefault="00EB5785" w:rsidP="00EB5785">
      <w:pPr>
        <w:pStyle w:val="ListParagraph"/>
        <w:numPr>
          <w:ilvl w:val="0"/>
          <w:numId w:val="34"/>
        </w:numPr>
        <w:jc w:val="both"/>
        <w:rPr>
          <w:rFonts w:ascii="Arial" w:hAnsi="Arial" w:cs="Arial"/>
          <w:sz w:val="22"/>
          <w:szCs w:val="22"/>
        </w:rPr>
      </w:pPr>
      <w:r w:rsidRPr="00653948">
        <w:rPr>
          <w:rFonts w:ascii="Arial" w:hAnsi="Arial" w:cs="Arial"/>
          <w:sz w:val="22"/>
          <w:szCs w:val="22"/>
        </w:rPr>
        <w:t xml:space="preserve">If the claimant has established some illegality, then the starting-point </w:t>
      </w:r>
      <w:r w:rsidR="00A80ECF">
        <w:rPr>
          <w:rFonts w:ascii="Arial" w:hAnsi="Arial" w:cs="Arial"/>
          <w:sz w:val="22"/>
          <w:szCs w:val="22"/>
        </w:rPr>
        <w:t>is</w:t>
      </w:r>
      <w:r w:rsidRPr="00653948">
        <w:rPr>
          <w:rFonts w:ascii="Arial" w:hAnsi="Arial" w:cs="Arial"/>
          <w:sz w:val="22"/>
          <w:szCs w:val="22"/>
        </w:rPr>
        <w:t xml:space="preserve"> that some form of relief should normally follow. However, there are numbers of grounds upon which reli</w:t>
      </w:r>
      <w:r>
        <w:rPr>
          <w:rFonts w:ascii="Arial" w:hAnsi="Arial" w:cs="Arial"/>
          <w:sz w:val="22"/>
          <w:szCs w:val="22"/>
        </w:rPr>
        <w:t xml:space="preserve">ef is commonly refused. The </w:t>
      </w:r>
      <w:r w:rsidRPr="00653948">
        <w:rPr>
          <w:rFonts w:ascii="Arial" w:hAnsi="Arial" w:cs="Arial"/>
          <w:sz w:val="22"/>
          <w:szCs w:val="22"/>
        </w:rPr>
        <w:t>most common are:</w:t>
      </w:r>
    </w:p>
    <w:p w14:paraId="1203CE13" w14:textId="77777777" w:rsidR="00EB5785" w:rsidRPr="00653948" w:rsidRDefault="00EB5785" w:rsidP="00EB5785">
      <w:pPr>
        <w:pStyle w:val="BodyText"/>
        <w:spacing w:line="240" w:lineRule="auto"/>
        <w:rPr>
          <w:rFonts w:ascii="Arial" w:hAnsi="Arial" w:cs="Arial"/>
          <w:sz w:val="22"/>
          <w:szCs w:val="22"/>
        </w:rPr>
      </w:pPr>
    </w:p>
    <w:p w14:paraId="370556EA" w14:textId="24F45D7C" w:rsidR="00EB5785" w:rsidRPr="00653948" w:rsidRDefault="00EB5785" w:rsidP="00C10D1E">
      <w:pPr>
        <w:pStyle w:val="BodyTextIndent3"/>
        <w:numPr>
          <w:ilvl w:val="0"/>
          <w:numId w:val="33"/>
        </w:numPr>
        <w:tabs>
          <w:tab w:val="clear" w:pos="360"/>
          <w:tab w:val="num" w:pos="720"/>
        </w:tabs>
        <w:ind w:left="720"/>
        <w:rPr>
          <w:rFonts w:ascii="Arial" w:hAnsi="Arial" w:cs="Arial"/>
          <w:sz w:val="22"/>
          <w:szCs w:val="22"/>
        </w:rPr>
      </w:pPr>
      <w:r w:rsidRPr="00653948">
        <w:rPr>
          <w:rFonts w:ascii="Arial" w:hAnsi="Arial" w:cs="Arial"/>
          <w:sz w:val="22"/>
          <w:szCs w:val="22"/>
        </w:rPr>
        <w:t xml:space="preserve">Delay, coupled with prejudice (see above). The leading case on the refusal of relief, on grounds of delay, at the substantive hearing is </w:t>
      </w:r>
      <w:r w:rsidRPr="00A80ECF">
        <w:rPr>
          <w:rFonts w:ascii="Arial" w:hAnsi="Arial" w:cs="Arial"/>
          <w:b/>
          <w:i/>
          <w:sz w:val="22"/>
          <w:szCs w:val="22"/>
        </w:rPr>
        <w:t>R v Dairy Produce Quota Tribunal for England and Wales</w:t>
      </w:r>
      <w:r w:rsidR="00C10D1E" w:rsidRPr="00A80ECF">
        <w:rPr>
          <w:rFonts w:ascii="Arial" w:hAnsi="Arial" w:cs="Arial"/>
          <w:b/>
          <w:i/>
          <w:sz w:val="22"/>
          <w:szCs w:val="22"/>
        </w:rPr>
        <w:t>,</w:t>
      </w:r>
      <w:r w:rsidRPr="00A80ECF">
        <w:rPr>
          <w:rFonts w:ascii="Arial" w:hAnsi="Arial" w:cs="Arial"/>
          <w:b/>
          <w:i/>
          <w:sz w:val="22"/>
          <w:szCs w:val="22"/>
        </w:rPr>
        <w:t xml:space="preserve"> ex p. Caswell</w:t>
      </w:r>
      <w:r w:rsidRPr="00A80ECF">
        <w:rPr>
          <w:rFonts w:ascii="Arial" w:hAnsi="Arial" w:cs="Arial"/>
          <w:b/>
          <w:sz w:val="22"/>
          <w:szCs w:val="22"/>
        </w:rPr>
        <w:t xml:space="preserve"> </w:t>
      </w:r>
      <w:r w:rsidRPr="00653948">
        <w:rPr>
          <w:rFonts w:ascii="Arial" w:hAnsi="Arial" w:cs="Arial"/>
          <w:sz w:val="22"/>
          <w:szCs w:val="22"/>
        </w:rPr>
        <w:t>[1990] 2 AC 738</w:t>
      </w:r>
      <w:r w:rsidR="00A80ECF">
        <w:rPr>
          <w:rFonts w:ascii="Arial" w:hAnsi="Arial" w:cs="Arial"/>
          <w:sz w:val="22"/>
          <w:szCs w:val="22"/>
        </w:rPr>
        <w:t>, HL</w:t>
      </w:r>
      <w:r w:rsidRPr="00653948">
        <w:rPr>
          <w:rFonts w:ascii="Arial" w:hAnsi="Arial" w:cs="Arial"/>
          <w:sz w:val="22"/>
          <w:szCs w:val="22"/>
        </w:rPr>
        <w:t xml:space="preserve">. It is clearly established by </w:t>
      </w:r>
      <w:r w:rsidRPr="00A80ECF">
        <w:rPr>
          <w:rFonts w:ascii="Arial" w:hAnsi="Arial" w:cs="Arial"/>
          <w:b/>
          <w:i/>
          <w:sz w:val="22"/>
          <w:szCs w:val="22"/>
        </w:rPr>
        <w:t>Caswell</w:t>
      </w:r>
      <w:r w:rsidRPr="00653948">
        <w:rPr>
          <w:rFonts w:ascii="Arial" w:hAnsi="Arial" w:cs="Arial"/>
          <w:sz w:val="22"/>
          <w:szCs w:val="22"/>
        </w:rPr>
        <w:t xml:space="preserve"> that this may occur even though time has been extended for the purposes of granting permission to apply for judicial review. </w:t>
      </w:r>
      <w:r w:rsidR="00280420">
        <w:rPr>
          <w:rFonts w:ascii="Arial" w:hAnsi="Arial" w:cs="Arial"/>
          <w:sz w:val="22"/>
          <w:szCs w:val="22"/>
        </w:rPr>
        <w:t xml:space="preserve">For a recent example, where relief should have been refused on grounds of delay and prejudice to third party commercial interests, see </w:t>
      </w:r>
      <w:r w:rsidR="00280420" w:rsidRPr="00A80ECF">
        <w:rPr>
          <w:rFonts w:ascii="Arial" w:hAnsi="Arial" w:cs="Arial"/>
          <w:b/>
          <w:i/>
          <w:sz w:val="22"/>
          <w:szCs w:val="22"/>
        </w:rPr>
        <w:t>R (Gerber) v Wiltshire County Council</w:t>
      </w:r>
      <w:r w:rsidR="00280420" w:rsidRPr="00280420">
        <w:rPr>
          <w:rFonts w:ascii="Arial" w:hAnsi="Arial" w:cs="Arial"/>
          <w:i/>
          <w:sz w:val="22"/>
          <w:szCs w:val="22"/>
        </w:rPr>
        <w:t xml:space="preserve"> </w:t>
      </w:r>
      <w:r w:rsidR="00280420">
        <w:rPr>
          <w:rFonts w:ascii="Arial" w:hAnsi="Arial" w:cs="Arial"/>
          <w:sz w:val="22"/>
          <w:szCs w:val="22"/>
        </w:rPr>
        <w:t>[2016] EWCA Civ 84</w:t>
      </w:r>
      <w:r w:rsidR="00A80ECF">
        <w:rPr>
          <w:rFonts w:ascii="Arial" w:hAnsi="Arial" w:cs="Arial"/>
          <w:sz w:val="22"/>
          <w:szCs w:val="22"/>
        </w:rPr>
        <w:t>, [2016] 1 WLR 2593</w:t>
      </w:r>
      <w:r w:rsidR="00280420">
        <w:rPr>
          <w:rFonts w:ascii="Arial" w:hAnsi="Arial" w:cs="Arial"/>
          <w:sz w:val="22"/>
          <w:szCs w:val="22"/>
        </w:rPr>
        <w:t xml:space="preserve">. </w:t>
      </w:r>
      <w:r w:rsidRPr="00653948">
        <w:rPr>
          <w:rFonts w:ascii="Arial" w:hAnsi="Arial" w:cs="Arial"/>
          <w:sz w:val="22"/>
          <w:szCs w:val="22"/>
        </w:rPr>
        <w:t xml:space="preserve">What is less clear is how far it is open to the court to refuse relief on the grounds of prejudice or detriment to good administration in a case </w:t>
      </w:r>
      <w:r w:rsidRPr="00653948">
        <w:rPr>
          <w:rFonts w:ascii="Arial" w:hAnsi="Arial" w:cs="Arial"/>
          <w:i/>
          <w:sz w:val="22"/>
          <w:szCs w:val="22"/>
        </w:rPr>
        <w:t xml:space="preserve">not </w:t>
      </w:r>
      <w:r w:rsidRPr="00653948">
        <w:rPr>
          <w:rFonts w:ascii="Arial" w:hAnsi="Arial" w:cs="Arial"/>
          <w:sz w:val="22"/>
          <w:szCs w:val="22"/>
        </w:rPr>
        <w:t xml:space="preserve">involving undue delay. There is a conflict here between the approach taken by the Court of Appeal in two cases, on the one hand </w:t>
      </w:r>
      <w:r w:rsidRPr="00A80ECF">
        <w:rPr>
          <w:rFonts w:ascii="Arial" w:hAnsi="Arial" w:cs="Arial"/>
          <w:b/>
          <w:i/>
          <w:sz w:val="22"/>
          <w:szCs w:val="22"/>
        </w:rPr>
        <w:t>R v Brent LBC</w:t>
      </w:r>
      <w:r w:rsidR="00C10D1E" w:rsidRPr="00A80ECF">
        <w:rPr>
          <w:rFonts w:ascii="Arial" w:hAnsi="Arial" w:cs="Arial"/>
          <w:b/>
          <w:i/>
          <w:sz w:val="22"/>
          <w:szCs w:val="22"/>
        </w:rPr>
        <w:t>,</w:t>
      </w:r>
      <w:r w:rsidRPr="00A80ECF">
        <w:rPr>
          <w:rFonts w:ascii="Arial" w:hAnsi="Arial" w:cs="Arial"/>
          <w:b/>
          <w:i/>
          <w:sz w:val="22"/>
          <w:szCs w:val="22"/>
        </w:rPr>
        <w:t xml:space="preserve"> ex p. O’Malley</w:t>
      </w:r>
      <w:r w:rsidRPr="00653948">
        <w:rPr>
          <w:rFonts w:ascii="Arial" w:hAnsi="Arial" w:cs="Arial"/>
          <w:sz w:val="22"/>
          <w:szCs w:val="22"/>
        </w:rPr>
        <w:t xml:space="preserve"> (1997) 10 Ad</w:t>
      </w:r>
      <w:r w:rsidR="00326F95">
        <w:rPr>
          <w:rFonts w:ascii="Arial" w:hAnsi="Arial" w:cs="Arial"/>
          <w:sz w:val="22"/>
          <w:szCs w:val="22"/>
        </w:rPr>
        <w:t xml:space="preserve">min </w:t>
      </w:r>
      <w:r w:rsidRPr="00653948">
        <w:rPr>
          <w:rFonts w:ascii="Arial" w:hAnsi="Arial" w:cs="Arial"/>
          <w:sz w:val="22"/>
          <w:szCs w:val="22"/>
        </w:rPr>
        <w:t>LR 265</w:t>
      </w:r>
      <w:r w:rsidR="00A80ECF">
        <w:rPr>
          <w:rFonts w:ascii="Arial" w:hAnsi="Arial" w:cs="Arial"/>
          <w:sz w:val="22"/>
          <w:szCs w:val="22"/>
        </w:rPr>
        <w:t>, CA</w:t>
      </w:r>
      <w:r w:rsidRPr="00653948">
        <w:rPr>
          <w:rFonts w:ascii="Arial" w:hAnsi="Arial" w:cs="Arial"/>
          <w:sz w:val="22"/>
          <w:szCs w:val="22"/>
        </w:rPr>
        <w:t xml:space="preserve">, and on the other hand </w:t>
      </w:r>
      <w:r w:rsidRPr="00A80ECF">
        <w:rPr>
          <w:rFonts w:ascii="Arial" w:hAnsi="Arial" w:cs="Arial"/>
          <w:b/>
          <w:i/>
          <w:sz w:val="22"/>
          <w:szCs w:val="22"/>
        </w:rPr>
        <w:t>Lichfield</w:t>
      </w:r>
      <w:r w:rsidRPr="00653948">
        <w:rPr>
          <w:rFonts w:ascii="Arial" w:hAnsi="Arial" w:cs="Arial"/>
          <w:sz w:val="22"/>
          <w:szCs w:val="22"/>
        </w:rPr>
        <w:t>, above.</w:t>
      </w:r>
    </w:p>
    <w:p w14:paraId="62E428B2" w14:textId="77777777" w:rsidR="00EB5785" w:rsidRPr="00653948" w:rsidRDefault="00EB5785" w:rsidP="00C10D1E">
      <w:pPr>
        <w:pStyle w:val="BodyText"/>
        <w:spacing w:line="240" w:lineRule="auto"/>
        <w:ind w:left="360"/>
        <w:rPr>
          <w:rFonts w:ascii="Arial" w:hAnsi="Arial" w:cs="Arial"/>
          <w:sz w:val="22"/>
          <w:szCs w:val="22"/>
        </w:rPr>
      </w:pPr>
    </w:p>
    <w:p w14:paraId="65FA1EC3" w14:textId="77777777" w:rsidR="00EB5785" w:rsidRPr="00653948" w:rsidRDefault="00EB5785" w:rsidP="00C10D1E">
      <w:pPr>
        <w:pStyle w:val="BodyText"/>
        <w:numPr>
          <w:ilvl w:val="0"/>
          <w:numId w:val="31"/>
        </w:numPr>
        <w:tabs>
          <w:tab w:val="clear" w:pos="360"/>
          <w:tab w:val="num" w:pos="720"/>
        </w:tabs>
        <w:spacing w:line="240" w:lineRule="auto"/>
        <w:ind w:left="720"/>
        <w:rPr>
          <w:rFonts w:ascii="Arial" w:hAnsi="Arial" w:cs="Arial"/>
          <w:sz w:val="22"/>
          <w:szCs w:val="22"/>
        </w:rPr>
      </w:pPr>
      <w:r w:rsidRPr="00653948">
        <w:rPr>
          <w:rFonts w:ascii="Arial" w:hAnsi="Arial" w:cs="Arial"/>
          <w:sz w:val="22"/>
          <w:szCs w:val="22"/>
        </w:rPr>
        <w:t>Alternative remedy (see above); and</w:t>
      </w:r>
    </w:p>
    <w:p w14:paraId="477B0079" w14:textId="77777777" w:rsidR="00EB5785" w:rsidRPr="00653948" w:rsidRDefault="00EB5785" w:rsidP="00C10D1E">
      <w:pPr>
        <w:pStyle w:val="BodyText"/>
        <w:spacing w:line="240" w:lineRule="auto"/>
        <w:ind w:left="360"/>
        <w:rPr>
          <w:rFonts w:ascii="Arial" w:hAnsi="Arial" w:cs="Arial"/>
          <w:sz w:val="22"/>
          <w:szCs w:val="22"/>
        </w:rPr>
      </w:pPr>
    </w:p>
    <w:p w14:paraId="54CDEF6F" w14:textId="791464AF" w:rsidR="00EB5785" w:rsidRPr="00653948" w:rsidRDefault="00EB5785" w:rsidP="00C10D1E">
      <w:pPr>
        <w:pStyle w:val="BodyText"/>
        <w:numPr>
          <w:ilvl w:val="0"/>
          <w:numId w:val="30"/>
        </w:numPr>
        <w:tabs>
          <w:tab w:val="clear" w:pos="360"/>
          <w:tab w:val="num" w:pos="720"/>
        </w:tabs>
        <w:spacing w:line="240" w:lineRule="auto"/>
        <w:ind w:left="720"/>
        <w:rPr>
          <w:rFonts w:ascii="Arial" w:hAnsi="Arial" w:cs="Arial"/>
          <w:sz w:val="22"/>
          <w:szCs w:val="22"/>
        </w:rPr>
      </w:pPr>
      <w:r w:rsidRPr="00653948">
        <w:rPr>
          <w:rFonts w:ascii="Arial" w:hAnsi="Arial" w:cs="Arial"/>
          <w:sz w:val="22"/>
          <w:szCs w:val="22"/>
        </w:rPr>
        <w:t xml:space="preserve">In cases where the illegality is of a procedural nature, or consists of a failure to take account of all relevant considerations or the taking into account of irrelevant considerations, that in the view of the court the illegality has made no difference to the end result. But the Court </w:t>
      </w:r>
      <w:r w:rsidRPr="00653948">
        <w:rPr>
          <w:rFonts w:ascii="Arial" w:hAnsi="Arial" w:cs="Arial"/>
          <w:sz w:val="22"/>
          <w:szCs w:val="22"/>
        </w:rPr>
        <w:lastRenderedPageBreak/>
        <w:t xml:space="preserve">of Appeal emphasised in </w:t>
      </w:r>
      <w:r w:rsidRPr="00A80ECF">
        <w:rPr>
          <w:rFonts w:ascii="Arial" w:hAnsi="Arial" w:cs="Arial"/>
          <w:b/>
          <w:i/>
          <w:sz w:val="22"/>
          <w:szCs w:val="22"/>
        </w:rPr>
        <w:t>R (Smith) v North East</w:t>
      </w:r>
      <w:r w:rsidR="00EE4CE1" w:rsidRPr="00A80ECF">
        <w:rPr>
          <w:rFonts w:ascii="Arial" w:hAnsi="Arial" w:cs="Arial"/>
          <w:b/>
          <w:i/>
          <w:sz w:val="22"/>
          <w:szCs w:val="22"/>
        </w:rPr>
        <w:t>ern</w:t>
      </w:r>
      <w:r w:rsidRPr="00A80ECF">
        <w:rPr>
          <w:rFonts w:ascii="Arial" w:hAnsi="Arial" w:cs="Arial"/>
          <w:b/>
          <w:i/>
          <w:sz w:val="22"/>
          <w:szCs w:val="22"/>
        </w:rPr>
        <w:t xml:space="preserve"> Derbyshire </w:t>
      </w:r>
      <w:r w:rsidR="00326F95" w:rsidRPr="00A80ECF">
        <w:rPr>
          <w:rFonts w:ascii="Arial" w:hAnsi="Arial" w:cs="Arial"/>
          <w:b/>
          <w:i/>
          <w:sz w:val="22"/>
          <w:szCs w:val="22"/>
        </w:rPr>
        <w:t>Primary Car</w:t>
      </w:r>
      <w:r w:rsidR="00C10D1E" w:rsidRPr="00A80ECF">
        <w:rPr>
          <w:rFonts w:ascii="Arial" w:hAnsi="Arial" w:cs="Arial"/>
          <w:b/>
          <w:i/>
          <w:sz w:val="22"/>
          <w:szCs w:val="22"/>
        </w:rPr>
        <w:t>e Trust</w:t>
      </w:r>
      <w:r w:rsidRPr="00653948">
        <w:rPr>
          <w:rFonts w:ascii="Arial" w:hAnsi="Arial" w:cs="Arial"/>
          <w:i/>
          <w:sz w:val="22"/>
          <w:szCs w:val="22"/>
        </w:rPr>
        <w:t xml:space="preserve"> </w:t>
      </w:r>
      <w:r w:rsidRPr="00653948">
        <w:rPr>
          <w:rFonts w:ascii="Arial" w:hAnsi="Arial" w:cs="Arial"/>
          <w:sz w:val="22"/>
          <w:szCs w:val="22"/>
        </w:rPr>
        <w:t>[2006]</w:t>
      </w:r>
      <w:r w:rsidR="00A80ECF">
        <w:rPr>
          <w:rFonts w:ascii="Arial" w:hAnsi="Arial" w:cs="Arial"/>
          <w:sz w:val="22"/>
          <w:szCs w:val="22"/>
        </w:rPr>
        <w:t xml:space="preserve"> EWCA Civ 1291, [2006]</w:t>
      </w:r>
      <w:r w:rsidRPr="00653948">
        <w:rPr>
          <w:rFonts w:ascii="Arial" w:hAnsi="Arial" w:cs="Arial"/>
          <w:sz w:val="22"/>
          <w:szCs w:val="22"/>
        </w:rPr>
        <w:t xml:space="preserve"> 1 WLR 3315</w:t>
      </w:r>
      <w:r w:rsidR="00A80ECF">
        <w:rPr>
          <w:rFonts w:ascii="Arial" w:hAnsi="Arial" w:cs="Arial"/>
          <w:sz w:val="22"/>
          <w:szCs w:val="22"/>
        </w:rPr>
        <w:t>,</w:t>
      </w:r>
      <w:r w:rsidRPr="00653948">
        <w:rPr>
          <w:rFonts w:ascii="Arial" w:hAnsi="Arial" w:cs="Arial"/>
          <w:sz w:val="22"/>
          <w:szCs w:val="22"/>
        </w:rPr>
        <w:t xml:space="preserve"> that probability is not enough in this connection – for relief to be refused, the defendant must show that the decision would inevitably have been the same. In </w:t>
      </w:r>
      <w:r w:rsidR="00326F95" w:rsidRPr="00A80ECF">
        <w:rPr>
          <w:rFonts w:ascii="Arial" w:hAnsi="Arial" w:cs="Arial"/>
          <w:b/>
          <w:i/>
          <w:sz w:val="22"/>
          <w:szCs w:val="22"/>
        </w:rPr>
        <w:t>R</w:t>
      </w:r>
      <w:r w:rsidR="00A80ECF" w:rsidRPr="00A80ECF">
        <w:rPr>
          <w:rFonts w:ascii="Arial" w:hAnsi="Arial" w:cs="Arial"/>
          <w:b/>
          <w:i/>
          <w:sz w:val="22"/>
          <w:szCs w:val="22"/>
        </w:rPr>
        <w:t xml:space="preserve"> </w:t>
      </w:r>
      <w:r w:rsidR="00326F95" w:rsidRPr="00A80ECF">
        <w:rPr>
          <w:rFonts w:ascii="Arial" w:hAnsi="Arial" w:cs="Arial"/>
          <w:b/>
          <w:i/>
          <w:sz w:val="22"/>
          <w:szCs w:val="22"/>
        </w:rPr>
        <w:t>(RB) v Devon CC and Devon Primary Care Trust</w:t>
      </w:r>
      <w:r w:rsidR="00326F95">
        <w:rPr>
          <w:rFonts w:ascii="Arial" w:hAnsi="Arial" w:cs="Arial"/>
          <w:i/>
          <w:sz w:val="22"/>
          <w:szCs w:val="22"/>
        </w:rPr>
        <w:t xml:space="preserve"> </w:t>
      </w:r>
      <w:r w:rsidR="00A80ECF">
        <w:rPr>
          <w:rFonts w:ascii="Arial" w:hAnsi="Arial" w:cs="Arial"/>
          <w:sz w:val="22"/>
          <w:szCs w:val="22"/>
        </w:rPr>
        <w:t>[2012</w:t>
      </w:r>
      <w:r w:rsidR="00326F95" w:rsidRPr="00326F95">
        <w:rPr>
          <w:rFonts w:ascii="Arial" w:hAnsi="Arial" w:cs="Arial"/>
          <w:sz w:val="22"/>
          <w:szCs w:val="22"/>
        </w:rPr>
        <w:t>] EWHC 3597 (Admin)</w:t>
      </w:r>
      <w:r w:rsidR="00A80ECF">
        <w:rPr>
          <w:rFonts w:ascii="Arial" w:hAnsi="Arial" w:cs="Arial"/>
          <w:sz w:val="22"/>
          <w:szCs w:val="22"/>
        </w:rPr>
        <w:t>, [2013] Eq LR 113,</w:t>
      </w:r>
      <w:r w:rsidRPr="00653948">
        <w:rPr>
          <w:rFonts w:ascii="Arial" w:hAnsi="Arial" w:cs="Arial"/>
          <w:sz w:val="22"/>
          <w:szCs w:val="22"/>
        </w:rPr>
        <w:t xml:space="preserve"> concerning the public sector equality duty, the judge (HHJ Vosper QC) refused to quash an earlier decision when the public authority had clearly paid due regard to equality matters at a later stage in the process</w:t>
      </w:r>
      <w:r>
        <w:rPr>
          <w:rFonts w:ascii="Arial" w:hAnsi="Arial" w:cs="Arial"/>
          <w:sz w:val="22"/>
          <w:szCs w:val="22"/>
        </w:rPr>
        <w:t xml:space="preserve">. </w:t>
      </w:r>
      <w:r w:rsidR="00EE4CE1">
        <w:rPr>
          <w:rFonts w:ascii="Arial" w:hAnsi="Arial" w:cs="Arial"/>
          <w:sz w:val="22"/>
          <w:szCs w:val="22"/>
        </w:rPr>
        <w:t xml:space="preserve">Sub-sections 31(2A)-(2C) of the SCA 1981 (inserted by the </w:t>
      </w:r>
      <w:r>
        <w:rPr>
          <w:rFonts w:ascii="Arial" w:hAnsi="Arial" w:cs="Arial"/>
          <w:sz w:val="22"/>
          <w:szCs w:val="22"/>
        </w:rPr>
        <w:t>Criminal Justice</w:t>
      </w:r>
      <w:r w:rsidR="00EE4CE1">
        <w:rPr>
          <w:rFonts w:ascii="Arial" w:hAnsi="Arial" w:cs="Arial"/>
          <w:sz w:val="22"/>
          <w:szCs w:val="22"/>
        </w:rPr>
        <w:t xml:space="preserve"> and Courts Act 2015) radical</w:t>
      </w:r>
      <w:r>
        <w:rPr>
          <w:rFonts w:ascii="Arial" w:hAnsi="Arial" w:cs="Arial"/>
          <w:sz w:val="22"/>
          <w:szCs w:val="22"/>
        </w:rPr>
        <w:t>ly change the approach to the “</w:t>
      </w:r>
      <w:r w:rsidRPr="00A80ECF">
        <w:rPr>
          <w:rFonts w:ascii="Arial" w:hAnsi="Arial" w:cs="Arial"/>
          <w:i/>
          <w:sz w:val="22"/>
          <w:szCs w:val="22"/>
        </w:rPr>
        <w:t>no difference</w:t>
      </w:r>
      <w:r>
        <w:rPr>
          <w:rFonts w:ascii="Arial" w:hAnsi="Arial" w:cs="Arial"/>
          <w:sz w:val="22"/>
          <w:szCs w:val="22"/>
        </w:rPr>
        <w:t xml:space="preserve">” ground </w:t>
      </w:r>
      <w:r w:rsidR="00EE4CE1">
        <w:rPr>
          <w:rFonts w:ascii="Arial" w:hAnsi="Arial" w:cs="Arial"/>
          <w:sz w:val="22"/>
          <w:szCs w:val="22"/>
        </w:rPr>
        <w:t xml:space="preserve">for </w:t>
      </w:r>
      <w:r>
        <w:rPr>
          <w:rFonts w:ascii="Arial" w:hAnsi="Arial" w:cs="Arial"/>
          <w:sz w:val="22"/>
          <w:szCs w:val="22"/>
        </w:rPr>
        <w:t xml:space="preserve">refusing relief.  At the substantive stage, the court </w:t>
      </w:r>
      <w:r w:rsidRPr="00A80ECF">
        <w:rPr>
          <w:rFonts w:ascii="Arial" w:hAnsi="Arial" w:cs="Arial"/>
          <w:i/>
          <w:sz w:val="22"/>
          <w:szCs w:val="22"/>
        </w:rPr>
        <w:t>must</w:t>
      </w:r>
      <w:r>
        <w:rPr>
          <w:rFonts w:ascii="Arial" w:hAnsi="Arial" w:cs="Arial"/>
          <w:sz w:val="22"/>
          <w:szCs w:val="22"/>
        </w:rPr>
        <w:t xml:space="preserve"> refuse to grant relief if it appears to the court to be “</w:t>
      </w:r>
      <w:r w:rsidRPr="00A80ECF">
        <w:rPr>
          <w:rFonts w:ascii="Arial" w:hAnsi="Arial" w:cs="Arial"/>
          <w:i/>
          <w:sz w:val="22"/>
          <w:szCs w:val="22"/>
        </w:rPr>
        <w:t>highly likely</w:t>
      </w:r>
      <w:r>
        <w:rPr>
          <w:rFonts w:ascii="Arial" w:hAnsi="Arial" w:cs="Arial"/>
          <w:sz w:val="22"/>
          <w:szCs w:val="22"/>
        </w:rPr>
        <w:t>” that the outcome for the claimant would not have been substantially different if the conduct complained of had not occurred</w:t>
      </w:r>
      <w:r w:rsidR="00EE4CE1">
        <w:rPr>
          <w:rFonts w:ascii="Arial" w:hAnsi="Arial" w:cs="Arial"/>
          <w:sz w:val="22"/>
          <w:szCs w:val="22"/>
        </w:rPr>
        <w:t>, unless it considers it appropriate to do so for reasons of exceptional public interest (and certifies to that effect)</w:t>
      </w:r>
      <w:r>
        <w:rPr>
          <w:rFonts w:ascii="Arial" w:hAnsi="Arial" w:cs="Arial"/>
          <w:sz w:val="22"/>
          <w:szCs w:val="22"/>
        </w:rPr>
        <w:t>.</w:t>
      </w:r>
      <w:r w:rsidR="00616029">
        <w:rPr>
          <w:rFonts w:ascii="Arial" w:hAnsi="Arial" w:cs="Arial"/>
          <w:sz w:val="22"/>
          <w:szCs w:val="22"/>
        </w:rPr>
        <w:t xml:space="preserve"> Relief for these purposes includes a declaration: see </w:t>
      </w:r>
      <w:r w:rsidR="00616029" w:rsidRPr="00A80ECF">
        <w:rPr>
          <w:rFonts w:ascii="Arial" w:hAnsi="Arial" w:cs="Arial"/>
          <w:b/>
          <w:i/>
          <w:sz w:val="22"/>
          <w:szCs w:val="22"/>
        </w:rPr>
        <w:t>R (Hawke)v Secretary of State for Justice</w:t>
      </w:r>
      <w:r w:rsidR="00616029">
        <w:rPr>
          <w:rFonts w:ascii="Arial" w:hAnsi="Arial" w:cs="Arial"/>
          <w:sz w:val="22"/>
          <w:szCs w:val="22"/>
        </w:rPr>
        <w:t xml:space="preserve"> [2015] EWHC 4093 (Admin)</w:t>
      </w:r>
      <w:r w:rsidR="00A80ECF">
        <w:rPr>
          <w:rFonts w:ascii="Arial" w:hAnsi="Arial" w:cs="Arial"/>
          <w:sz w:val="22"/>
          <w:szCs w:val="22"/>
        </w:rPr>
        <w:t>, [2016] ACD 56</w:t>
      </w:r>
      <w:r w:rsidR="00616029">
        <w:rPr>
          <w:rFonts w:ascii="Arial" w:hAnsi="Arial" w:cs="Arial"/>
          <w:sz w:val="22"/>
          <w:szCs w:val="22"/>
        </w:rPr>
        <w:t>.</w:t>
      </w:r>
    </w:p>
    <w:p w14:paraId="7B67481E" w14:textId="77777777" w:rsidR="00EB5785" w:rsidRPr="00653948" w:rsidRDefault="00EB5785" w:rsidP="00EB5785">
      <w:pPr>
        <w:pStyle w:val="BodyText"/>
        <w:spacing w:line="240" w:lineRule="auto"/>
        <w:ind w:left="720"/>
        <w:rPr>
          <w:rFonts w:ascii="Arial" w:hAnsi="Arial" w:cs="Arial"/>
          <w:sz w:val="22"/>
          <w:szCs w:val="22"/>
        </w:rPr>
      </w:pPr>
    </w:p>
    <w:p w14:paraId="44469C16" w14:textId="669C45E3"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Other grounds upon which relief might be refused include a failure to make proper disclosure at the permission stage, or other lack of “</w:t>
      </w:r>
      <w:r w:rsidRPr="00A80ECF">
        <w:rPr>
          <w:rFonts w:ascii="Arial" w:hAnsi="Arial" w:cs="Arial"/>
          <w:i/>
          <w:sz w:val="22"/>
          <w:szCs w:val="22"/>
        </w:rPr>
        <w:t>clean hands</w:t>
      </w:r>
      <w:r w:rsidRPr="00653948">
        <w:rPr>
          <w:rFonts w:ascii="Arial" w:hAnsi="Arial" w:cs="Arial"/>
          <w:sz w:val="22"/>
          <w:szCs w:val="22"/>
        </w:rPr>
        <w:t xml:space="preserve">”.  In </w:t>
      </w:r>
      <w:r w:rsidRPr="00A80ECF">
        <w:rPr>
          <w:rFonts w:ascii="Arial" w:hAnsi="Arial" w:cs="Arial"/>
          <w:b/>
          <w:i/>
          <w:sz w:val="22"/>
          <w:szCs w:val="22"/>
        </w:rPr>
        <w:t>R (Corus UK Ltd</w:t>
      </w:r>
      <w:r w:rsidR="00A80ECF">
        <w:rPr>
          <w:rFonts w:ascii="Arial" w:hAnsi="Arial" w:cs="Arial"/>
          <w:b/>
          <w:i/>
          <w:sz w:val="22"/>
          <w:szCs w:val="22"/>
        </w:rPr>
        <w:t>.</w:t>
      </w:r>
      <w:r w:rsidRPr="00A80ECF">
        <w:rPr>
          <w:rFonts w:ascii="Arial" w:hAnsi="Arial" w:cs="Arial"/>
          <w:b/>
          <w:i/>
          <w:sz w:val="22"/>
          <w:szCs w:val="22"/>
        </w:rPr>
        <w:t>) v Newport C</w:t>
      </w:r>
      <w:r w:rsidR="00A80ECF">
        <w:rPr>
          <w:rFonts w:ascii="Arial" w:hAnsi="Arial" w:cs="Arial"/>
          <w:b/>
          <w:i/>
          <w:sz w:val="22"/>
          <w:szCs w:val="22"/>
        </w:rPr>
        <w:t xml:space="preserve">ity </w:t>
      </w:r>
      <w:r w:rsidRPr="00A80ECF">
        <w:rPr>
          <w:rFonts w:ascii="Arial" w:hAnsi="Arial" w:cs="Arial"/>
          <w:b/>
          <w:i/>
          <w:sz w:val="22"/>
          <w:szCs w:val="22"/>
        </w:rPr>
        <w:t>C</w:t>
      </w:r>
      <w:r w:rsidR="00A80ECF">
        <w:rPr>
          <w:rFonts w:ascii="Arial" w:hAnsi="Arial" w:cs="Arial"/>
          <w:b/>
          <w:i/>
          <w:sz w:val="22"/>
          <w:szCs w:val="22"/>
        </w:rPr>
        <w:t>ouncil</w:t>
      </w:r>
      <w:r w:rsidRPr="00653948">
        <w:rPr>
          <w:rFonts w:ascii="Arial" w:hAnsi="Arial" w:cs="Arial"/>
          <w:i/>
          <w:sz w:val="22"/>
          <w:szCs w:val="22"/>
        </w:rPr>
        <w:t xml:space="preserve"> </w:t>
      </w:r>
      <w:r w:rsidRPr="00653948">
        <w:rPr>
          <w:rFonts w:ascii="Arial" w:hAnsi="Arial" w:cs="Arial"/>
          <w:sz w:val="22"/>
          <w:szCs w:val="22"/>
        </w:rPr>
        <w:t>[2010] EWHC 1279 (Admin), the effect of the decision at first instance seemed to be that relief was withheld because its grant would cause disruption to the defendant or third parties disproportionate to the harm caused to the claimant by the illegality in question.  However, the judge’s remedy was overturned by the Court of Appeal ([2010] EWCA Civ 1626): the decision was on the facts, but the court seemed distinctly unenthusiastic about such an approach being taken at all.</w:t>
      </w:r>
    </w:p>
    <w:p w14:paraId="63DED520" w14:textId="77777777" w:rsidR="00EB5785" w:rsidRPr="00653948" w:rsidRDefault="00EB5785" w:rsidP="00EB5785">
      <w:pPr>
        <w:pStyle w:val="BodyText"/>
        <w:spacing w:line="240" w:lineRule="auto"/>
        <w:ind w:left="720"/>
        <w:rPr>
          <w:rFonts w:ascii="Arial" w:hAnsi="Arial" w:cs="Arial"/>
          <w:sz w:val="22"/>
          <w:szCs w:val="22"/>
        </w:rPr>
      </w:pPr>
    </w:p>
    <w:p w14:paraId="76A3245B" w14:textId="77777777"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It is vital to ensure that any evidence relevant to discretion arguments is properly before the court, just as much as with evidence relevant to the substantive merits.</w:t>
      </w:r>
    </w:p>
    <w:p w14:paraId="6BB6C14D" w14:textId="77777777" w:rsidR="00EB5785" w:rsidRPr="00653948" w:rsidRDefault="00EB5785" w:rsidP="00EB5785">
      <w:pPr>
        <w:pStyle w:val="BodyText"/>
        <w:spacing w:line="240" w:lineRule="auto"/>
        <w:rPr>
          <w:rFonts w:ascii="Arial" w:hAnsi="Arial" w:cs="Arial"/>
          <w:sz w:val="22"/>
          <w:szCs w:val="22"/>
        </w:rPr>
      </w:pPr>
    </w:p>
    <w:p w14:paraId="63E7E597" w14:textId="77777777" w:rsidR="00EE4CE1" w:rsidRDefault="00EE4CE1" w:rsidP="00EB5785">
      <w:pPr>
        <w:pStyle w:val="BodyText"/>
        <w:spacing w:line="240" w:lineRule="auto"/>
        <w:rPr>
          <w:rFonts w:ascii="Arial" w:hAnsi="Arial" w:cs="Arial"/>
          <w:i/>
          <w:sz w:val="22"/>
          <w:szCs w:val="22"/>
        </w:rPr>
      </w:pPr>
    </w:p>
    <w:p w14:paraId="5D2285C1" w14:textId="280F0963" w:rsidR="00EB5785" w:rsidRPr="00653948" w:rsidRDefault="00EB5785" w:rsidP="00EB5785">
      <w:pPr>
        <w:pStyle w:val="BodyText"/>
        <w:spacing w:line="240" w:lineRule="auto"/>
        <w:rPr>
          <w:rFonts w:ascii="Arial" w:hAnsi="Arial" w:cs="Arial"/>
          <w:sz w:val="22"/>
          <w:szCs w:val="22"/>
        </w:rPr>
      </w:pPr>
      <w:r w:rsidRPr="00653948">
        <w:rPr>
          <w:rFonts w:ascii="Arial" w:hAnsi="Arial" w:cs="Arial"/>
          <w:i/>
          <w:sz w:val="22"/>
          <w:szCs w:val="22"/>
        </w:rPr>
        <w:t>Interim remedies</w:t>
      </w:r>
    </w:p>
    <w:p w14:paraId="107234C7" w14:textId="77777777" w:rsidR="00EB5785" w:rsidRPr="00653948" w:rsidRDefault="00EB5785" w:rsidP="00EB5785">
      <w:pPr>
        <w:pStyle w:val="BodyText"/>
        <w:spacing w:line="240" w:lineRule="auto"/>
        <w:rPr>
          <w:rFonts w:ascii="Arial" w:hAnsi="Arial" w:cs="Arial"/>
          <w:sz w:val="22"/>
          <w:szCs w:val="22"/>
        </w:rPr>
      </w:pPr>
    </w:p>
    <w:p w14:paraId="085F6CD8" w14:textId="6D7F30B8"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Interim relief in judicial review will normally mean either a negative injunction to stop the defendant taking certain action until the claim for judicial review has been dealt with (e.g. not to close a care home), or a positive order to take or continue to take certain steps (e.g. to provide the claimant with accommodation). </w:t>
      </w:r>
      <w:r w:rsidR="00EE4CE1">
        <w:rPr>
          <w:rFonts w:ascii="Arial" w:hAnsi="Arial" w:cs="Arial"/>
          <w:sz w:val="22"/>
          <w:szCs w:val="22"/>
        </w:rPr>
        <w:t>CPR r.</w:t>
      </w:r>
      <w:r w:rsidRPr="00653948">
        <w:rPr>
          <w:rFonts w:ascii="Arial" w:hAnsi="Arial" w:cs="Arial"/>
          <w:sz w:val="22"/>
          <w:szCs w:val="22"/>
        </w:rPr>
        <w:t>54.10(2) refers specifically to a “</w:t>
      </w:r>
      <w:r w:rsidRPr="00A80ECF">
        <w:rPr>
          <w:rFonts w:ascii="Arial" w:hAnsi="Arial" w:cs="Arial"/>
          <w:i/>
          <w:sz w:val="22"/>
          <w:szCs w:val="22"/>
        </w:rPr>
        <w:t>stay of proceedings</w:t>
      </w:r>
      <w:r w:rsidRPr="00653948">
        <w:rPr>
          <w:rFonts w:ascii="Arial" w:hAnsi="Arial" w:cs="Arial"/>
          <w:sz w:val="22"/>
          <w:szCs w:val="22"/>
        </w:rPr>
        <w:t>” as one direction that may be given where permission to apply for judicial review is granted, but it is unclear that there is much if any practical difference between a stay on the one hand and an interim injunction in negative form on the other.</w:t>
      </w:r>
    </w:p>
    <w:p w14:paraId="4FDF56EF" w14:textId="77777777" w:rsidR="00EB5785" w:rsidRPr="00653948" w:rsidRDefault="00EB5785" w:rsidP="00EB5785">
      <w:pPr>
        <w:pStyle w:val="BodyText"/>
        <w:spacing w:line="240" w:lineRule="auto"/>
        <w:ind w:left="720"/>
        <w:rPr>
          <w:rFonts w:ascii="Arial" w:hAnsi="Arial" w:cs="Arial"/>
          <w:sz w:val="22"/>
          <w:szCs w:val="22"/>
        </w:rPr>
      </w:pPr>
    </w:p>
    <w:p w14:paraId="4616FF11" w14:textId="19DF73FA"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Sometimes the anticipated timetable of events will allow for any claim for interim relief to be dealt with at or after the time when permission to apply for judicial review is considered, and for the permission application to take its normal course. More commonly, it will be necessary to couple an application for interim relief with an application for urgent consideration</w:t>
      </w:r>
      <w:r w:rsidR="006E0624">
        <w:rPr>
          <w:rFonts w:ascii="Arial" w:hAnsi="Arial" w:cs="Arial"/>
          <w:sz w:val="22"/>
          <w:szCs w:val="22"/>
        </w:rPr>
        <w:t>.</w:t>
      </w:r>
      <w:r w:rsidRPr="00653948">
        <w:rPr>
          <w:rStyle w:val="FootnoteReference"/>
          <w:rFonts w:ascii="Arial" w:hAnsi="Arial" w:cs="Arial"/>
          <w:sz w:val="22"/>
          <w:szCs w:val="22"/>
        </w:rPr>
        <w:footnoteReference w:id="17"/>
      </w:r>
    </w:p>
    <w:p w14:paraId="7B440CC2" w14:textId="77777777" w:rsidR="00EB5785" w:rsidRPr="00653948" w:rsidRDefault="00EB5785" w:rsidP="00EB5785">
      <w:pPr>
        <w:pStyle w:val="BodyText"/>
        <w:spacing w:line="240" w:lineRule="auto"/>
        <w:rPr>
          <w:rFonts w:ascii="Arial" w:hAnsi="Arial" w:cs="Arial"/>
          <w:sz w:val="22"/>
          <w:szCs w:val="22"/>
        </w:rPr>
      </w:pPr>
    </w:p>
    <w:p w14:paraId="7CAA69A8" w14:textId="77777777"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Interim relief may be dealt with on the papers, at least initially, but if there is a contest about whether such relief should be granted or continued, that will usually be a matter for an oral hearing.</w:t>
      </w:r>
    </w:p>
    <w:p w14:paraId="30A4438D" w14:textId="77777777" w:rsidR="00EB5785" w:rsidRPr="00653948" w:rsidRDefault="00EB5785" w:rsidP="00EB5785">
      <w:pPr>
        <w:pStyle w:val="BodyText"/>
        <w:spacing w:line="240" w:lineRule="auto"/>
        <w:rPr>
          <w:rFonts w:ascii="Arial" w:hAnsi="Arial" w:cs="Arial"/>
          <w:sz w:val="22"/>
          <w:szCs w:val="22"/>
        </w:rPr>
      </w:pPr>
    </w:p>
    <w:p w14:paraId="28C032E5" w14:textId="6300791F"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The most helpful and authoritative general discussion of the approach to the grant or refusal of interim relief in public law proceedings is to be found in </w:t>
      </w:r>
      <w:r w:rsidRPr="00A80ECF">
        <w:rPr>
          <w:rFonts w:ascii="Arial" w:hAnsi="Arial" w:cs="Arial"/>
          <w:b/>
          <w:i/>
          <w:sz w:val="22"/>
          <w:szCs w:val="22"/>
        </w:rPr>
        <w:t xml:space="preserve">The Belize Alliance of </w:t>
      </w:r>
      <w:r w:rsidRPr="00A80ECF">
        <w:rPr>
          <w:rFonts w:ascii="Arial" w:hAnsi="Arial" w:cs="Arial"/>
          <w:b/>
          <w:i/>
          <w:sz w:val="22"/>
          <w:szCs w:val="22"/>
        </w:rPr>
        <w:lastRenderedPageBreak/>
        <w:t>Conservation Non-Governmental Organisations v Department of the Environment</w:t>
      </w:r>
      <w:r w:rsidRPr="00653948">
        <w:rPr>
          <w:rFonts w:ascii="Arial" w:hAnsi="Arial" w:cs="Arial"/>
          <w:i/>
          <w:sz w:val="22"/>
          <w:szCs w:val="22"/>
        </w:rPr>
        <w:t xml:space="preserve"> </w:t>
      </w:r>
      <w:r w:rsidRPr="00653948">
        <w:rPr>
          <w:rFonts w:ascii="Arial" w:hAnsi="Arial" w:cs="Arial"/>
          <w:sz w:val="22"/>
          <w:szCs w:val="22"/>
        </w:rPr>
        <w:t>[2003]</w:t>
      </w:r>
      <w:r w:rsidR="00A80ECF">
        <w:rPr>
          <w:rFonts w:ascii="Arial" w:hAnsi="Arial" w:cs="Arial"/>
          <w:sz w:val="22"/>
          <w:szCs w:val="22"/>
        </w:rPr>
        <w:t xml:space="preserve"> UKPC 63, [2003]</w:t>
      </w:r>
      <w:r w:rsidRPr="00653948">
        <w:rPr>
          <w:rFonts w:ascii="Arial" w:hAnsi="Arial" w:cs="Arial"/>
          <w:sz w:val="22"/>
          <w:szCs w:val="22"/>
        </w:rPr>
        <w:t xml:space="preserve"> 1 WLR 2839, which reviews some of the earlier case</w:t>
      </w:r>
      <w:r>
        <w:rPr>
          <w:rFonts w:ascii="Arial" w:hAnsi="Arial" w:cs="Arial"/>
          <w:sz w:val="22"/>
          <w:szCs w:val="22"/>
        </w:rPr>
        <w:t xml:space="preserve"> </w:t>
      </w:r>
      <w:r w:rsidRPr="00653948">
        <w:rPr>
          <w:rFonts w:ascii="Arial" w:hAnsi="Arial" w:cs="Arial"/>
          <w:sz w:val="22"/>
          <w:szCs w:val="22"/>
        </w:rPr>
        <w:t xml:space="preserve">law. </w:t>
      </w:r>
    </w:p>
    <w:p w14:paraId="706D3748" w14:textId="77777777" w:rsidR="00EB5785" w:rsidRPr="00653948" w:rsidRDefault="00EB5785" w:rsidP="00EB5785">
      <w:pPr>
        <w:pStyle w:val="BodyText"/>
        <w:spacing w:line="240" w:lineRule="auto"/>
        <w:rPr>
          <w:rFonts w:ascii="Arial" w:hAnsi="Arial" w:cs="Arial"/>
          <w:sz w:val="22"/>
          <w:szCs w:val="22"/>
        </w:rPr>
      </w:pPr>
    </w:p>
    <w:p w14:paraId="28EEB8EC" w14:textId="77777777"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The essential test for whether interim relief should be granted is the familiar </w:t>
      </w:r>
      <w:r w:rsidRPr="00A80ECF">
        <w:rPr>
          <w:rFonts w:ascii="Arial" w:hAnsi="Arial" w:cs="Arial"/>
          <w:b/>
          <w:i/>
          <w:sz w:val="22"/>
          <w:szCs w:val="22"/>
        </w:rPr>
        <w:t>American Cyanamid</w:t>
      </w:r>
      <w:r w:rsidRPr="00653948">
        <w:rPr>
          <w:rFonts w:ascii="Arial" w:hAnsi="Arial" w:cs="Arial"/>
          <w:sz w:val="22"/>
          <w:szCs w:val="22"/>
        </w:rPr>
        <w:t xml:space="preserve"> set of questions.  Is there a serious issue to be tried?  If so, will damages be an adequate remedy?  If not, where does the balance of convenience lie?  </w:t>
      </w:r>
    </w:p>
    <w:p w14:paraId="693901A2" w14:textId="77777777" w:rsidR="00EB5785" w:rsidRPr="00653948" w:rsidRDefault="00EB5785" w:rsidP="00EB5785">
      <w:pPr>
        <w:pStyle w:val="BodyText"/>
        <w:spacing w:line="240" w:lineRule="auto"/>
        <w:rPr>
          <w:rFonts w:ascii="Arial" w:hAnsi="Arial" w:cs="Arial"/>
          <w:sz w:val="22"/>
          <w:szCs w:val="22"/>
        </w:rPr>
      </w:pPr>
    </w:p>
    <w:p w14:paraId="4B00A421" w14:textId="40A1FAAF"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However, the approach taken will require modifications appropriate to the public law element of the case. If permission has been granted, it is generally difficult to persuade a Court that there is not a serious issue to be tried / arguable case. Further, in reality, the particular characteristics of judicial review make it unlikely that damages will often be an adequate remedy for either party.  Since there is no right to damages for unlawful administrative action as such, the claimant will often have no cause of action for damages in any case.  Even if </w:t>
      </w:r>
      <w:r w:rsidR="006E0624">
        <w:rPr>
          <w:rFonts w:ascii="Arial" w:hAnsi="Arial" w:cs="Arial"/>
          <w:sz w:val="22"/>
          <w:szCs w:val="22"/>
        </w:rPr>
        <w:t>s/</w:t>
      </w:r>
      <w:r w:rsidRPr="00653948">
        <w:rPr>
          <w:rFonts w:ascii="Arial" w:hAnsi="Arial" w:cs="Arial"/>
          <w:sz w:val="22"/>
          <w:szCs w:val="22"/>
        </w:rPr>
        <w:t xml:space="preserve">he does (e.g. in a claim under the </w:t>
      </w:r>
      <w:r w:rsidR="00A80ECF">
        <w:rPr>
          <w:rFonts w:ascii="Arial" w:hAnsi="Arial" w:cs="Arial"/>
          <w:sz w:val="22"/>
          <w:szCs w:val="22"/>
        </w:rPr>
        <w:t>HRA</w:t>
      </w:r>
      <w:r w:rsidRPr="00653948">
        <w:rPr>
          <w:rFonts w:ascii="Arial" w:hAnsi="Arial" w:cs="Arial"/>
          <w:sz w:val="22"/>
          <w:szCs w:val="22"/>
        </w:rPr>
        <w:t>, or where a sufficiently serious breach of EU law is alleged), the real purpose of the judicial review will usually be to prevent the unlawful course of conduct, rather than to claim compensation of uncertain amount.</w:t>
      </w:r>
    </w:p>
    <w:p w14:paraId="72A55EA0" w14:textId="77777777" w:rsidR="00EB5785" w:rsidRPr="00653948" w:rsidRDefault="00EB5785" w:rsidP="00EB5785">
      <w:pPr>
        <w:pStyle w:val="BodyText"/>
        <w:spacing w:line="240" w:lineRule="auto"/>
        <w:rPr>
          <w:rFonts w:ascii="Arial" w:hAnsi="Arial" w:cs="Arial"/>
          <w:sz w:val="22"/>
          <w:szCs w:val="22"/>
        </w:rPr>
      </w:pPr>
    </w:p>
    <w:p w14:paraId="4D2C1BC2" w14:textId="718089A5"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On the other side, the claimant (especially if an individual) will very often not be able or willing to offer a worthwhile cross-undertaking in damages in favour of the defendant (which will in any case often not itself be exposed to financial loss).  In the context of normal civil litigation, the absence of such a cross-undertaking would generally be regarded as a factor militating quite strongly against the grant of interim relief in a case in which the injunction would potentially cause financial loss.  It is possible to find statements in judicial review caselaw to similar effect. Nonetheless, it appears that in practice cross-undertakings in judicial review tend to be the exception rather than the rule, at any rate outside the sphere of commercial disputes</w:t>
      </w:r>
      <w:r w:rsidRPr="00653948">
        <w:rPr>
          <w:rStyle w:val="FootnoteReference"/>
          <w:rFonts w:ascii="Arial" w:hAnsi="Arial" w:cs="Arial"/>
          <w:sz w:val="22"/>
          <w:szCs w:val="22"/>
        </w:rPr>
        <w:footnoteReference w:id="18"/>
      </w:r>
      <w:r w:rsidRPr="00653948">
        <w:rPr>
          <w:rFonts w:ascii="Arial" w:hAnsi="Arial" w:cs="Arial"/>
          <w:sz w:val="22"/>
          <w:szCs w:val="22"/>
        </w:rPr>
        <w:t xml:space="preserve"> or challenges to projects of major public interest, and their absence is not usually regarded as fatal. The Privy Council in the </w:t>
      </w:r>
      <w:r w:rsidRPr="00A55693">
        <w:rPr>
          <w:rFonts w:ascii="Arial" w:hAnsi="Arial" w:cs="Arial"/>
          <w:b/>
          <w:i/>
          <w:sz w:val="22"/>
          <w:szCs w:val="22"/>
        </w:rPr>
        <w:t>Belize</w:t>
      </w:r>
      <w:r w:rsidRPr="00653948">
        <w:rPr>
          <w:rFonts w:ascii="Arial" w:hAnsi="Arial" w:cs="Arial"/>
          <w:i/>
          <w:sz w:val="22"/>
          <w:szCs w:val="22"/>
        </w:rPr>
        <w:t xml:space="preserve"> </w:t>
      </w:r>
      <w:r w:rsidRPr="00653948">
        <w:rPr>
          <w:rFonts w:ascii="Arial" w:hAnsi="Arial" w:cs="Arial"/>
          <w:sz w:val="22"/>
          <w:szCs w:val="22"/>
        </w:rPr>
        <w:t xml:space="preserve">case drew the distinction between a straightforward dispute between </w:t>
      </w:r>
      <w:r w:rsidR="00A55693">
        <w:rPr>
          <w:rFonts w:ascii="Arial" w:hAnsi="Arial" w:cs="Arial"/>
          <w:sz w:val="22"/>
          <w:szCs w:val="22"/>
        </w:rPr>
        <w:t xml:space="preserve">public </w:t>
      </w:r>
      <w:r w:rsidRPr="00653948">
        <w:rPr>
          <w:rFonts w:ascii="Arial" w:hAnsi="Arial" w:cs="Arial"/>
          <w:sz w:val="22"/>
          <w:szCs w:val="22"/>
        </w:rPr>
        <w:t xml:space="preserve">authority and citizen on the one hand, and on the other hand cases where the commercial interests of a third party were engaged.  For an example of the court declining to require a worthless cross-undertaking, see </w:t>
      </w:r>
      <w:r w:rsidRPr="00A55693">
        <w:rPr>
          <w:rFonts w:ascii="Arial" w:hAnsi="Arial" w:cs="Arial"/>
          <w:b/>
          <w:i/>
          <w:sz w:val="22"/>
          <w:szCs w:val="22"/>
        </w:rPr>
        <w:t>R v Servite Houses and Wandsworth LBC</w:t>
      </w:r>
      <w:r w:rsidR="00C10D1E" w:rsidRPr="00A55693">
        <w:rPr>
          <w:rFonts w:ascii="Arial" w:hAnsi="Arial" w:cs="Arial"/>
          <w:b/>
          <w:i/>
          <w:sz w:val="22"/>
          <w:szCs w:val="22"/>
        </w:rPr>
        <w:t>,</w:t>
      </w:r>
      <w:r w:rsidRPr="00A55693">
        <w:rPr>
          <w:rFonts w:ascii="Arial" w:hAnsi="Arial" w:cs="Arial"/>
          <w:b/>
          <w:i/>
          <w:sz w:val="22"/>
          <w:szCs w:val="22"/>
        </w:rPr>
        <w:t xml:space="preserve"> ex p. Goldsmith</w:t>
      </w:r>
      <w:r w:rsidRPr="00653948">
        <w:rPr>
          <w:rFonts w:ascii="Arial" w:hAnsi="Arial" w:cs="Arial"/>
          <w:i/>
          <w:sz w:val="22"/>
          <w:szCs w:val="22"/>
        </w:rPr>
        <w:t xml:space="preserve"> </w:t>
      </w:r>
      <w:r w:rsidRPr="00653948">
        <w:rPr>
          <w:rFonts w:ascii="Arial" w:hAnsi="Arial" w:cs="Arial"/>
          <w:sz w:val="22"/>
          <w:szCs w:val="22"/>
        </w:rPr>
        <w:t>(2000) 3 CCL</w:t>
      </w:r>
      <w:r w:rsidR="00EE4CE1">
        <w:rPr>
          <w:rFonts w:ascii="Arial" w:hAnsi="Arial" w:cs="Arial"/>
          <w:sz w:val="22"/>
          <w:szCs w:val="22"/>
        </w:rPr>
        <w:t xml:space="preserve"> </w:t>
      </w:r>
      <w:r w:rsidRPr="00653948">
        <w:rPr>
          <w:rFonts w:ascii="Arial" w:hAnsi="Arial" w:cs="Arial"/>
          <w:sz w:val="22"/>
          <w:szCs w:val="22"/>
        </w:rPr>
        <w:t>R</w:t>
      </w:r>
      <w:r w:rsidR="00EE4CE1">
        <w:rPr>
          <w:rFonts w:ascii="Arial" w:hAnsi="Arial" w:cs="Arial"/>
          <w:sz w:val="22"/>
          <w:szCs w:val="22"/>
        </w:rPr>
        <w:t>ep</w:t>
      </w:r>
      <w:r w:rsidRPr="00653948">
        <w:rPr>
          <w:rFonts w:ascii="Arial" w:hAnsi="Arial" w:cs="Arial"/>
          <w:sz w:val="22"/>
          <w:szCs w:val="22"/>
        </w:rPr>
        <w:t xml:space="preserve"> 354</w:t>
      </w:r>
      <w:r w:rsidR="00A55693">
        <w:rPr>
          <w:rFonts w:ascii="Arial" w:hAnsi="Arial" w:cs="Arial"/>
          <w:sz w:val="22"/>
          <w:szCs w:val="22"/>
        </w:rPr>
        <w:t>, CA</w:t>
      </w:r>
      <w:r w:rsidRPr="00653948">
        <w:rPr>
          <w:rFonts w:ascii="Arial" w:hAnsi="Arial" w:cs="Arial"/>
          <w:sz w:val="22"/>
          <w:szCs w:val="22"/>
        </w:rPr>
        <w:t>.</w:t>
      </w:r>
    </w:p>
    <w:p w14:paraId="3031B03A" w14:textId="77777777" w:rsidR="00EB5785" w:rsidRPr="00653948" w:rsidRDefault="00EB5785" w:rsidP="00EB5785">
      <w:pPr>
        <w:pStyle w:val="BodyText"/>
        <w:spacing w:line="240" w:lineRule="auto"/>
        <w:ind w:left="720"/>
        <w:rPr>
          <w:rFonts w:ascii="Arial" w:hAnsi="Arial" w:cs="Arial"/>
          <w:sz w:val="22"/>
          <w:szCs w:val="22"/>
        </w:rPr>
      </w:pPr>
    </w:p>
    <w:p w14:paraId="7D42773C" w14:textId="6B281C62"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The most important issue in considering interim relief in judicial review proceedings is where the balance of convenience lies. In determining where the balance of convenience lies, the court will have regard to the totality of the circumstances, and will ultimately seek to make a general assessment of whether the risk of causing injustice is greater if the injunction is granted or if it is refused.  In doing so, account will be taken not only of the immediate interests of the parties, but also of the wider public interest (see e.g. </w:t>
      </w:r>
      <w:r w:rsidRPr="00A55693">
        <w:rPr>
          <w:rFonts w:ascii="Arial" w:hAnsi="Arial" w:cs="Arial"/>
          <w:b/>
          <w:i/>
          <w:sz w:val="22"/>
          <w:szCs w:val="22"/>
        </w:rPr>
        <w:t>Smith v I</w:t>
      </w:r>
      <w:r w:rsidR="00A55693">
        <w:rPr>
          <w:rFonts w:ascii="Arial" w:hAnsi="Arial" w:cs="Arial"/>
          <w:b/>
          <w:i/>
          <w:sz w:val="22"/>
          <w:szCs w:val="22"/>
        </w:rPr>
        <w:t xml:space="preserve">nner </w:t>
      </w:r>
      <w:r w:rsidRPr="00A55693">
        <w:rPr>
          <w:rFonts w:ascii="Arial" w:hAnsi="Arial" w:cs="Arial"/>
          <w:b/>
          <w:i/>
          <w:sz w:val="22"/>
          <w:szCs w:val="22"/>
        </w:rPr>
        <w:t>L</w:t>
      </w:r>
      <w:r w:rsidR="00A55693">
        <w:rPr>
          <w:rFonts w:ascii="Arial" w:hAnsi="Arial" w:cs="Arial"/>
          <w:b/>
          <w:i/>
          <w:sz w:val="22"/>
          <w:szCs w:val="22"/>
        </w:rPr>
        <w:t xml:space="preserve">ondon </w:t>
      </w:r>
      <w:r w:rsidRPr="00A55693">
        <w:rPr>
          <w:rFonts w:ascii="Arial" w:hAnsi="Arial" w:cs="Arial"/>
          <w:b/>
          <w:i/>
          <w:sz w:val="22"/>
          <w:szCs w:val="22"/>
        </w:rPr>
        <w:t>E</w:t>
      </w:r>
      <w:r w:rsidR="00A55693">
        <w:rPr>
          <w:rFonts w:ascii="Arial" w:hAnsi="Arial" w:cs="Arial"/>
          <w:b/>
          <w:i/>
          <w:sz w:val="22"/>
          <w:szCs w:val="22"/>
        </w:rPr>
        <w:t xml:space="preserve">ducation </w:t>
      </w:r>
      <w:r w:rsidRPr="00A55693">
        <w:rPr>
          <w:rFonts w:ascii="Arial" w:hAnsi="Arial" w:cs="Arial"/>
          <w:b/>
          <w:i/>
          <w:sz w:val="22"/>
          <w:szCs w:val="22"/>
        </w:rPr>
        <w:t>A</w:t>
      </w:r>
      <w:r w:rsidR="00A55693">
        <w:rPr>
          <w:rFonts w:ascii="Arial" w:hAnsi="Arial" w:cs="Arial"/>
          <w:b/>
          <w:i/>
          <w:sz w:val="22"/>
          <w:szCs w:val="22"/>
        </w:rPr>
        <w:t>uthority</w:t>
      </w:r>
      <w:r w:rsidRPr="00653948">
        <w:rPr>
          <w:rFonts w:ascii="Arial" w:hAnsi="Arial" w:cs="Arial"/>
          <w:i/>
          <w:sz w:val="22"/>
          <w:szCs w:val="22"/>
        </w:rPr>
        <w:t xml:space="preserve"> </w:t>
      </w:r>
      <w:r w:rsidRPr="00653948">
        <w:rPr>
          <w:rFonts w:ascii="Arial" w:hAnsi="Arial" w:cs="Arial"/>
          <w:sz w:val="22"/>
          <w:szCs w:val="22"/>
        </w:rPr>
        <w:t>[1978] 1 All ER 411</w:t>
      </w:r>
      <w:r w:rsidR="00A55693">
        <w:rPr>
          <w:rFonts w:ascii="Arial" w:hAnsi="Arial" w:cs="Arial"/>
          <w:sz w:val="22"/>
          <w:szCs w:val="22"/>
        </w:rPr>
        <w:t>, CA</w:t>
      </w:r>
      <w:r w:rsidRPr="00653948">
        <w:rPr>
          <w:rFonts w:ascii="Arial" w:hAnsi="Arial" w:cs="Arial"/>
          <w:sz w:val="22"/>
          <w:szCs w:val="22"/>
        </w:rPr>
        <w:t xml:space="preserve">, </w:t>
      </w:r>
      <w:r w:rsidRPr="00A55693">
        <w:rPr>
          <w:rFonts w:ascii="Arial" w:hAnsi="Arial" w:cs="Arial"/>
          <w:b/>
          <w:i/>
          <w:sz w:val="22"/>
          <w:szCs w:val="22"/>
        </w:rPr>
        <w:t>R v Durham CC</w:t>
      </w:r>
      <w:r w:rsidR="00A55693">
        <w:rPr>
          <w:rFonts w:ascii="Arial" w:hAnsi="Arial" w:cs="Arial"/>
          <w:b/>
          <w:i/>
          <w:sz w:val="22"/>
          <w:szCs w:val="22"/>
        </w:rPr>
        <w:t>,</w:t>
      </w:r>
      <w:r w:rsidRPr="00A55693">
        <w:rPr>
          <w:rFonts w:ascii="Arial" w:hAnsi="Arial" w:cs="Arial"/>
          <w:b/>
          <w:i/>
          <w:sz w:val="22"/>
          <w:szCs w:val="22"/>
        </w:rPr>
        <w:t xml:space="preserve"> ex p. Huddleston</w:t>
      </w:r>
      <w:r w:rsidRPr="00653948">
        <w:rPr>
          <w:rFonts w:ascii="Arial" w:hAnsi="Arial" w:cs="Arial"/>
          <w:i/>
          <w:sz w:val="22"/>
          <w:szCs w:val="22"/>
        </w:rPr>
        <w:t xml:space="preserve"> </w:t>
      </w:r>
      <w:r w:rsidR="00EE4CE1">
        <w:rPr>
          <w:rFonts w:ascii="Arial" w:hAnsi="Arial" w:cs="Arial"/>
          <w:sz w:val="22"/>
          <w:szCs w:val="22"/>
        </w:rPr>
        <w:t>[2000] Env</w:t>
      </w:r>
      <w:r w:rsidR="00A55693">
        <w:rPr>
          <w:rFonts w:ascii="Arial" w:hAnsi="Arial" w:cs="Arial"/>
          <w:sz w:val="22"/>
          <w:szCs w:val="22"/>
        </w:rPr>
        <w:t xml:space="preserve"> </w:t>
      </w:r>
      <w:r w:rsidR="00EE4CE1">
        <w:rPr>
          <w:rFonts w:ascii="Arial" w:hAnsi="Arial" w:cs="Arial"/>
          <w:sz w:val="22"/>
          <w:szCs w:val="22"/>
        </w:rPr>
        <w:t>LR D20</w:t>
      </w:r>
      <w:r w:rsidR="00A55693">
        <w:rPr>
          <w:rFonts w:ascii="Arial" w:hAnsi="Arial" w:cs="Arial"/>
          <w:sz w:val="22"/>
          <w:szCs w:val="22"/>
        </w:rPr>
        <w:t>, QBD</w:t>
      </w:r>
      <w:r w:rsidR="00616029">
        <w:rPr>
          <w:rFonts w:ascii="Arial" w:hAnsi="Arial" w:cs="Arial"/>
          <w:sz w:val="22"/>
          <w:szCs w:val="22"/>
        </w:rPr>
        <w:t xml:space="preserve">, </w:t>
      </w:r>
      <w:r w:rsidRPr="00A55693">
        <w:rPr>
          <w:rFonts w:ascii="Arial" w:hAnsi="Arial" w:cs="Arial"/>
          <w:b/>
          <w:i/>
          <w:sz w:val="22"/>
          <w:szCs w:val="22"/>
        </w:rPr>
        <w:t>R (Medical Justice) v</w:t>
      </w:r>
      <w:r w:rsidR="00EE4CE1" w:rsidRPr="00A55693">
        <w:rPr>
          <w:rFonts w:ascii="Arial" w:hAnsi="Arial" w:cs="Arial"/>
          <w:b/>
          <w:i/>
          <w:sz w:val="22"/>
          <w:szCs w:val="22"/>
        </w:rPr>
        <w:t xml:space="preserve"> Secretary of State for the Home Department</w:t>
      </w:r>
      <w:r w:rsidRPr="00653948">
        <w:rPr>
          <w:rFonts w:ascii="Arial" w:hAnsi="Arial" w:cs="Arial"/>
          <w:i/>
          <w:sz w:val="22"/>
          <w:szCs w:val="22"/>
        </w:rPr>
        <w:t xml:space="preserve"> </w:t>
      </w:r>
      <w:r w:rsidRPr="00653948">
        <w:rPr>
          <w:rFonts w:ascii="Arial" w:hAnsi="Arial" w:cs="Arial"/>
          <w:sz w:val="22"/>
          <w:szCs w:val="22"/>
        </w:rPr>
        <w:t>[2010] EWHC 1425 (Admin)</w:t>
      </w:r>
      <w:r w:rsidR="00616029">
        <w:rPr>
          <w:rFonts w:ascii="Arial" w:hAnsi="Arial" w:cs="Arial"/>
          <w:sz w:val="22"/>
          <w:szCs w:val="22"/>
        </w:rPr>
        <w:t>,</w:t>
      </w:r>
      <w:r w:rsidR="00A55693">
        <w:rPr>
          <w:rFonts w:ascii="Arial" w:hAnsi="Arial" w:cs="Arial"/>
          <w:sz w:val="22"/>
          <w:szCs w:val="22"/>
        </w:rPr>
        <w:t xml:space="preserve"> [2010] ACD 70,</w:t>
      </w:r>
      <w:r w:rsidR="00616029">
        <w:rPr>
          <w:rFonts w:ascii="Arial" w:hAnsi="Arial" w:cs="Arial"/>
          <w:sz w:val="22"/>
          <w:szCs w:val="22"/>
        </w:rPr>
        <w:t xml:space="preserve"> </w:t>
      </w:r>
      <w:r w:rsidR="00616029" w:rsidRPr="00A55693">
        <w:rPr>
          <w:rFonts w:ascii="Arial" w:hAnsi="Arial" w:cs="Arial"/>
          <w:b/>
          <w:i/>
          <w:sz w:val="22"/>
          <w:szCs w:val="22"/>
        </w:rPr>
        <w:t>R (Easybus Ltd) v Stansted Airport Ltd</w:t>
      </w:r>
      <w:r w:rsidR="00A55693">
        <w:rPr>
          <w:rFonts w:ascii="Arial" w:hAnsi="Arial" w:cs="Arial"/>
          <w:b/>
          <w:i/>
          <w:sz w:val="22"/>
          <w:szCs w:val="22"/>
        </w:rPr>
        <w:t>.</w:t>
      </w:r>
      <w:r w:rsidR="00616029">
        <w:rPr>
          <w:rFonts w:ascii="Arial" w:hAnsi="Arial" w:cs="Arial"/>
          <w:sz w:val="22"/>
          <w:szCs w:val="22"/>
        </w:rPr>
        <w:t xml:space="preserve"> [2015] EWHC 3833 (Admin)</w:t>
      </w:r>
      <w:r w:rsidRPr="00653948">
        <w:rPr>
          <w:rFonts w:ascii="Arial" w:hAnsi="Arial" w:cs="Arial"/>
          <w:sz w:val="22"/>
          <w:szCs w:val="22"/>
        </w:rPr>
        <w:t xml:space="preserve">). Other relevant considerations include whether the effect of granting interim relief would merely be to maintain the </w:t>
      </w:r>
      <w:r w:rsidRPr="00EE4CE1">
        <w:rPr>
          <w:rFonts w:ascii="Arial" w:hAnsi="Arial" w:cs="Arial"/>
          <w:i/>
          <w:sz w:val="22"/>
          <w:szCs w:val="22"/>
        </w:rPr>
        <w:t>status quo</w:t>
      </w:r>
      <w:r w:rsidRPr="00653948">
        <w:rPr>
          <w:rFonts w:ascii="Arial" w:hAnsi="Arial" w:cs="Arial"/>
          <w:sz w:val="22"/>
          <w:szCs w:val="22"/>
        </w:rPr>
        <w:t>, and the extent to which the claimant is seeking to impose positive, and burdensome, obligations upon the defendant (</w:t>
      </w:r>
      <w:r w:rsidRPr="00A55693">
        <w:rPr>
          <w:rFonts w:ascii="Arial" w:hAnsi="Arial" w:cs="Arial"/>
          <w:b/>
          <w:i/>
          <w:sz w:val="22"/>
          <w:szCs w:val="22"/>
        </w:rPr>
        <w:t>Francis v Kensington &amp; Chelsea RLBC</w:t>
      </w:r>
      <w:r w:rsidRPr="00653948">
        <w:rPr>
          <w:rFonts w:ascii="Arial" w:hAnsi="Arial" w:cs="Arial"/>
          <w:i/>
          <w:sz w:val="22"/>
          <w:szCs w:val="22"/>
        </w:rPr>
        <w:t xml:space="preserve"> </w:t>
      </w:r>
      <w:r w:rsidRPr="00653948">
        <w:rPr>
          <w:rFonts w:ascii="Arial" w:hAnsi="Arial" w:cs="Arial"/>
          <w:sz w:val="22"/>
          <w:szCs w:val="22"/>
        </w:rPr>
        <w:t>[</w:t>
      </w:r>
      <w:r w:rsidR="00A55693">
        <w:rPr>
          <w:rFonts w:ascii="Arial" w:hAnsi="Arial" w:cs="Arial"/>
          <w:sz w:val="22"/>
          <w:szCs w:val="22"/>
        </w:rPr>
        <w:t>2003] EWCA Civ 443, [2003] 1 WLR 2248</w:t>
      </w:r>
      <w:r w:rsidRPr="00653948">
        <w:rPr>
          <w:rFonts w:ascii="Arial" w:hAnsi="Arial" w:cs="Arial"/>
          <w:sz w:val="22"/>
          <w:szCs w:val="22"/>
        </w:rPr>
        <w:t>).  It will not usually be appropriate to grant interim relief when the practical result of doing so would be to pre-empt the substantive outcome of the judicial review.</w:t>
      </w:r>
    </w:p>
    <w:p w14:paraId="79E534A6" w14:textId="77777777" w:rsidR="00EB5785" w:rsidRPr="00653948" w:rsidRDefault="00EB5785" w:rsidP="00EB5785">
      <w:pPr>
        <w:pStyle w:val="BodyText"/>
        <w:spacing w:line="240" w:lineRule="auto"/>
        <w:ind w:left="720"/>
        <w:rPr>
          <w:rFonts w:ascii="Arial" w:hAnsi="Arial" w:cs="Arial"/>
          <w:sz w:val="22"/>
          <w:szCs w:val="22"/>
        </w:rPr>
      </w:pPr>
    </w:p>
    <w:p w14:paraId="6921CE3F" w14:textId="0846377E"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In reality, the outcome of many applications for interim relief will turn upon three key factors.  How strong does the claim appear to be?  Will the defendant suffer real prejudice through the </w:t>
      </w:r>
      <w:r w:rsidRPr="00653948">
        <w:rPr>
          <w:rFonts w:ascii="Arial" w:hAnsi="Arial" w:cs="Arial"/>
          <w:sz w:val="22"/>
          <w:szCs w:val="22"/>
        </w:rPr>
        <w:lastRenderedPageBreak/>
        <w:t>grant of interim relief?  Will the claimant suffer real harm if it is refused?  In cases where the issue is the personal welfare of an individual pending the hearing, interim relief will not very often be refused if the case appears reasonably strong.  Where less pressing interests are at stake, the result may be different, especially if the claimant has not acted very promptly. A</w:t>
      </w:r>
      <w:r w:rsidR="00EE4CE1">
        <w:rPr>
          <w:rFonts w:ascii="Arial" w:hAnsi="Arial" w:cs="Arial"/>
          <w:sz w:val="22"/>
          <w:szCs w:val="22"/>
        </w:rPr>
        <w:t xml:space="preserve">n </w:t>
      </w:r>
      <w:r w:rsidRPr="00653948">
        <w:rPr>
          <w:rFonts w:ascii="Arial" w:hAnsi="Arial" w:cs="Arial"/>
          <w:sz w:val="22"/>
          <w:szCs w:val="22"/>
        </w:rPr>
        <w:t xml:space="preserve">example is the decision of Lewis J in </w:t>
      </w:r>
      <w:r w:rsidRPr="00A55693">
        <w:rPr>
          <w:rFonts w:ascii="Arial" w:hAnsi="Arial" w:cs="Arial"/>
          <w:b/>
          <w:i/>
          <w:sz w:val="22"/>
          <w:szCs w:val="22"/>
        </w:rPr>
        <w:t>R (Unison) v Lord Chancellor</w:t>
      </w:r>
      <w:r w:rsidRPr="00653948">
        <w:rPr>
          <w:rFonts w:ascii="Arial" w:hAnsi="Arial" w:cs="Arial"/>
          <w:i/>
          <w:sz w:val="22"/>
          <w:szCs w:val="22"/>
        </w:rPr>
        <w:t xml:space="preserve"> </w:t>
      </w:r>
      <w:r w:rsidRPr="00653948">
        <w:rPr>
          <w:rFonts w:ascii="Arial" w:hAnsi="Arial" w:cs="Arial"/>
          <w:sz w:val="22"/>
          <w:szCs w:val="22"/>
        </w:rPr>
        <w:t>[2013] EWHC 2858 (Admin), where permission was granted to apply for judicial review of the lawfulness of the new fees for proceedings in the employment tribunal and the EAT. However, Lewis J refused the application for interim relief. He held that:-</w:t>
      </w:r>
    </w:p>
    <w:p w14:paraId="50F23029" w14:textId="77777777" w:rsidR="00EB5785" w:rsidRPr="00653948" w:rsidRDefault="00EB5785" w:rsidP="00EB5785">
      <w:pPr>
        <w:pStyle w:val="BodyText"/>
        <w:spacing w:line="240" w:lineRule="auto"/>
        <w:rPr>
          <w:rFonts w:ascii="Arial" w:hAnsi="Arial" w:cs="Arial"/>
          <w:sz w:val="22"/>
          <w:szCs w:val="22"/>
        </w:rPr>
      </w:pPr>
    </w:p>
    <w:p w14:paraId="6325E1CE" w14:textId="77777777" w:rsidR="00EE4CE1" w:rsidRDefault="00EB5785" w:rsidP="00C10D1E">
      <w:pPr>
        <w:pStyle w:val="BodyText"/>
        <w:numPr>
          <w:ilvl w:val="0"/>
          <w:numId w:val="41"/>
        </w:numPr>
        <w:spacing w:line="240" w:lineRule="auto"/>
        <w:ind w:left="720"/>
        <w:rPr>
          <w:rFonts w:ascii="Arial" w:hAnsi="Arial" w:cs="Arial"/>
          <w:sz w:val="22"/>
          <w:szCs w:val="22"/>
        </w:rPr>
      </w:pPr>
      <w:r w:rsidRPr="00653948">
        <w:rPr>
          <w:rFonts w:ascii="Arial" w:hAnsi="Arial" w:cs="Arial"/>
          <w:sz w:val="22"/>
          <w:szCs w:val="22"/>
        </w:rPr>
        <w:t>Unison had satisfied the criteria that there had to be a serious issu</w:t>
      </w:r>
      <w:r w:rsidR="00EE4CE1">
        <w:rPr>
          <w:rFonts w:ascii="Arial" w:hAnsi="Arial" w:cs="Arial"/>
          <w:sz w:val="22"/>
          <w:szCs w:val="22"/>
        </w:rPr>
        <w:t>e to be tried.</w:t>
      </w:r>
    </w:p>
    <w:p w14:paraId="762E7699" w14:textId="7B0AA9ED" w:rsidR="00EB5785" w:rsidRPr="00653948" w:rsidRDefault="00EB5785" w:rsidP="00C10D1E">
      <w:pPr>
        <w:pStyle w:val="BodyText"/>
        <w:spacing w:line="240" w:lineRule="auto"/>
        <w:ind w:left="720"/>
        <w:rPr>
          <w:rFonts w:ascii="Arial" w:hAnsi="Arial" w:cs="Arial"/>
          <w:sz w:val="22"/>
          <w:szCs w:val="22"/>
        </w:rPr>
      </w:pPr>
      <w:r w:rsidRPr="00653948">
        <w:rPr>
          <w:rFonts w:ascii="Arial" w:hAnsi="Arial" w:cs="Arial"/>
          <w:sz w:val="22"/>
          <w:szCs w:val="22"/>
        </w:rPr>
        <w:t xml:space="preserve"> </w:t>
      </w:r>
    </w:p>
    <w:p w14:paraId="6F88C663" w14:textId="144F2AAB" w:rsidR="00EB5785" w:rsidRDefault="00EB5785" w:rsidP="00C10D1E">
      <w:pPr>
        <w:pStyle w:val="BodyText"/>
        <w:numPr>
          <w:ilvl w:val="0"/>
          <w:numId w:val="41"/>
        </w:numPr>
        <w:spacing w:line="240" w:lineRule="auto"/>
        <w:ind w:left="720"/>
        <w:rPr>
          <w:rFonts w:ascii="Arial" w:hAnsi="Arial" w:cs="Arial"/>
          <w:sz w:val="22"/>
          <w:szCs w:val="22"/>
        </w:rPr>
      </w:pPr>
      <w:r w:rsidRPr="00653948">
        <w:rPr>
          <w:rFonts w:ascii="Arial" w:hAnsi="Arial" w:cs="Arial"/>
          <w:sz w:val="22"/>
          <w:szCs w:val="22"/>
        </w:rPr>
        <w:t xml:space="preserve">The question of whether damages were an adequate remedy did not assist in a public law case where the focus was on the legality of a decision or legislation. </w:t>
      </w:r>
    </w:p>
    <w:p w14:paraId="3346E6E7" w14:textId="77777777" w:rsidR="00EE4CE1" w:rsidRDefault="00EE4CE1" w:rsidP="00C10D1E">
      <w:pPr>
        <w:pStyle w:val="ListParagraph"/>
        <w:ind w:left="360"/>
        <w:rPr>
          <w:rFonts w:ascii="Arial" w:hAnsi="Arial" w:cs="Arial"/>
          <w:sz w:val="22"/>
          <w:szCs w:val="22"/>
        </w:rPr>
      </w:pPr>
    </w:p>
    <w:p w14:paraId="6D2FB913" w14:textId="7B1B06F5" w:rsidR="00EB5785" w:rsidRDefault="00EB5785" w:rsidP="00C10D1E">
      <w:pPr>
        <w:pStyle w:val="BodyText"/>
        <w:numPr>
          <w:ilvl w:val="0"/>
          <w:numId w:val="41"/>
        </w:numPr>
        <w:spacing w:line="240" w:lineRule="auto"/>
        <w:ind w:left="720"/>
        <w:rPr>
          <w:rFonts w:ascii="Arial" w:hAnsi="Arial" w:cs="Arial"/>
          <w:sz w:val="22"/>
          <w:szCs w:val="22"/>
        </w:rPr>
      </w:pPr>
      <w:r w:rsidRPr="00653948">
        <w:rPr>
          <w:rFonts w:ascii="Arial" w:hAnsi="Arial" w:cs="Arial"/>
          <w:sz w:val="22"/>
          <w:szCs w:val="22"/>
        </w:rPr>
        <w:t>It is important to bear in mind the wider public interest as well as the interests of the parties.</w:t>
      </w:r>
    </w:p>
    <w:p w14:paraId="5A2FBEEB" w14:textId="77777777" w:rsidR="00EE4CE1" w:rsidRDefault="00EE4CE1" w:rsidP="00C10D1E">
      <w:pPr>
        <w:pStyle w:val="ListParagraph"/>
        <w:ind w:left="360"/>
        <w:rPr>
          <w:rFonts w:ascii="Arial" w:hAnsi="Arial" w:cs="Arial"/>
          <w:sz w:val="22"/>
          <w:szCs w:val="22"/>
        </w:rPr>
      </w:pPr>
    </w:p>
    <w:p w14:paraId="5ADC0A82" w14:textId="5A9E7729" w:rsidR="00EB5785" w:rsidRPr="00653948" w:rsidRDefault="00EB5785" w:rsidP="00C10D1E">
      <w:pPr>
        <w:pStyle w:val="BodyText"/>
        <w:numPr>
          <w:ilvl w:val="0"/>
          <w:numId w:val="41"/>
        </w:numPr>
        <w:spacing w:line="240" w:lineRule="auto"/>
        <w:ind w:left="720"/>
        <w:rPr>
          <w:rFonts w:ascii="Arial" w:hAnsi="Arial" w:cs="Arial"/>
          <w:sz w:val="22"/>
          <w:szCs w:val="22"/>
        </w:rPr>
      </w:pPr>
      <w:r w:rsidRPr="00653948">
        <w:rPr>
          <w:rFonts w:ascii="Arial" w:hAnsi="Arial" w:cs="Arial"/>
          <w:sz w:val="22"/>
          <w:szCs w:val="22"/>
        </w:rPr>
        <w:t>If the fee regime were stayed and was later held to be lawful, the defendant would not realistically be able to recover most of the fees that should have been paid. The fees order recognised the interests of those most economically vulnerable, and the remission arrangements were such that if someone could not actually pay the fee, they would not be required to do so. If people paid the fees and the order was held to be unlawful, the fees would be repaid. The balance of convenience therefore favoured refusing interim relief.</w:t>
      </w:r>
      <w:r w:rsidR="009436AB">
        <w:rPr>
          <w:rStyle w:val="FootnoteReference"/>
          <w:rFonts w:ascii="Arial" w:hAnsi="Arial" w:cs="Arial"/>
          <w:sz w:val="22"/>
          <w:szCs w:val="22"/>
        </w:rPr>
        <w:footnoteReference w:id="19"/>
      </w:r>
      <w:r w:rsidRPr="00653948">
        <w:rPr>
          <w:rFonts w:ascii="Arial" w:hAnsi="Arial" w:cs="Arial"/>
          <w:sz w:val="22"/>
          <w:szCs w:val="22"/>
        </w:rPr>
        <w:t xml:space="preserve"> </w:t>
      </w:r>
    </w:p>
    <w:p w14:paraId="468BF9C3" w14:textId="77777777" w:rsidR="00EB5785" w:rsidRPr="00653948" w:rsidRDefault="00EB5785" w:rsidP="00C10D1E">
      <w:pPr>
        <w:pStyle w:val="BodyText"/>
        <w:spacing w:line="240" w:lineRule="auto"/>
        <w:rPr>
          <w:rFonts w:ascii="Arial" w:hAnsi="Arial" w:cs="Arial"/>
          <w:sz w:val="22"/>
          <w:szCs w:val="22"/>
        </w:rPr>
      </w:pPr>
    </w:p>
    <w:p w14:paraId="02F99432" w14:textId="77777777" w:rsidR="00EB5785" w:rsidRPr="00653948" w:rsidRDefault="00EB5785" w:rsidP="00EB5785">
      <w:pPr>
        <w:pStyle w:val="BodyText"/>
        <w:spacing w:line="240" w:lineRule="auto"/>
        <w:rPr>
          <w:rFonts w:ascii="Arial" w:hAnsi="Arial" w:cs="Arial"/>
          <w:sz w:val="22"/>
          <w:szCs w:val="22"/>
        </w:rPr>
      </w:pPr>
    </w:p>
    <w:p w14:paraId="3BB6FA49" w14:textId="77777777" w:rsidR="00EB5785" w:rsidRPr="00653948" w:rsidRDefault="00EB5785" w:rsidP="00EB5785">
      <w:pPr>
        <w:pStyle w:val="BodyText"/>
        <w:spacing w:line="240" w:lineRule="auto"/>
        <w:rPr>
          <w:rFonts w:ascii="Arial" w:hAnsi="Arial" w:cs="Arial"/>
          <w:b/>
          <w:sz w:val="22"/>
          <w:szCs w:val="22"/>
        </w:rPr>
      </w:pPr>
      <w:r w:rsidRPr="00653948">
        <w:rPr>
          <w:rFonts w:ascii="Arial" w:hAnsi="Arial" w:cs="Arial"/>
          <w:b/>
          <w:sz w:val="22"/>
          <w:szCs w:val="22"/>
        </w:rPr>
        <w:t>(8) Immigration Cases</w:t>
      </w:r>
    </w:p>
    <w:p w14:paraId="75AC9E3B" w14:textId="77777777" w:rsidR="00EB5785" w:rsidRPr="00653948" w:rsidRDefault="00EB5785" w:rsidP="00EB5785">
      <w:pPr>
        <w:pStyle w:val="BodyText"/>
        <w:spacing w:line="240" w:lineRule="auto"/>
        <w:rPr>
          <w:rFonts w:ascii="Arial" w:hAnsi="Arial" w:cs="Arial"/>
          <w:b/>
          <w:sz w:val="22"/>
          <w:szCs w:val="22"/>
        </w:rPr>
      </w:pPr>
    </w:p>
    <w:p w14:paraId="7A3F3ADC" w14:textId="77777777"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Finally, it is important to note some differences that apply in immigration proceedings. </w:t>
      </w:r>
    </w:p>
    <w:p w14:paraId="66C20CD2" w14:textId="77777777" w:rsidR="00EB5785" w:rsidRPr="00653948" w:rsidRDefault="00EB5785" w:rsidP="00EB5785">
      <w:pPr>
        <w:pStyle w:val="BodyText"/>
        <w:spacing w:line="240" w:lineRule="auto"/>
        <w:ind w:left="720"/>
        <w:rPr>
          <w:rFonts w:ascii="Arial" w:hAnsi="Arial" w:cs="Arial"/>
          <w:sz w:val="22"/>
          <w:szCs w:val="22"/>
        </w:rPr>
      </w:pPr>
    </w:p>
    <w:p w14:paraId="3D72BAB7" w14:textId="03C716EC"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 xml:space="preserve">Section II of PD54A deals with applications for permission to apply for judicial review in immigration and asylum cases where the claimant is challenging removal directions before being removed. It imposes additional requirements, such as requiring </w:t>
      </w:r>
      <w:r w:rsidR="00A55693" w:rsidRPr="00653948">
        <w:rPr>
          <w:rFonts w:ascii="Arial" w:hAnsi="Arial" w:cs="Arial"/>
          <w:sz w:val="22"/>
          <w:szCs w:val="22"/>
        </w:rPr>
        <w:t xml:space="preserve">to be filed with the claim form </w:t>
      </w:r>
      <w:r w:rsidRPr="00653948">
        <w:rPr>
          <w:rFonts w:ascii="Arial" w:hAnsi="Arial" w:cs="Arial"/>
          <w:sz w:val="22"/>
          <w:szCs w:val="22"/>
        </w:rPr>
        <w:t>a copy of the removal directions, any document served with the removal directions, and the UKBA’s</w:t>
      </w:r>
      <w:r w:rsidR="00A55693">
        <w:rPr>
          <w:rStyle w:val="FootnoteReference"/>
          <w:rFonts w:ascii="Arial" w:hAnsi="Arial" w:cs="Arial"/>
          <w:sz w:val="22"/>
          <w:szCs w:val="22"/>
        </w:rPr>
        <w:footnoteReference w:id="20"/>
      </w:r>
      <w:r w:rsidRPr="00653948">
        <w:rPr>
          <w:rFonts w:ascii="Arial" w:hAnsi="Arial" w:cs="Arial"/>
          <w:sz w:val="22"/>
          <w:szCs w:val="22"/>
        </w:rPr>
        <w:t xml:space="preserve"> factual summary of the case. If a detailed statement of grounds cannot be provided (because of the shortage of time) it must be accompanied with a statement of the reasons why these are not provided. Immediately upon issuing the claim, the claimant must send copies of the claim form and accompanying do</w:t>
      </w:r>
      <w:r w:rsidR="00EE4CE1">
        <w:rPr>
          <w:rFonts w:ascii="Arial" w:hAnsi="Arial" w:cs="Arial"/>
          <w:sz w:val="22"/>
          <w:szCs w:val="22"/>
        </w:rPr>
        <w:t xml:space="preserve">cuments to UKBA (as well as </w:t>
      </w:r>
      <w:r w:rsidR="00C10D1E">
        <w:rPr>
          <w:rFonts w:ascii="Arial" w:hAnsi="Arial" w:cs="Arial"/>
          <w:sz w:val="22"/>
          <w:szCs w:val="22"/>
        </w:rPr>
        <w:t xml:space="preserve">the </w:t>
      </w:r>
      <w:r w:rsidR="00EE4CE1">
        <w:rPr>
          <w:rFonts w:ascii="Arial" w:hAnsi="Arial" w:cs="Arial"/>
          <w:sz w:val="22"/>
          <w:szCs w:val="22"/>
        </w:rPr>
        <w:t>Treasury Solicitor, i.e. the GLD</w:t>
      </w:r>
      <w:r w:rsidRPr="00653948">
        <w:rPr>
          <w:rFonts w:ascii="Arial" w:hAnsi="Arial" w:cs="Arial"/>
          <w:sz w:val="22"/>
          <w:szCs w:val="22"/>
        </w:rPr>
        <w:t xml:space="preserve">). </w:t>
      </w:r>
    </w:p>
    <w:p w14:paraId="7571E3EE" w14:textId="77777777" w:rsidR="00EB5785" w:rsidRPr="00653948" w:rsidRDefault="00EB5785" w:rsidP="00EB5785">
      <w:pPr>
        <w:pStyle w:val="BodyText"/>
        <w:spacing w:line="240" w:lineRule="auto"/>
        <w:rPr>
          <w:rFonts w:ascii="Arial" w:hAnsi="Arial" w:cs="Arial"/>
          <w:sz w:val="22"/>
          <w:szCs w:val="22"/>
        </w:rPr>
      </w:pPr>
    </w:p>
    <w:p w14:paraId="2D421F6B" w14:textId="69E32D25"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Further, from 17 October 2011, the Lord Chief Justice directed that challenges to decisions by the Secretary of State for the Home Department not to treat further representations as a fresh asylum claim or human rights claim under paragraph 353 of the Immigrati</w:t>
      </w:r>
      <w:r>
        <w:rPr>
          <w:rFonts w:ascii="Arial" w:hAnsi="Arial" w:cs="Arial"/>
          <w:sz w:val="22"/>
          <w:szCs w:val="22"/>
        </w:rPr>
        <w:t>on Rules are</w:t>
      </w:r>
      <w:r w:rsidRPr="00653948">
        <w:rPr>
          <w:rFonts w:ascii="Arial" w:hAnsi="Arial" w:cs="Arial"/>
          <w:sz w:val="22"/>
          <w:szCs w:val="22"/>
        </w:rPr>
        <w:t xml:space="preserve"> transferred to the Upper Tribunal </w:t>
      </w:r>
      <w:r w:rsidR="00A55693">
        <w:rPr>
          <w:rFonts w:ascii="Arial" w:hAnsi="Arial" w:cs="Arial"/>
          <w:sz w:val="22"/>
          <w:szCs w:val="22"/>
        </w:rPr>
        <w:t xml:space="preserve">(Immigration and Asylum Chamber) </w:t>
      </w:r>
      <w:r w:rsidRPr="00653948">
        <w:rPr>
          <w:rFonts w:ascii="Arial" w:hAnsi="Arial" w:cs="Arial"/>
          <w:sz w:val="22"/>
          <w:szCs w:val="22"/>
        </w:rPr>
        <w:t>for determination. The direction was made under section 15 and 18 of the Tribunals, Courts and Enforcement Act 2007. The Upper Tribunal then exercises its statutory jurisdiction which is the equivalent of the judicial review jurisdiction of the Administrative Court. On 21 August 2013, the Lord Chief Justice made a further direction, transferring the vast majority of all immigration claims to the Upper Tribunal for determination</w:t>
      </w:r>
      <w:r w:rsidR="00A55693">
        <w:rPr>
          <w:rFonts w:ascii="Arial" w:hAnsi="Arial" w:cs="Arial"/>
          <w:sz w:val="22"/>
          <w:szCs w:val="22"/>
        </w:rPr>
        <w:t>.</w:t>
      </w:r>
      <w:r w:rsidRPr="00653948">
        <w:rPr>
          <w:rStyle w:val="FootnoteReference"/>
          <w:rFonts w:ascii="Arial" w:hAnsi="Arial" w:cs="Arial"/>
          <w:sz w:val="22"/>
          <w:szCs w:val="22"/>
        </w:rPr>
        <w:footnoteReference w:id="21"/>
      </w:r>
      <w:r w:rsidRPr="00653948">
        <w:rPr>
          <w:rFonts w:ascii="Arial" w:hAnsi="Arial" w:cs="Arial"/>
          <w:sz w:val="22"/>
          <w:szCs w:val="22"/>
        </w:rPr>
        <w:t xml:space="preserve"> Any application for permission to apply for judicial review </w:t>
      </w:r>
      <w:r w:rsidRPr="00653948">
        <w:rPr>
          <w:rFonts w:ascii="Arial" w:hAnsi="Arial" w:cs="Arial"/>
          <w:sz w:val="22"/>
          <w:szCs w:val="22"/>
        </w:rPr>
        <w:lastRenderedPageBreak/>
        <w:t>and any application for judicial review that calls into question</w:t>
      </w:r>
      <w:r w:rsidR="00EE4CE1">
        <w:rPr>
          <w:rFonts w:ascii="Arial" w:hAnsi="Arial" w:cs="Arial"/>
          <w:sz w:val="22"/>
          <w:szCs w:val="22"/>
        </w:rPr>
        <w:t>:</w:t>
      </w:r>
      <w:r w:rsidRPr="00653948">
        <w:rPr>
          <w:rFonts w:ascii="Arial" w:hAnsi="Arial" w:cs="Arial"/>
          <w:sz w:val="22"/>
          <w:szCs w:val="22"/>
        </w:rPr>
        <w:t xml:space="preserve"> (i) a decision made under the Immigration Acts, or any instrument having effect under an enactment within the Immigration Acts, or otherwise relating to leave to enter or remain in the United Kingdom outside the immigration rules; or (ii) a decision of the Immigration and Asylum Chamber of the FTT, from which no appeal lies to the Upper Tribunal, is transferred to the Upper Tribunal from 1 November 2013. Applications for permission lodged after 9 September 2013, incl</w:t>
      </w:r>
      <w:r w:rsidR="00EE4CE1">
        <w:rPr>
          <w:rFonts w:ascii="Arial" w:hAnsi="Arial" w:cs="Arial"/>
          <w:sz w:val="22"/>
          <w:szCs w:val="22"/>
        </w:rPr>
        <w:t>uding those where permission had</w:t>
      </w:r>
      <w:r w:rsidRPr="00653948">
        <w:rPr>
          <w:rFonts w:ascii="Arial" w:hAnsi="Arial" w:cs="Arial"/>
          <w:sz w:val="22"/>
          <w:szCs w:val="22"/>
        </w:rPr>
        <w:t xml:space="preserve"> been refused on the papers and or</w:t>
      </w:r>
      <w:r>
        <w:rPr>
          <w:rFonts w:ascii="Arial" w:hAnsi="Arial" w:cs="Arial"/>
          <w:sz w:val="22"/>
          <w:szCs w:val="22"/>
        </w:rPr>
        <w:t xml:space="preserve">al renewal </w:t>
      </w:r>
      <w:r w:rsidR="00EE4CE1">
        <w:rPr>
          <w:rFonts w:ascii="Arial" w:hAnsi="Arial" w:cs="Arial"/>
          <w:sz w:val="22"/>
          <w:szCs w:val="22"/>
        </w:rPr>
        <w:t>was pending, we</w:t>
      </w:r>
      <w:r>
        <w:rPr>
          <w:rFonts w:ascii="Arial" w:hAnsi="Arial" w:cs="Arial"/>
          <w:sz w:val="22"/>
          <w:szCs w:val="22"/>
        </w:rPr>
        <w:t>re</w:t>
      </w:r>
      <w:r w:rsidRPr="00653948">
        <w:rPr>
          <w:rFonts w:ascii="Arial" w:hAnsi="Arial" w:cs="Arial"/>
          <w:sz w:val="22"/>
          <w:szCs w:val="22"/>
        </w:rPr>
        <w:t xml:space="preserve"> transferred. </w:t>
      </w:r>
      <w:r w:rsidR="00616029">
        <w:rPr>
          <w:rFonts w:ascii="Arial" w:hAnsi="Arial" w:cs="Arial"/>
          <w:sz w:val="22"/>
          <w:szCs w:val="22"/>
        </w:rPr>
        <w:t xml:space="preserve">Where the conditions for transfer under SCA 1981 s.31A are satisfied then transfer must take place: see </w:t>
      </w:r>
      <w:r w:rsidR="00616029" w:rsidRPr="00A55693">
        <w:rPr>
          <w:rFonts w:ascii="Arial" w:hAnsi="Arial" w:cs="Arial"/>
          <w:b/>
          <w:i/>
          <w:sz w:val="22"/>
          <w:szCs w:val="22"/>
        </w:rPr>
        <w:t>R (Huang) v Secretary of State for the Home Department</w:t>
      </w:r>
      <w:r w:rsidR="00616029">
        <w:rPr>
          <w:rFonts w:ascii="Arial" w:hAnsi="Arial" w:cs="Arial"/>
          <w:sz w:val="22"/>
          <w:szCs w:val="22"/>
        </w:rPr>
        <w:t xml:space="preserve"> [2015] UKUT 662 (IAC)</w:t>
      </w:r>
      <w:r w:rsidR="00A55693">
        <w:rPr>
          <w:rFonts w:ascii="Arial" w:hAnsi="Arial" w:cs="Arial"/>
          <w:sz w:val="22"/>
          <w:szCs w:val="22"/>
        </w:rPr>
        <w:t>, [2016] Imm AR 299</w:t>
      </w:r>
      <w:r w:rsidR="00616029">
        <w:rPr>
          <w:rFonts w:ascii="Arial" w:hAnsi="Arial" w:cs="Arial"/>
          <w:sz w:val="22"/>
          <w:szCs w:val="22"/>
        </w:rPr>
        <w:t>.</w:t>
      </w:r>
    </w:p>
    <w:p w14:paraId="5CBC0C62" w14:textId="77777777" w:rsidR="00EB5785" w:rsidRPr="00653948" w:rsidRDefault="00EB5785" w:rsidP="00EB5785">
      <w:pPr>
        <w:pStyle w:val="BodyText"/>
        <w:spacing w:line="240" w:lineRule="auto"/>
        <w:ind w:left="720"/>
        <w:rPr>
          <w:rFonts w:ascii="Arial" w:hAnsi="Arial" w:cs="Arial"/>
          <w:sz w:val="22"/>
          <w:szCs w:val="22"/>
        </w:rPr>
      </w:pPr>
    </w:p>
    <w:p w14:paraId="3533F481" w14:textId="77777777"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The direction excludes certain categories of immigration judicial reviews, which will remain in the Administrative Court:-</w:t>
      </w:r>
    </w:p>
    <w:p w14:paraId="2537B7BB" w14:textId="77777777" w:rsidR="00EB5785" w:rsidRPr="00653948" w:rsidRDefault="00EB5785" w:rsidP="00EB5785">
      <w:pPr>
        <w:pStyle w:val="BodyText"/>
        <w:spacing w:line="240" w:lineRule="auto"/>
        <w:rPr>
          <w:rFonts w:ascii="Arial" w:hAnsi="Arial" w:cs="Arial"/>
          <w:sz w:val="22"/>
          <w:szCs w:val="22"/>
        </w:rPr>
      </w:pPr>
    </w:p>
    <w:p w14:paraId="31589762" w14:textId="796E5DE8" w:rsidR="00EE4CE1" w:rsidRDefault="00EB5785" w:rsidP="00757A4A">
      <w:pPr>
        <w:pStyle w:val="BodyText"/>
        <w:numPr>
          <w:ilvl w:val="0"/>
          <w:numId w:val="40"/>
        </w:numPr>
        <w:spacing w:line="240" w:lineRule="auto"/>
        <w:ind w:left="720"/>
        <w:rPr>
          <w:rFonts w:ascii="Arial" w:hAnsi="Arial" w:cs="Arial"/>
          <w:sz w:val="22"/>
          <w:szCs w:val="22"/>
        </w:rPr>
      </w:pPr>
      <w:r w:rsidRPr="00653948">
        <w:rPr>
          <w:rFonts w:ascii="Arial" w:hAnsi="Arial" w:cs="Arial"/>
          <w:sz w:val="22"/>
          <w:szCs w:val="22"/>
        </w:rPr>
        <w:t>challenges to the validity of legislation including immigration rules and including applications for declarations of incompatibility under the HRA</w:t>
      </w:r>
      <w:r w:rsidR="00A55693">
        <w:rPr>
          <w:rFonts w:ascii="Arial" w:hAnsi="Arial" w:cs="Arial"/>
          <w:sz w:val="22"/>
          <w:szCs w:val="22"/>
        </w:rPr>
        <w:t xml:space="preserve"> s.4</w:t>
      </w:r>
      <w:r w:rsidRPr="00653948">
        <w:rPr>
          <w:rFonts w:ascii="Arial" w:hAnsi="Arial" w:cs="Arial"/>
          <w:sz w:val="22"/>
          <w:szCs w:val="22"/>
        </w:rPr>
        <w:t>;</w:t>
      </w:r>
    </w:p>
    <w:p w14:paraId="6590439E" w14:textId="19B0DE9B" w:rsidR="00EB5785" w:rsidRPr="00653948" w:rsidRDefault="00EB5785" w:rsidP="00757A4A">
      <w:pPr>
        <w:pStyle w:val="BodyText"/>
        <w:spacing w:line="240" w:lineRule="auto"/>
        <w:ind w:left="720"/>
        <w:rPr>
          <w:rFonts w:ascii="Arial" w:hAnsi="Arial" w:cs="Arial"/>
          <w:sz w:val="22"/>
          <w:szCs w:val="22"/>
        </w:rPr>
      </w:pPr>
      <w:r w:rsidRPr="00653948">
        <w:rPr>
          <w:rFonts w:ascii="Arial" w:hAnsi="Arial" w:cs="Arial"/>
          <w:sz w:val="22"/>
          <w:szCs w:val="22"/>
        </w:rPr>
        <w:t xml:space="preserve"> </w:t>
      </w:r>
    </w:p>
    <w:p w14:paraId="6A7EF790" w14:textId="6A0A0400" w:rsidR="00EB5785" w:rsidRDefault="00EB5785" w:rsidP="00757A4A">
      <w:pPr>
        <w:pStyle w:val="BodyText"/>
        <w:numPr>
          <w:ilvl w:val="0"/>
          <w:numId w:val="40"/>
        </w:numPr>
        <w:spacing w:line="240" w:lineRule="auto"/>
        <w:ind w:left="720"/>
        <w:rPr>
          <w:rFonts w:ascii="Arial" w:hAnsi="Arial" w:cs="Arial"/>
          <w:sz w:val="22"/>
          <w:szCs w:val="22"/>
        </w:rPr>
      </w:pPr>
      <w:r w:rsidRPr="00653948">
        <w:rPr>
          <w:rFonts w:ascii="Arial" w:hAnsi="Arial" w:cs="Arial"/>
          <w:sz w:val="22"/>
          <w:szCs w:val="22"/>
        </w:rPr>
        <w:t xml:space="preserve">challenges to </w:t>
      </w:r>
      <w:r w:rsidR="00A55693">
        <w:rPr>
          <w:rFonts w:ascii="Arial" w:hAnsi="Arial" w:cs="Arial"/>
          <w:sz w:val="22"/>
          <w:szCs w:val="22"/>
        </w:rPr>
        <w:t xml:space="preserve">the </w:t>
      </w:r>
      <w:r w:rsidRPr="00653948">
        <w:rPr>
          <w:rFonts w:ascii="Arial" w:hAnsi="Arial" w:cs="Arial"/>
          <w:sz w:val="22"/>
          <w:szCs w:val="22"/>
        </w:rPr>
        <w:t xml:space="preserve">lawfulness of detention; </w:t>
      </w:r>
    </w:p>
    <w:p w14:paraId="673063AA" w14:textId="77777777" w:rsidR="00EE4CE1" w:rsidRDefault="00EE4CE1" w:rsidP="00757A4A">
      <w:pPr>
        <w:pStyle w:val="ListParagraph"/>
        <w:ind w:left="360"/>
        <w:rPr>
          <w:rFonts w:ascii="Arial" w:hAnsi="Arial" w:cs="Arial"/>
          <w:sz w:val="22"/>
          <w:szCs w:val="22"/>
        </w:rPr>
      </w:pPr>
    </w:p>
    <w:p w14:paraId="23EC301F" w14:textId="1D245DFA" w:rsidR="00EB5785" w:rsidRDefault="00EB5785" w:rsidP="00757A4A">
      <w:pPr>
        <w:pStyle w:val="BodyText"/>
        <w:numPr>
          <w:ilvl w:val="0"/>
          <w:numId w:val="40"/>
        </w:numPr>
        <w:spacing w:line="240" w:lineRule="auto"/>
        <w:ind w:left="720"/>
        <w:rPr>
          <w:rFonts w:ascii="Arial" w:hAnsi="Arial" w:cs="Arial"/>
          <w:sz w:val="22"/>
          <w:szCs w:val="22"/>
        </w:rPr>
      </w:pPr>
      <w:r w:rsidRPr="00653948">
        <w:rPr>
          <w:rFonts w:ascii="Arial" w:hAnsi="Arial" w:cs="Arial"/>
          <w:sz w:val="22"/>
          <w:szCs w:val="22"/>
        </w:rPr>
        <w:t xml:space="preserve">challenges regarding inclusion of sponsors on the register of sponsors; </w:t>
      </w:r>
    </w:p>
    <w:p w14:paraId="1969ADE8" w14:textId="77777777" w:rsidR="00EE4CE1" w:rsidRDefault="00EE4CE1" w:rsidP="00757A4A">
      <w:pPr>
        <w:pStyle w:val="ListParagraph"/>
        <w:ind w:left="360"/>
        <w:rPr>
          <w:rFonts w:ascii="Arial" w:hAnsi="Arial" w:cs="Arial"/>
          <w:sz w:val="22"/>
          <w:szCs w:val="22"/>
        </w:rPr>
      </w:pPr>
    </w:p>
    <w:p w14:paraId="36FEE2D0" w14:textId="7B52B56A" w:rsidR="00EB5785" w:rsidRDefault="00EB5785" w:rsidP="00757A4A">
      <w:pPr>
        <w:pStyle w:val="BodyText"/>
        <w:numPr>
          <w:ilvl w:val="0"/>
          <w:numId w:val="40"/>
        </w:numPr>
        <w:spacing w:line="240" w:lineRule="auto"/>
        <w:ind w:left="720"/>
        <w:rPr>
          <w:rFonts w:ascii="Arial" w:hAnsi="Arial" w:cs="Arial"/>
          <w:sz w:val="22"/>
          <w:szCs w:val="22"/>
        </w:rPr>
      </w:pPr>
      <w:r w:rsidRPr="00653948">
        <w:rPr>
          <w:rFonts w:ascii="Arial" w:hAnsi="Arial" w:cs="Arial"/>
          <w:sz w:val="22"/>
          <w:szCs w:val="22"/>
        </w:rPr>
        <w:t>nationality law and citizenship challenges</w:t>
      </w:r>
      <w:r w:rsidR="00EE4CE1">
        <w:rPr>
          <w:rFonts w:ascii="Arial" w:hAnsi="Arial" w:cs="Arial"/>
          <w:sz w:val="22"/>
          <w:szCs w:val="22"/>
        </w:rPr>
        <w:t>;</w:t>
      </w:r>
    </w:p>
    <w:p w14:paraId="503014F4" w14:textId="77777777" w:rsidR="00EE4CE1" w:rsidRDefault="00EE4CE1" w:rsidP="00757A4A">
      <w:pPr>
        <w:pStyle w:val="ListParagraph"/>
        <w:ind w:left="360"/>
        <w:rPr>
          <w:rFonts w:ascii="Arial" w:hAnsi="Arial" w:cs="Arial"/>
          <w:sz w:val="22"/>
          <w:szCs w:val="22"/>
        </w:rPr>
      </w:pPr>
    </w:p>
    <w:p w14:paraId="6B501F53" w14:textId="5F346882" w:rsidR="00EB5785" w:rsidRDefault="00EB5785" w:rsidP="00757A4A">
      <w:pPr>
        <w:pStyle w:val="BodyText"/>
        <w:numPr>
          <w:ilvl w:val="0"/>
          <w:numId w:val="40"/>
        </w:numPr>
        <w:spacing w:line="240" w:lineRule="auto"/>
        <w:ind w:left="720"/>
        <w:rPr>
          <w:rFonts w:ascii="Arial" w:hAnsi="Arial" w:cs="Arial"/>
          <w:sz w:val="22"/>
          <w:szCs w:val="22"/>
        </w:rPr>
      </w:pPr>
      <w:r w:rsidRPr="00653948">
        <w:rPr>
          <w:rFonts w:ascii="Arial" w:hAnsi="Arial" w:cs="Arial"/>
          <w:sz w:val="22"/>
          <w:szCs w:val="22"/>
        </w:rPr>
        <w:t>welfare support challenges</w:t>
      </w:r>
      <w:r w:rsidR="00EE4CE1">
        <w:rPr>
          <w:rFonts w:ascii="Arial" w:hAnsi="Arial" w:cs="Arial"/>
          <w:sz w:val="22"/>
          <w:szCs w:val="22"/>
        </w:rPr>
        <w:t>;</w:t>
      </w:r>
    </w:p>
    <w:p w14:paraId="02F0EA54" w14:textId="77777777" w:rsidR="00EE4CE1" w:rsidRDefault="00EE4CE1" w:rsidP="00757A4A">
      <w:pPr>
        <w:pStyle w:val="ListParagraph"/>
        <w:ind w:left="360"/>
        <w:rPr>
          <w:rFonts w:ascii="Arial" w:hAnsi="Arial" w:cs="Arial"/>
          <w:sz w:val="22"/>
          <w:szCs w:val="22"/>
        </w:rPr>
      </w:pPr>
    </w:p>
    <w:p w14:paraId="7BCEA437" w14:textId="1AA6485A" w:rsidR="00EB5785" w:rsidRPr="00653948" w:rsidRDefault="00EB5785" w:rsidP="00757A4A">
      <w:pPr>
        <w:pStyle w:val="BodyText"/>
        <w:numPr>
          <w:ilvl w:val="0"/>
          <w:numId w:val="40"/>
        </w:numPr>
        <w:spacing w:line="240" w:lineRule="auto"/>
        <w:ind w:left="720"/>
        <w:rPr>
          <w:rFonts w:ascii="Arial" w:hAnsi="Arial" w:cs="Arial"/>
          <w:sz w:val="22"/>
          <w:szCs w:val="22"/>
        </w:rPr>
      </w:pPr>
      <w:r w:rsidRPr="00653948">
        <w:rPr>
          <w:rFonts w:ascii="Arial" w:hAnsi="Arial" w:cs="Arial"/>
          <w:sz w:val="22"/>
          <w:szCs w:val="22"/>
        </w:rPr>
        <w:t>challenges to decisions of the Upper Tribunal or SIAC</w:t>
      </w:r>
      <w:r w:rsidR="00EE4CE1">
        <w:rPr>
          <w:rFonts w:ascii="Arial" w:hAnsi="Arial" w:cs="Arial"/>
          <w:sz w:val="22"/>
          <w:szCs w:val="22"/>
        </w:rPr>
        <w:t>.</w:t>
      </w:r>
    </w:p>
    <w:p w14:paraId="417ED5EE" w14:textId="77777777" w:rsidR="00EB5785" w:rsidRPr="00653948" w:rsidRDefault="00EB5785" w:rsidP="00EB5785">
      <w:pPr>
        <w:pStyle w:val="BodyText"/>
        <w:spacing w:line="240" w:lineRule="auto"/>
        <w:ind w:left="720"/>
        <w:rPr>
          <w:rFonts w:ascii="Arial" w:hAnsi="Arial" w:cs="Arial"/>
          <w:sz w:val="22"/>
          <w:szCs w:val="22"/>
        </w:rPr>
      </w:pPr>
    </w:p>
    <w:p w14:paraId="39E1E05B" w14:textId="517E6156" w:rsidR="00EB5785" w:rsidRPr="00653948" w:rsidRDefault="00EB5785" w:rsidP="00EB5785">
      <w:pPr>
        <w:pStyle w:val="BodyText"/>
        <w:numPr>
          <w:ilvl w:val="0"/>
          <w:numId w:val="34"/>
        </w:numPr>
        <w:spacing w:line="240" w:lineRule="auto"/>
        <w:rPr>
          <w:rFonts w:ascii="Arial" w:hAnsi="Arial" w:cs="Arial"/>
          <w:sz w:val="22"/>
          <w:szCs w:val="22"/>
        </w:rPr>
      </w:pPr>
      <w:r w:rsidRPr="00653948">
        <w:rPr>
          <w:rFonts w:ascii="Arial" w:hAnsi="Arial" w:cs="Arial"/>
          <w:sz w:val="22"/>
          <w:szCs w:val="22"/>
        </w:rPr>
        <w:t>Finally, the High Court also has the power to transfer judicial review cases of other kinds to the Upper Tribunal if it appears just and convenient to do so: see the SCA 1981</w:t>
      </w:r>
      <w:r w:rsidR="00EE4CE1">
        <w:rPr>
          <w:rFonts w:ascii="Arial" w:hAnsi="Arial" w:cs="Arial"/>
          <w:sz w:val="22"/>
          <w:szCs w:val="22"/>
        </w:rPr>
        <w:t xml:space="preserve"> s.</w:t>
      </w:r>
      <w:r w:rsidRPr="00653948">
        <w:rPr>
          <w:rFonts w:ascii="Arial" w:hAnsi="Arial" w:cs="Arial"/>
          <w:sz w:val="22"/>
          <w:szCs w:val="22"/>
        </w:rPr>
        <w:t>31A(3). The Court of Appeal has laid down a practice that when permission is granted in age assessment cases, those claims are transferred to the Upper Tribunal to be determined there</w:t>
      </w:r>
      <w:r>
        <w:rPr>
          <w:rFonts w:ascii="Arial" w:hAnsi="Arial" w:cs="Arial"/>
          <w:sz w:val="22"/>
          <w:szCs w:val="22"/>
        </w:rPr>
        <w:t xml:space="preserve">, see </w:t>
      </w:r>
      <w:r w:rsidRPr="00A55693">
        <w:rPr>
          <w:rFonts w:ascii="Arial" w:hAnsi="Arial" w:cs="Arial"/>
          <w:b/>
          <w:i/>
          <w:sz w:val="22"/>
          <w:szCs w:val="22"/>
        </w:rPr>
        <w:t>R (FZ) v London Borough of Croydon</w:t>
      </w:r>
      <w:r>
        <w:rPr>
          <w:rFonts w:ascii="Arial" w:hAnsi="Arial" w:cs="Arial"/>
          <w:i/>
          <w:sz w:val="22"/>
          <w:szCs w:val="22"/>
        </w:rPr>
        <w:t xml:space="preserve"> </w:t>
      </w:r>
      <w:r w:rsidR="00EE4CE1">
        <w:rPr>
          <w:rFonts w:ascii="Arial" w:hAnsi="Arial" w:cs="Arial"/>
          <w:sz w:val="22"/>
          <w:szCs w:val="22"/>
        </w:rPr>
        <w:t>[2011] EWCA C</w:t>
      </w:r>
      <w:r>
        <w:rPr>
          <w:rFonts w:ascii="Arial" w:hAnsi="Arial" w:cs="Arial"/>
          <w:sz w:val="22"/>
          <w:szCs w:val="22"/>
        </w:rPr>
        <w:t>iv 59</w:t>
      </w:r>
      <w:r w:rsidR="00A55693">
        <w:rPr>
          <w:rFonts w:ascii="Arial" w:hAnsi="Arial" w:cs="Arial"/>
          <w:sz w:val="22"/>
          <w:szCs w:val="22"/>
        </w:rPr>
        <w:t>, [2011] PTSR 748</w:t>
      </w:r>
      <w:r>
        <w:rPr>
          <w:rFonts w:ascii="Arial" w:hAnsi="Arial" w:cs="Arial"/>
          <w:sz w:val="22"/>
          <w:szCs w:val="22"/>
        </w:rPr>
        <w:t xml:space="preserve">, </w:t>
      </w:r>
      <w:r w:rsidR="00EE4CE1">
        <w:rPr>
          <w:rFonts w:ascii="Arial" w:hAnsi="Arial" w:cs="Arial"/>
          <w:sz w:val="22"/>
          <w:szCs w:val="22"/>
        </w:rPr>
        <w:t>at [</w:t>
      </w:r>
      <w:r>
        <w:rPr>
          <w:rFonts w:ascii="Arial" w:hAnsi="Arial" w:cs="Arial"/>
          <w:sz w:val="22"/>
          <w:szCs w:val="22"/>
        </w:rPr>
        <w:t>31</w:t>
      </w:r>
      <w:r w:rsidR="00EE4CE1">
        <w:rPr>
          <w:rFonts w:ascii="Arial" w:hAnsi="Arial" w:cs="Arial"/>
          <w:sz w:val="22"/>
          <w:szCs w:val="22"/>
        </w:rPr>
        <w:t>]</w:t>
      </w:r>
      <w:r w:rsidRPr="00653948">
        <w:rPr>
          <w:rFonts w:ascii="Arial" w:hAnsi="Arial" w:cs="Arial"/>
          <w:sz w:val="22"/>
          <w:szCs w:val="22"/>
        </w:rPr>
        <w:t>.</w:t>
      </w:r>
      <w:r w:rsidR="00757A4A">
        <w:rPr>
          <w:rStyle w:val="FootnoteReference"/>
          <w:rFonts w:ascii="Arial" w:hAnsi="Arial" w:cs="Arial"/>
          <w:sz w:val="22"/>
          <w:szCs w:val="22"/>
        </w:rPr>
        <w:footnoteReference w:id="22"/>
      </w:r>
      <w:r w:rsidRPr="00653948">
        <w:rPr>
          <w:rFonts w:ascii="Arial" w:hAnsi="Arial" w:cs="Arial"/>
          <w:sz w:val="22"/>
          <w:szCs w:val="22"/>
        </w:rPr>
        <w:t xml:space="preserve"> </w:t>
      </w:r>
    </w:p>
    <w:p w14:paraId="2968D52F" w14:textId="77777777" w:rsidR="00EB5785" w:rsidRPr="00653948" w:rsidRDefault="00EB5785" w:rsidP="00EB5785">
      <w:pPr>
        <w:pStyle w:val="BodyText"/>
        <w:spacing w:line="240" w:lineRule="auto"/>
        <w:rPr>
          <w:rFonts w:ascii="Arial" w:hAnsi="Arial" w:cs="Arial"/>
          <w:sz w:val="22"/>
          <w:szCs w:val="22"/>
        </w:rPr>
      </w:pPr>
    </w:p>
    <w:p w14:paraId="338530B9" w14:textId="491DD298" w:rsidR="00EB5785" w:rsidRPr="00653948" w:rsidRDefault="00A55693" w:rsidP="00EB5785">
      <w:pPr>
        <w:pStyle w:val="BodyText"/>
        <w:spacing w:line="240" w:lineRule="auto"/>
        <w:jc w:val="right"/>
        <w:rPr>
          <w:rFonts w:ascii="Arial" w:hAnsi="Arial" w:cs="Arial"/>
          <w:b/>
          <w:sz w:val="22"/>
          <w:szCs w:val="22"/>
        </w:rPr>
      </w:pPr>
      <w:r>
        <w:rPr>
          <w:rFonts w:ascii="Arial" w:hAnsi="Arial" w:cs="Arial"/>
          <w:b/>
          <w:sz w:val="22"/>
          <w:szCs w:val="22"/>
        </w:rPr>
        <w:t>October 2017</w:t>
      </w:r>
    </w:p>
    <w:p w14:paraId="17AAF736" w14:textId="77777777" w:rsidR="00EB5785" w:rsidRPr="00653948" w:rsidRDefault="00EB5785" w:rsidP="00EB5785">
      <w:pPr>
        <w:pStyle w:val="BodyText"/>
        <w:spacing w:line="240" w:lineRule="auto"/>
        <w:rPr>
          <w:rFonts w:ascii="Arial" w:hAnsi="Arial" w:cs="Arial"/>
          <w:sz w:val="22"/>
          <w:szCs w:val="22"/>
          <w:lang w:val="en-US"/>
        </w:rPr>
      </w:pPr>
    </w:p>
    <w:p w14:paraId="14DA8978" w14:textId="77777777" w:rsidR="00EB5785" w:rsidRPr="00653948" w:rsidRDefault="00EB5785" w:rsidP="00EB5785">
      <w:pPr>
        <w:pStyle w:val="BodyText"/>
        <w:spacing w:line="240" w:lineRule="auto"/>
        <w:rPr>
          <w:rFonts w:ascii="Arial" w:hAnsi="Arial" w:cs="Arial"/>
          <w:b/>
          <w:sz w:val="22"/>
          <w:szCs w:val="22"/>
        </w:rPr>
      </w:pPr>
    </w:p>
    <w:p w14:paraId="0759BE23" w14:textId="77777777" w:rsidR="00EB5785" w:rsidRDefault="00EB5785" w:rsidP="00080A9E"/>
    <w:sectPr w:rsidR="00EB5785" w:rsidSect="00E0748F">
      <w:headerReference w:type="default" r:id="rId11"/>
      <w:footerReference w:type="default" r:id="rId12"/>
      <w:headerReference w:type="first" r:id="rId13"/>
      <w:footerReference w:type="first" r:id="rId14"/>
      <w:type w:val="continuous"/>
      <w:pgSz w:w="11906" w:h="16838" w:code="9"/>
      <w:pgMar w:top="2013" w:right="1247" w:bottom="1247" w:left="124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516BD" w14:textId="77777777" w:rsidR="0044206E" w:rsidRDefault="0044206E" w:rsidP="0015629E">
      <w:pPr>
        <w:spacing w:line="240" w:lineRule="auto"/>
      </w:pPr>
      <w:r>
        <w:separator/>
      </w:r>
    </w:p>
  </w:endnote>
  <w:endnote w:type="continuationSeparator" w:id="0">
    <w:p w14:paraId="07F10E64" w14:textId="77777777" w:rsidR="0044206E" w:rsidRDefault="0044206E" w:rsidP="00156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646848"/>
      <w:docPartObj>
        <w:docPartGallery w:val="Page Numbers (Bottom of Page)"/>
        <w:docPartUnique/>
      </w:docPartObj>
    </w:sdtPr>
    <w:sdtEndPr>
      <w:rPr>
        <w:noProof/>
      </w:rPr>
    </w:sdtEndPr>
    <w:sdtContent>
      <w:p w14:paraId="462C11F1" w14:textId="3B9E38EE" w:rsidR="00080A77" w:rsidRDefault="00080A77">
        <w:pPr>
          <w:pStyle w:val="Footer"/>
          <w:jc w:val="right"/>
        </w:pPr>
        <w:r>
          <w:fldChar w:fldCharType="begin"/>
        </w:r>
        <w:r>
          <w:instrText xml:space="preserve"> PAGE   \* MERGEFORMAT </w:instrText>
        </w:r>
        <w:r>
          <w:fldChar w:fldCharType="separate"/>
        </w:r>
        <w:r w:rsidR="00CF481D">
          <w:rPr>
            <w:noProof/>
          </w:rPr>
          <w:t>1</w:t>
        </w:r>
        <w:r>
          <w:rPr>
            <w:noProof/>
          </w:rPr>
          <w:fldChar w:fldCharType="end"/>
        </w:r>
      </w:p>
    </w:sdtContent>
  </w:sdt>
  <w:p w14:paraId="462C11F2" w14:textId="77777777" w:rsidR="00080A77" w:rsidRDefault="00080A77" w:rsidP="00F46EA9">
    <w:pPr>
      <w:pStyle w:val="RuleThin"/>
    </w:pPr>
  </w:p>
  <w:p w14:paraId="462C11F3" w14:textId="77777777" w:rsidR="00080A77" w:rsidRDefault="00080A77" w:rsidP="00F46EA9">
    <w:pPr>
      <w:pStyle w:val="Footer"/>
    </w:pPr>
    <w:r>
      <w:t>11KBW</w:t>
    </w:r>
    <w:r>
      <w:tab/>
      <w:t>T +44 (0)20 7632 8500</w:t>
    </w:r>
    <w:r>
      <w:tab/>
      <w:t>DX: 368LDE</w:t>
    </w:r>
  </w:p>
  <w:p w14:paraId="462C11F4" w14:textId="77777777" w:rsidR="00080A77" w:rsidRDefault="00080A77" w:rsidP="00F46EA9">
    <w:pPr>
      <w:pStyle w:val="Footer"/>
    </w:pPr>
    <w:r>
      <w:t>11 King’s Bench Walk,</w:t>
    </w:r>
    <w:r>
      <w:tab/>
      <w:t>F +44 (0)20 7583 9123</w:t>
    </w:r>
    <w:r>
      <w:tab/>
      <w:t>Twitter: @11kbw</w:t>
    </w:r>
  </w:p>
  <w:p w14:paraId="462C11F5" w14:textId="7540F469" w:rsidR="00080A77" w:rsidRPr="00E0748F" w:rsidRDefault="00080A77" w:rsidP="00F46EA9">
    <w:pPr>
      <w:pStyle w:val="Footer"/>
    </w:pPr>
    <w:r>
      <w:t>Temple, London EC4Y 7EQ</w:t>
    </w:r>
    <w:r>
      <w:tab/>
      <w:t>James.Cornwell@11kbw.com</w:t>
    </w:r>
    <w:r>
      <w:tab/>
      <w:t>11kbw.com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11F7" w14:textId="77777777" w:rsidR="00080A77" w:rsidRDefault="00080A77" w:rsidP="0099786C">
    <w:pPr>
      <w:pStyle w:val="RuleThin"/>
    </w:pPr>
  </w:p>
  <w:p w14:paraId="462C11F8" w14:textId="77777777" w:rsidR="00080A77" w:rsidRDefault="00080A77" w:rsidP="0015629E">
    <w:pPr>
      <w:pStyle w:val="Footer"/>
    </w:pPr>
    <w:r>
      <w:t>11KBW</w:t>
    </w:r>
    <w:r>
      <w:tab/>
      <w:t>T +44 (0)20 7632 8500</w:t>
    </w:r>
    <w:r>
      <w:tab/>
      <w:t>DX: 368LDE</w:t>
    </w:r>
  </w:p>
  <w:p w14:paraId="462C11F9" w14:textId="77777777" w:rsidR="00080A77" w:rsidRDefault="00080A77" w:rsidP="0015629E">
    <w:pPr>
      <w:pStyle w:val="Footer"/>
    </w:pPr>
    <w:r>
      <w:t>11 King’s Bench Walk,</w:t>
    </w:r>
    <w:r>
      <w:tab/>
      <w:t>F +44 (0)20 7583 9123/3690</w:t>
    </w:r>
    <w:r>
      <w:tab/>
      <w:t>Twitter: @11kbw</w:t>
    </w:r>
  </w:p>
  <w:p w14:paraId="462C11FA" w14:textId="77777777" w:rsidR="00080A77" w:rsidRDefault="00080A77" w:rsidP="0015629E">
    <w:pPr>
      <w:pStyle w:val="Footer"/>
    </w:pPr>
    <w:r>
      <w:t>Temple, London EC4Y 7EQ</w:t>
    </w:r>
    <w:r>
      <w:tab/>
      <w:t>Clerksroom@11kbw.com</w:t>
    </w:r>
    <w:r>
      <w:tab/>
      <w:t>11kbw.com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AA483" w14:textId="77777777" w:rsidR="0044206E" w:rsidRDefault="0044206E" w:rsidP="0015629E">
      <w:pPr>
        <w:spacing w:line="240" w:lineRule="auto"/>
      </w:pPr>
      <w:r>
        <w:separator/>
      </w:r>
    </w:p>
  </w:footnote>
  <w:footnote w:type="continuationSeparator" w:id="0">
    <w:p w14:paraId="36A117B6" w14:textId="77777777" w:rsidR="0044206E" w:rsidRDefault="0044206E" w:rsidP="0015629E">
      <w:pPr>
        <w:spacing w:line="240" w:lineRule="auto"/>
      </w:pPr>
      <w:r>
        <w:continuationSeparator/>
      </w:r>
    </w:p>
  </w:footnote>
  <w:footnote w:id="1">
    <w:p w14:paraId="1ED87293" w14:textId="59337198" w:rsidR="00080A77" w:rsidRPr="00653948" w:rsidRDefault="00080A77"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See ss</w:t>
      </w:r>
      <w:r>
        <w:rPr>
          <w:rFonts w:ascii="Arial" w:hAnsi="Arial" w:cs="Arial"/>
          <w:sz w:val="18"/>
          <w:szCs w:val="18"/>
        </w:rPr>
        <w:t>.</w:t>
      </w:r>
      <w:r w:rsidRPr="00653948">
        <w:rPr>
          <w:rFonts w:ascii="Arial" w:hAnsi="Arial" w:cs="Arial"/>
          <w:sz w:val="18"/>
          <w:szCs w:val="18"/>
        </w:rPr>
        <w:t>15-18 of the Tribunals</w:t>
      </w:r>
      <w:r>
        <w:rPr>
          <w:rFonts w:ascii="Arial" w:hAnsi="Arial" w:cs="Arial"/>
          <w:sz w:val="18"/>
          <w:szCs w:val="18"/>
        </w:rPr>
        <w:t>,</w:t>
      </w:r>
      <w:r w:rsidRPr="00653948">
        <w:rPr>
          <w:rFonts w:ascii="Arial" w:hAnsi="Arial" w:cs="Arial"/>
          <w:sz w:val="18"/>
          <w:szCs w:val="18"/>
        </w:rPr>
        <w:t xml:space="preserve"> Courts and Enforcement Act 2007 and the directions specifying classes of case issued by the Lord Chie</w:t>
      </w:r>
      <w:r>
        <w:rPr>
          <w:rFonts w:ascii="Arial" w:hAnsi="Arial" w:cs="Arial"/>
          <w:sz w:val="18"/>
          <w:szCs w:val="18"/>
        </w:rPr>
        <w:t>f Justice for the purposes of s.</w:t>
      </w:r>
      <w:r w:rsidRPr="00653948">
        <w:rPr>
          <w:rFonts w:ascii="Arial" w:hAnsi="Arial" w:cs="Arial"/>
          <w:sz w:val="18"/>
          <w:szCs w:val="18"/>
        </w:rPr>
        <w:t>18(6).</w:t>
      </w:r>
    </w:p>
  </w:footnote>
  <w:footnote w:id="2">
    <w:p w14:paraId="70B02ACB" w14:textId="38371D50" w:rsidR="00080A77" w:rsidRPr="00653948" w:rsidRDefault="00080A77"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Pr>
          <w:rFonts w:ascii="Arial" w:hAnsi="Arial" w:cs="Arial"/>
          <w:sz w:val="18"/>
          <w:szCs w:val="18"/>
        </w:rPr>
        <w:t xml:space="preserve"> Or an injunction under SCA</w:t>
      </w:r>
      <w:r w:rsidRPr="00653948">
        <w:rPr>
          <w:rFonts w:ascii="Arial" w:hAnsi="Arial" w:cs="Arial"/>
          <w:sz w:val="18"/>
          <w:szCs w:val="18"/>
        </w:rPr>
        <w:t xml:space="preserve"> 1981</w:t>
      </w:r>
      <w:r>
        <w:rPr>
          <w:rFonts w:ascii="Arial" w:hAnsi="Arial" w:cs="Arial"/>
          <w:sz w:val="18"/>
          <w:szCs w:val="18"/>
        </w:rPr>
        <w:t xml:space="preserve"> s.30</w:t>
      </w:r>
      <w:r w:rsidRPr="00653948">
        <w:rPr>
          <w:rFonts w:ascii="Arial" w:hAnsi="Arial" w:cs="Arial"/>
          <w:sz w:val="18"/>
          <w:szCs w:val="18"/>
        </w:rPr>
        <w:t xml:space="preserve"> (to restrain person</w:t>
      </w:r>
      <w:r>
        <w:rPr>
          <w:rFonts w:ascii="Arial" w:hAnsi="Arial" w:cs="Arial"/>
          <w:sz w:val="18"/>
          <w:szCs w:val="18"/>
        </w:rPr>
        <w:t>s</w:t>
      </w:r>
      <w:r w:rsidRPr="00653948">
        <w:rPr>
          <w:rFonts w:ascii="Arial" w:hAnsi="Arial" w:cs="Arial"/>
          <w:sz w:val="18"/>
          <w:szCs w:val="18"/>
        </w:rPr>
        <w:t xml:space="preserve"> acting in office</w:t>
      </w:r>
      <w:r>
        <w:rPr>
          <w:rFonts w:ascii="Arial" w:hAnsi="Arial" w:cs="Arial"/>
          <w:sz w:val="18"/>
          <w:szCs w:val="18"/>
        </w:rPr>
        <w:t>s</w:t>
      </w:r>
      <w:r w:rsidRPr="00653948">
        <w:rPr>
          <w:rFonts w:ascii="Arial" w:hAnsi="Arial" w:cs="Arial"/>
          <w:sz w:val="18"/>
          <w:szCs w:val="18"/>
        </w:rPr>
        <w:t xml:space="preserve"> in which </w:t>
      </w:r>
      <w:r>
        <w:rPr>
          <w:rFonts w:ascii="Arial" w:hAnsi="Arial" w:cs="Arial"/>
          <w:sz w:val="18"/>
          <w:szCs w:val="18"/>
        </w:rPr>
        <w:t xml:space="preserve">they are </w:t>
      </w:r>
      <w:r w:rsidRPr="00653948">
        <w:rPr>
          <w:rFonts w:ascii="Arial" w:hAnsi="Arial" w:cs="Arial"/>
          <w:sz w:val="18"/>
          <w:szCs w:val="18"/>
        </w:rPr>
        <w:t>not entitled to act).</w:t>
      </w:r>
    </w:p>
  </w:footnote>
  <w:footnote w:id="3">
    <w:p w14:paraId="3166B332" w14:textId="72768967" w:rsidR="00080A77" w:rsidRPr="00653948" w:rsidRDefault="00080A77"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The </w:t>
      </w:r>
      <w:r w:rsidRPr="00133846">
        <w:rPr>
          <w:rFonts w:ascii="Arial" w:hAnsi="Arial" w:cs="Arial"/>
          <w:sz w:val="18"/>
          <w:szCs w:val="18"/>
        </w:rPr>
        <w:t>permission stage is covered in a separate</w:t>
      </w:r>
      <w:r w:rsidRPr="00653948">
        <w:rPr>
          <w:rFonts w:ascii="Arial" w:hAnsi="Arial" w:cs="Arial"/>
          <w:sz w:val="18"/>
          <w:szCs w:val="18"/>
        </w:rPr>
        <w:t xml:space="preserve"> talk.</w:t>
      </w:r>
    </w:p>
  </w:footnote>
  <w:footnote w:id="4">
    <w:p w14:paraId="4BF54BF9" w14:textId="0AEC84D6" w:rsidR="00080A77" w:rsidRPr="00653948" w:rsidRDefault="00080A77"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On the need for properly formulated grounds and (prompt) amendments, see </w:t>
      </w:r>
      <w:r w:rsidRPr="003573CE">
        <w:rPr>
          <w:rFonts w:ascii="Arial" w:hAnsi="Arial" w:cs="Arial"/>
          <w:b/>
          <w:i/>
          <w:sz w:val="18"/>
          <w:szCs w:val="18"/>
        </w:rPr>
        <w:t>R (F) v Wirral BC</w:t>
      </w:r>
      <w:r w:rsidRPr="00653948">
        <w:rPr>
          <w:rFonts w:ascii="Arial" w:hAnsi="Arial" w:cs="Arial"/>
          <w:i/>
          <w:sz w:val="18"/>
          <w:szCs w:val="18"/>
        </w:rPr>
        <w:t xml:space="preserve"> </w:t>
      </w:r>
      <w:r>
        <w:rPr>
          <w:rFonts w:ascii="Arial" w:hAnsi="Arial" w:cs="Arial"/>
          <w:sz w:val="18"/>
          <w:szCs w:val="18"/>
        </w:rPr>
        <w:t xml:space="preserve">[2009] EWHC 1626 (Admin), </w:t>
      </w:r>
      <w:r w:rsidRPr="00653948">
        <w:rPr>
          <w:rFonts w:ascii="Arial" w:hAnsi="Arial" w:cs="Arial"/>
          <w:sz w:val="18"/>
          <w:szCs w:val="18"/>
        </w:rPr>
        <w:t xml:space="preserve">[2009] </w:t>
      </w:r>
      <w:r>
        <w:rPr>
          <w:rFonts w:ascii="Arial" w:hAnsi="Arial" w:cs="Arial"/>
          <w:sz w:val="18"/>
          <w:szCs w:val="18"/>
        </w:rPr>
        <w:t>B</w:t>
      </w:r>
      <w:r w:rsidRPr="00653948">
        <w:rPr>
          <w:rFonts w:ascii="Arial" w:hAnsi="Arial" w:cs="Arial"/>
          <w:sz w:val="18"/>
          <w:szCs w:val="18"/>
        </w:rPr>
        <w:t xml:space="preserve">LGR 905 and </w:t>
      </w:r>
      <w:r w:rsidRPr="003573CE">
        <w:rPr>
          <w:rFonts w:ascii="Arial" w:hAnsi="Arial" w:cs="Arial"/>
          <w:b/>
          <w:i/>
          <w:sz w:val="18"/>
          <w:szCs w:val="18"/>
        </w:rPr>
        <w:t>R (Hinds) v Blackpool Council</w:t>
      </w:r>
      <w:r w:rsidRPr="00653948">
        <w:rPr>
          <w:rFonts w:ascii="Arial" w:hAnsi="Arial" w:cs="Arial"/>
          <w:i/>
          <w:sz w:val="18"/>
          <w:szCs w:val="18"/>
        </w:rPr>
        <w:t xml:space="preserve"> </w:t>
      </w:r>
      <w:r w:rsidRPr="00653948">
        <w:rPr>
          <w:rFonts w:ascii="Arial" w:hAnsi="Arial" w:cs="Arial"/>
          <w:sz w:val="18"/>
          <w:szCs w:val="18"/>
        </w:rPr>
        <w:t>[2011] EWHC 591 (Admin).</w:t>
      </w:r>
    </w:p>
  </w:footnote>
  <w:footnote w:id="5">
    <w:p w14:paraId="0A67DE01" w14:textId="1C2C6510" w:rsidR="00080A77" w:rsidRPr="000164A3" w:rsidRDefault="00080A77" w:rsidP="006175AD">
      <w:pPr>
        <w:pStyle w:val="FootnoteText"/>
        <w:jc w:val="both"/>
        <w:rPr>
          <w:rFonts w:asciiTheme="minorHAnsi" w:hAnsiTheme="minorHAnsi" w:cstheme="minorHAnsi"/>
          <w:sz w:val="18"/>
          <w:szCs w:val="18"/>
        </w:rPr>
      </w:pPr>
      <w:r w:rsidRPr="000164A3">
        <w:rPr>
          <w:rStyle w:val="FootnoteReference"/>
          <w:rFonts w:asciiTheme="minorHAnsi" w:hAnsiTheme="minorHAnsi" w:cstheme="minorHAnsi"/>
          <w:sz w:val="18"/>
          <w:szCs w:val="18"/>
        </w:rPr>
        <w:footnoteRef/>
      </w:r>
      <w:r w:rsidRPr="000164A3">
        <w:rPr>
          <w:rFonts w:asciiTheme="minorHAnsi" w:hAnsiTheme="minorHAnsi" w:cstheme="minorHAnsi"/>
          <w:sz w:val="18"/>
          <w:szCs w:val="18"/>
        </w:rPr>
        <w:t xml:space="preserve"> Overturned on other grounds – </w:t>
      </w:r>
      <w:r w:rsidRPr="00F33CB5">
        <w:rPr>
          <w:rFonts w:asciiTheme="minorHAnsi" w:hAnsiTheme="minorHAnsi" w:cstheme="minorHAnsi"/>
          <w:sz w:val="18"/>
          <w:szCs w:val="18"/>
        </w:rPr>
        <w:t>see [2011] EWCA Civ 567</w:t>
      </w:r>
      <w:r>
        <w:rPr>
          <w:rFonts w:asciiTheme="minorHAnsi" w:hAnsiTheme="minorHAnsi" w:cstheme="minorHAnsi"/>
          <w:sz w:val="18"/>
          <w:szCs w:val="18"/>
        </w:rPr>
        <w:t>, [2014] PTSR D14</w:t>
      </w:r>
      <w:r w:rsidRPr="000164A3">
        <w:rPr>
          <w:rFonts w:asciiTheme="minorHAnsi" w:hAnsiTheme="minorHAnsi" w:cstheme="minorHAnsi"/>
          <w:sz w:val="18"/>
          <w:szCs w:val="18"/>
        </w:rPr>
        <w:t>.</w:t>
      </w:r>
    </w:p>
  </w:footnote>
  <w:footnote w:id="6">
    <w:p w14:paraId="1C705BE3" w14:textId="161E9FD0" w:rsidR="00080A77" w:rsidRPr="00653948" w:rsidRDefault="00080A77"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For a discussion of the materiality or otherwise of a change in the claimant’s status after the grant of permission, see </w:t>
      </w:r>
      <w:r w:rsidRPr="006175AD">
        <w:rPr>
          <w:rFonts w:ascii="Arial" w:hAnsi="Arial" w:cs="Arial"/>
          <w:b/>
          <w:i/>
          <w:sz w:val="18"/>
          <w:szCs w:val="18"/>
        </w:rPr>
        <w:t>R (Developing Retail Ltd.) v South East Hampshire Magistrates’ Court</w:t>
      </w:r>
      <w:r w:rsidRPr="00653948">
        <w:rPr>
          <w:rFonts w:ascii="Arial" w:hAnsi="Arial" w:cs="Arial"/>
          <w:i/>
          <w:sz w:val="18"/>
          <w:szCs w:val="18"/>
        </w:rPr>
        <w:t xml:space="preserve"> </w:t>
      </w:r>
      <w:r w:rsidRPr="00653948">
        <w:rPr>
          <w:rFonts w:ascii="Arial" w:hAnsi="Arial" w:cs="Arial"/>
          <w:sz w:val="18"/>
          <w:szCs w:val="18"/>
        </w:rPr>
        <w:t>[2011] EWHC 618 (Admin)</w:t>
      </w:r>
      <w:r>
        <w:rPr>
          <w:rFonts w:ascii="Arial" w:hAnsi="Arial" w:cs="Arial"/>
          <w:sz w:val="18"/>
          <w:szCs w:val="18"/>
        </w:rPr>
        <w:t>, [2011] LLR 319</w:t>
      </w:r>
      <w:r w:rsidRPr="00653948">
        <w:rPr>
          <w:rFonts w:ascii="Arial" w:hAnsi="Arial" w:cs="Arial"/>
          <w:sz w:val="18"/>
          <w:szCs w:val="18"/>
        </w:rPr>
        <w:t>.</w:t>
      </w:r>
    </w:p>
    <w:p w14:paraId="1D81D16F" w14:textId="77777777" w:rsidR="00080A77" w:rsidRPr="00653948" w:rsidRDefault="00080A77" w:rsidP="00EB5785">
      <w:pPr>
        <w:pStyle w:val="FootnoteText"/>
        <w:jc w:val="both"/>
        <w:rPr>
          <w:rFonts w:ascii="Arial" w:hAnsi="Arial" w:cs="Arial"/>
          <w:sz w:val="18"/>
          <w:szCs w:val="18"/>
        </w:rPr>
      </w:pPr>
    </w:p>
  </w:footnote>
  <w:footnote w:id="7">
    <w:p w14:paraId="184C4B1F" w14:textId="35B8A8FA" w:rsidR="00080A77" w:rsidRPr="00653948" w:rsidRDefault="00080A77"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This is legislation which implements EU obligations in relation to the procurement by open competition of public contracts. A specific right of action is conferred by the Regulations upon “</w:t>
      </w:r>
      <w:r w:rsidRPr="003A6818">
        <w:rPr>
          <w:rFonts w:ascii="Arial" w:hAnsi="Arial" w:cs="Arial"/>
          <w:i/>
          <w:sz w:val="18"/>
          <w:szCs w:val="18"/>
        </w:rPr>
        <w:t>economic operators</w:t>
      </w:r>
      <w:r w:rsidRPr="00653948">
        <w:rPr>
          <w:rFonts w:ascii="Arial" w:hAnsi="Arial" w:cs="Arial"/>
          <w:sz w:val="18"/>
          <w:szCs w:val="18"/>
        </w:rPr>
        <w:t>”, defined in effect as those who bid or would have wished to bid for the contract in question.</w:t>
      </w:r>
      <w:r>
        <w:rPr>
          <w:rFonts w:ascii="Arial" w:hAnsi="Arial" w:cs="Arial"/>
          <w:sz w:val="18"/>
          <w:szCs w:val="18"/>
        </w:rPr>
        <w:t xml:space="preserve"> The 2006 Regulations have now been replaced by the Public Contracts Regulations 2015. </w:t>
      </w:r>
    </w:p>
  </w:footnote>
  <w:footnote w:id="8">
    <w:p w14:paraId="41EA95CA" w14:textId="67D0CC99" w:rsidR="00080A77" w:rsidRPr="00653948" w:rsidRDefault="00080A77"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For further discussion, in the procurement context, of what degree of knowledge suffices for this purpose, see </w:t>
      </w:r>
      <w:r w:rsidRPr="007833C4">
        <w:rPr>
          <w:rFonts w:ascii="Arial" w:hAnsi="Arial" w:cs="Arial"/>
          <w:b/>
          <w:i/>
          <w:sz w:val="18"/>
          <w:szCs w:val="18"/>
        </w:rPr>
        <w:t>Sita UK Ltd. v Greater Manchester Waste Disposal Authority</w:t>
      </w:r>
      <w:r w:rsidRPr="00653948">
        <w:rPr>
          <w:rFonts w:ascii="Arial" w:hAnsi="Arial" w:cs="Arial"/>
          <w:i/>
          <w:sz w:val="18"/>
          <w:szCs w:val="18"/>
        </w:rPr>
        <w:t xml:space="preserve"> </w:t>
      </w:r>
      <w:r w:rsidRPr="00653948">
        <w:rPr>
          <w:rFonts w:ascii="Arial" w:hAnsi="Arial" w:cs="Arial"/>
          <w:sz w:val="18"/>
          <w:szCs w:val="18"/>
        </w:rPr>
        <w:t>[2011]</w:t>
      </w:r>
      <w:r>
        <w:rPr>
          <w:rFonts w:ascii="Arial" w:hAnsi="Arial" w:cs="Arial"/>
          <w:sz w:val="18"/>
          <w:szCs w:val="18"/>
        </w:rPr>
        <w:t xml:space="preserve"> EWCA Civ 156, [2012] PTSR 645</w:t>
      </w:r>
      <w:r w:rsidRPr="00653948">
        <w:rPr>
          <w:rFonts w:ascii="Arial" w:hAnsi="Arial" w:cs="Arial"/>
          <w:sz w:val="18"/>
          <w:szCs w:val="18"/>
        </w:rPr>
        <w:t>.</w:t>
      </w:r>
    </w:p>
    <w:p w14:paraId="5F8142B1" w14:textId="77777777" w:rsidR="00080A77" w:rsidRPr="00653948" w:rsidRDefault="00080A77" w:rsidP="00EB5785">
      <w:pPr>
        <w:pStyle w:val="FootnoteText"/>
        <w:jc w:val="both"/>
        <w:rPr>
          <w:rFonts w:ascii="Arial" w:hAnsi="Arial" w:cs="Arial"/>
          <w:sz w:val="18"/>
          <w:szCs w:val="18"/>
        </w:rPr>
      </w:pPr>
    </w:p>
  </w:footnote>
  <w:footnote w:id="9">
    <w:p w14:paraId="7D54B504" w14:textId="24A6763B" w:rsidR="00080A77" w:rsidRPr="00653948" w:rsidRDefault="00080A77"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But in matters of urgency, it may not be good enough for a claimant to let matters take their course with the </w:t>
      </w:r>
      <w:r>
        <w:rPr>
          <w:rFonts w:ascii="Arial" w:hAnsi="Arial" w:cs="Arial"/>
          <w:sz w:val="18"/>
          <w:szCs w:val="18"/>
        </w:rPr>
        <w:t>LAA</w:t>
      </w:r>
      <w:r w:rsidRPr="00653948">
        <w:rPr>
          <w:rFonts w:ascii="Arial" w:hAnsi="Arial" w:cs="Arial"/>
          <w:sz w:val="18"/>
          <w:szCs w:val="18"/>
        </w:rPr>
        <w:t xml:space="preserve">, rather than taking all possible steps to expedite a decision: see </w:t>
      </w:r>
      <w:r w:rsidRPr="007833C4">
        <w:rPr>
          <w:rFonts w:ascii="Arial" w:hAnsi="Arial" w:cs="Arial"/>
          <w:b/>
          <w:i/>
          <w:sz w:val="18"/>
          <w:szCs w:val="18"/>
        </w:rPr>
        <w:t>R (Patel) v Lord Chancellor</w:t>
      </w:r>
      <w:r w:rsidRPr="00653948">
        <w:rPr>
          <w:rFonts w:ascii="Arial" w:hAnsi="Arial" w:cs="Arial"/>
          <w:i/>
          <w:sz w:val="18"/>
          <w:szCs w:val="18"/>
        </w:rPr>
        <w:t xml:space="preserve"> </w:t>
      </w:r>
      <w:r w:rsidRPr="00653948">
        <w:rPr>
          <w:rFonts w:ascii="Arial" w:hAnsi="Arial" w:cs="Arial"/>
          <w:sz w:val="18"/>
          <w:szCs w:val="18"/>
        </w:rPr>
        <w:t>[2010] EWHC 2220 (Admin)</w:t>
      </w:r>
      <w:r>
        <w:rPr>
          <w:rFonts w:ascii="Arial" w:hAnsi="Arial" w:cs="Arial"/>
          <w:sz w:val="18"/>
          <w:szCs w:val="18"/>
        </w:rPr>
        <w:t>, [2011] ACD 5</w:t>
      </w:r>
      <w:r w:rsidRPr="00653948">
        <w:rPr>
          <w:rFonts w:ascii="Arial" w:hAnsi="Arial" w:cs="Arial"/>
          <w:sz w:val="18"/>
          <w:szCs w:val="18"/>
        </w:rPr>
        <w:t xml:space="preserve">. Obtaining </w:t>
      </w:r>
      <w:r>
        <w:rPr>
          <w:rFonts w:ascii="Arial" w:hAnsi="Arial" w:cs="Arial"/>
          <w:sz w:val="18"/>
          <w:szCs w:val="18"/>
        </w:rPr>
        <w:t>After The Event (“</w:t>
      </w:r>
      <w:r w:rsidRPr="007833C4">
        <w:rPr>
          <w:rFonts w:ascii="Arial" w:hAnsi="Arial" w:cs="Arial"/>
          <w:b/>
          <w:sz w:val="18"/>
          <w:szCs w:val="18"/>
        </w:rPr>
        <w:t>ATE</w:t>
      </w:r>
      <w:r>
        <w:rPr>
          <w:rFonts w:ascii="Arial" w:hAnsi="Arial" w:cs="Arial"/>
          <w:sz w:val="18"/>
          <w:szCs w:val="18"/>
        </w:rPr>
        <w:t>”)</w:t>
      </w:r>
      <w:r w:rsidRPr="00653948">
        <w:rPr>
          <w:rFonts w:ascii="Arial" w:hAnsi="Arial" w:cs="Arial"/>
          <w:sz w:val="18"/>
          <w:szCs w:val="18"/>
        </w:rPr>
        <w:t xml:space="preserve"> insurance before taking proceedings was not a good reason for delay on the facts of </w:t>
      </w:r>
      <w:r w:rsidRPr="007833C4">
        <w:rPr>
          <w:rFonts w:ascii="Arial" w:hAnsi="Arial" w:cs="Arial"/>
          <w:b/>
          <w:i/>
          <w:sz w:val="18"/>
          <w:szCs w:val="18"/>
        </w:rPr>
        <w:t>R (English) v East Staffordshire BC</w:t>
      </w:r>
      <w:r w:rsidRPr="00653948">
        <w:rPr>
          <w:rFonts w:ascii="Arial" w:hAnsi="Arial" w:cs="Arial"/>
          <w:i/>
          <w:sz w:val="18"/>
          <w:szCs w:val="18"/>
        </w:rPr>
        <w:t xml:space="preserve"> </w:t>
      </w:r>
      <w:r>
        <w:rPr>
          <w:rFonts w:ascii="Arial" w:hAnsi="Arial" w:cs="Arial"/>
          <w:sz w:val="18"/>
          <w:szCs w:val="18"/>
        </w:rPr>
        <w:t>[2010</w:t>
      </w:r>
      <w:r w:rsidRPr="00653948">
        <w:rPr>
          <w:rFonts w:ascii="Arial" w:hAnsi="Arial" w:cs="Arial"/>
          <w:sz w:val="18"/>
          <w:szCs w:val="18"/>
        </w:rPr>
        <w:t xml:space="preserve">] </w:t>
      </w:r>
      <w:r>
        <w:rPr>
          <w:rFonts w:ascii="Arial" w:hAnsi="Arial" w:cs="Arial"/>
          <w:sz w:val="18"/>
          <w:szCs w:val="18"/>
        </w:rPr>
        <w:t>EWHC 2744 (Admin), [2011] ACD 34</w:t>
      </w:r>
      <w:r w:rsidRPr="00653948">
        <w:rPr>
          <w:rFonts w:ascii="Arial" w:hAnsi="Arial" w:cs="Arial"/>
          <w:sz w:val="18"/>
          <w:szCs w:val="18"/>
        </w:rPr>
        <w:t>.</w:t>
      </w:r>
    </w:p>
  </w:footnote>
  <w:footnote w:id="10">
    <w:p w14:paraId="70122F39" w14:textId="7BD0B8FF" w:rsidR="00080A77" w:rsidRPr="00653948" w:rsidRDefault="00080A77"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As in </w:t>
      </w:r>
      <w:r w:rsidRPr="007833C4">
        <w:rPr>
          <w:rFonts w:ascii="Arial" w:hAnsi="Arial" w:cs="Arial"/>
          <w:b/>
          <w:i/>
          <w:sz w:val="18"/>
          <w:szCs w:val="18"/>
        </w:rPr>
        <w:t>R (Law Society of England and Wales) v Legal Services Commission</w:t>
      </w:r>
      <w:r w:rsidRPr="00653948">
        <w:rPr>
          <w:rFonts w:ascii="Arial" w:hAnsi="Arial" w:cs="Arial"/>
          <w:i/>
          <w:sz w:val="18"/>
          <w:szCs w:val="18"/>
        </w:rPr>
        <w:t xml:space="preserve"> </w:t>
      </w:r>
      <w:r w:rsidRPr="00653948">
        <w:rPr>
          <w:rFonts w:ascii="Arial" w:hAnsi="Arial" w:cs="Arial"/>
          <w:sz w:val="18"/>
          <w:szCs w:val="18"/>
        </w:rPr>
        <w:t>[2010] EWHC 2550 (Admin)</w:t>
      </w:r>
      <w:r>
        <w:rPr>
          <w:rFonts w:ascii="Arial" w:hAnsi="Arial" w:cs="Arial"/>
          <w:sz w:val="18"/>
          <w:szCs w:val="18"/>
        </w:rPr>
        <w:t>, [2011] ACD 16</w:t>
      </w:r>
      <w:r w:rsidRPr="00653948">
        <w:rPr>
          <w:rFonts w:ascii="Arial" w:hAnsi="Arial" w:cs="Arial"/>
          <w:sz w:val="18"/>
          <w:szCs w:val="18"/>
        </w:rPr>
        <w:t>.</w:t>
      </w:r>
    </w:p>
  </w:footnote>
  <w:footnote w:id="11">
    <w:p w14:paraId="04AA9958" w14:textId="0DF727AF" w:rsidR="00080A77" w:rsidRPr="00653948" w:rsidRDefault="00080A77"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For an example of the last two factors, see </w:t>
      </w:r>
      <w:r w:rsidRPr="007833C4">
        <w:rPr>
          <w:rFonts w:ascii="Arial" w:hAnsi="Arial" w:cs="Arial"/>
          <w:b/>
          <w:i/>
          <w:sz w:val="18"/>
          <w:szCs w:val="18"/>
        </w:rPr>
        <w:t>R (Independent Schools Council) v Charity Commission for England and Wales</w:t>
      </w:r>
      <w:r w:rsidRPr="00653948">
        <w:rPr>
          <w:rFonts w:ascii="Arial" w:hAnsi="Arial" w:cs="Arial"/>
          <w:i/>
          <w:sz w:val="18"/>
          <w:szCs w:val="18"/>
        </w:rPr>
        <w:t xml:space="preserve"> </w:t>
      </w:r>
      <w:r w:rsidRPr="00653948">
        <w:rPr>
          <w:rFonts w:ascii="Arial" w:hAnsi="Arial" w:cs="Arial"/>
          <w:sz w:val="18"/>
          <w:szCs w:val="18"/>
        </w:rPr>
        <w:t>[2010] EWHC 2604 (Admin)</w:t>
      </w:r>
      <w:r>
        <w:rPr>
          <w:rFonts w:ascii="Arial" w:hAnsi="Arial" w:cs="Arial"/>
          <w:sz w:val="18"/>
          <w:szCs w:val="18"/>
        </w:rPr>
        <w:t>, [2011] ACD 2</w:t>
      </w:r>
      <w:r w:rsidRPr="00653948">
        <w:rPr>
          <w:rFonts w:ascii="Arial" w:hAnsi="Arial" w:cs="Arial"/>
          <w:sz w:val="18"/>
          <w:szCs w:val="18"/>
        </w:rPr>
        <w:t>.</w:t>
      </w:r>
    </w:p>
  </w:footnote>
  <w:footnote w:id="12">
    <w:p w14:paraId="1FC96D5B" w14:textId="03D68386" w:rsidR="00080A77" w:rsidRPr="00653948" w:rsidRDefault="00080A77" w:rsidP="00F33CB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Overturned by </w:t>
      </w:r>
      <w:r w:rsidRPr="00F33CB5">
        <w:rPr>
          <w:rFonts w:ascii="Arial" w:hAnsi="Arial" w:cs="Arial"/>
          <w:sz w:val="18"/>
          <w:szCs w:val="18"/>
        </w:rPr>
        <w:t>the Supreme Court on other grounds</w:t>
      </w:r>
      <w:r>
        <w:rPr>
          <w:rFonts w:ascii="Arial" w:hAnsi="Arial" w:cs="Arial"/>
          <w:sz w:val="18"/>
          <w:szCs w:val="18"/>
        </w:rPr>
        <w:t xml:space="preserve"> - </w:t>
      </w:r>
      <w:r w:rsidRPr="00F33CB5">
        <w:rPr>
          <w:rFonts w:ascii="Arial" w:hAnsi="Arial" w:cs="Arial"/>
          <w:b/>
          <w:i/>
          <w:sz w:val="18"/>
          <w:szCs w:val="18"/>
        </w:rPr>
        <w:t>Brent LBC v Risk Management Partners Ltd</w:t>
      </w:r>
      <w:r>
        <w:rPr>
          <w:rFonts w:ascii="Arial" w:hAnsi="Arial" w:cs="Arial"/>
          <w:sz w:val="18"/>
          <w:szCs w:val="18"/>
        </w:rPr>
        <w:t xml:space="preserve">. </w:t>
      </w:r>
      <w:r w:rsidRPr="00F33CB5">
        <w:rPr>
          <w:rFonts w:ascii="Arial" w:hAnsi="Arial" w:cs="Arial"/>
          <w:sz w:val="18"/>
          <w:szCs w:val="18"/>
        </w:rPr>
        <w:t>[2011] UKSC 7</w:t>
      </w:r>
      <w:r>
        <w:rPr>
          <w:rFonts w:ascii="Arial" w:hAnsi="Arial" w:cs="Arial"/>
          <w:sz w:val="18"/>
          <w:szCs w:val="18"/>
        </w:rPr>
        <w:t>, [2011] 2 AC</w:t>
      </w:r>
      <w:r w:rsidRPr="00F33CB5">
        <w:rPr>
          <w:rFonts w:ascii="Arial" w:hAnsi="Arial" w:cs="Arial"/>
          <w:sz w:val="18"/>
          <w:szCs w:val="18"/>
        </w:rPr>
        <w:t xml:space="preserve"> 34</w:t>
      </w:r>
      <w:r w:rsidRPr="00653948">
        <w:rPr>
          <w:rFonts w:ascii="Arial" w:hAnsi="Arial" w:cs="Arial"/>
          <w:sz w:val="18"/>
          <w:szCs w:val="18"/>
        </w:rPr>
        <w:t>.</w:t>
      </w:r>
    </w:p>
  </w:footnote>
  <w:footnote w:id="13">
    <w:p w14:paraId="0D75123B" w14:textId="77777777" w:rsidR="00080A77" w:rsidRPr="00653948" w:rsidRDefault="00080A77"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See the Public Law Project’s 2009 research into the use of mediation in judicial review, and its more recent handbook on mediation and judicial review.</w:t>
      </w:r>
    </w:p>
  </w:footnote>
  <w:footnote w:id="14">
    <w:p w14:paraId="4F9B8483" w14:textId="38946E06" w:rsidR="00080A77" w:rsidRPr="00280420" w:rsidRDefault="00080A77" w:rsidP="00280420">
      <w:pPr>
        <w:pStyle w:val="FootnoteText"/>
        <w:jc w:val="both"/>
        <w:rPr>
          <w:rFonts w:asciiTheme="minorHAnsi" w:hAnsiTheme="minorHAnsi" w:cstheme="minorHAnsi"/>
          <w:sz w:val="18"/>
          <w:szCs w:val="18"/>
        </w:rPr>
      </w:pPr>
      <w:r w:rsidRPr="00280420">
        <w:rPr>
          <w:rStyle w:val="FootnoteReference"/>
          <w:rFonts w:asciiTheme="minorHAnsi" w:hAnsiTheme="minorHAnsi" w:cstheme="minorHAnsi"/>
          <w:sz w:val="18"/>
          <w:szCs w:val="18"/>
        </w:rPr>
        <w:footnoteRef/>
      </w:r>
      <w:r w:rsidRPr="00280420">
        <w:rPr>
          <w:rFonts w:asciiTheme="minorHAnsi" w:hAnsiTheme="minorHAnsi" w:cstheme="minorHAnsi"/>
          <w:sz w:val="18"/>
          <w:szCs w:val="18"/>
        </w:rPr>
        <w:t xml:space="preserve"> </w:t>
      </w:r>
      <w:r>
        <w:rPr>
          <w:rFonts w:asciiTheme="minorHAnsi" w:hAnsiTheme="minorHAnsi" w:cstheme="minorHAnsi"/>
          <w:sz w:val="18"/>
          <w:szCs w:val="18"/>
        </w:rPr>
        <w:t>A decision by the U</w:t>
      </w:r>
      <w:r w:rsidRPr="00280420">
        <w:rPr>
          <w:rFonts w:asciiTheme="minorHAnsi" w:hAnsiTheme="minorHAnsi" w:cstheme="minorHAnsi"/>
          <w:sz w:val="18"/>
          <w:szCs w:val="18"/>
        </w:rPr>
        <w:t xml:space="preserve">pper Tribunal refusing permission to appeal may be vitiated if it misunderstands or misapplies the law in wrongly refusing permission for an argument that had a real prospect of success (i.e. was not plainly right or plainly wrong, but arguable): see </w:t>
      </w:r>
      <w:r w:rsidRPr="00E76974">
        <w:rPr>
          <w:rFonts w:asciiTheme="minorHAnsi" w:hAnsiTheme="minorHAnsi" w:cstheme="minorHAnsi"/>
          <w:b/>
          <w:i/>
          <w:sz w:val="18"/>
          <w:szCs w:val="18"/>
        </w:rPr>
        <w:t>R (G) v Upper Tribunal</w:t>
      </w:r>
      <w:r w:rsidRPr="00280420">
        <w:rPr>
          <w:rFonts w:asciiTheme="minorHAnsi" w:hAnsiTheme="minorHAnsi" w:cstheme="minorHAnsi"/>
          <w:i/>
          <w:sz w:val="18"/>
          <w:szCs w:val="18"/>
        </w:rPr>
        <w:t xml:space="preserve"> </w:t>
      </w:r>
      <w:r w:rsidRPr="00280420">
        <w:rPr>
          <w:rFonts w:asciiTheme="minorHAnsi" w:hAnsiTheme="minorHAnsi" w:cstheme="minorHAnsi"/>
          <w:sz w:val="18"/>
          <w:szCs w:val="18"/>
        </w:rPr>
        <w:t>[2016] EWHC 239 (Admin)</w:t>
      </w:r>
      <w:r>
        <w:rPr>
          <w:rFonts w:asciiTheme="minorHAnsi" w:hAnsiTheme="minorHAnsi" w:cstheme="minorHAnsi"/>
          <w:sz w:val="18"/>
          <w:szCs w:val="18"/>
        </w:rPr>
        <w:t>, [2016] 1 WLR 3417</w:t>
      </w:r>
      <w:r w:rsidRPr="00280420">
        <w:rPr>
          <w:rFonts w:asciiTheme="minorHAnsi" w:hAnsiTheme="minorHAnsi" w:cstheme="minorHAnsi"/>
          <w:sz w:val="18"/>
          <w:szCs w:val="18"/>
        </w:rPr>
        <w:t xml:space="preserve">. </w:t>
      </w:r>
    </w:p>
  </w:footnote>
  <w:footnote w:id="15">
    <w:p w14:paraId="6B4B3F29" w14:textId="0C55B64C" w:rsidR="00080A77" w:rsidRPr="00326F95" w:rsidRDefault="00080A77" w:rsidP="00C10D1E">
      <w:pPr>
        <w:pStyle w:val="FootnoteText"/>
        <w:jc w:val="both"/>
        <w:rPr>
          <w:rFonts w:asciiTheme="minorHAnsi" w:hAnsiTheme="minorHAnsi" w:cstheme="minorHAnsi"/>
          <w:sz w:val="18"/>
          <w:szCs w:val="18"/>
        </w:rPr>
      </w:pPr>
      <w:r w:rsidRPr="00326F95">
        <w:rPr>
          <w:rStyle w:val="FootnoteReference"/>
          <w:rFonts w:asciiTheme="minorHAnsi" w:hAnsiTheme="minorHAnsi" w:cstheme="minorHAnsi"/>
          <w:sz w:val="18"/>
          <w:szCs w:val="18"/>
        </w:rPr>
        <w:footnoteRef/>
      </w:r>
      <w:r w:rsidRPr="00326F95">
        <w:rPr>
          <w:rFonts w:asciiTheme="minorHAnsi" w:hAnsiTheme="minorHAnsi" w:cstheme="minorHAnsi"/>
          <w:sz w:val="18"/>
          <w:szCs w:val="18"/>
        </w:rPr>
        <w:t xml:space="preserve"> Reversed on other grounds by the Court of Appeal ([2010] EWCA Civ 263</w:t>
      </w:r>
      <w:r>
        <w:rPr>
          <w:rFonts w:asciiTheme="minorHAnsi" w:hAnsiTheme="minorHAnsi" w:cstheme="minorHAnsi"/>
          <w:sz w:val="18"/>
          <w:szCs w:val="18"/>
        </w:rPr>
        <w:t>, [2010] 1 WLR 2117</w:t>
      </w:r>
      <w:r w:rsidRPr="00326F95">
        <w:rPr>
          <w:rFonts w:asciiTheme="minorHAnsi" w:hAnsiTheme="minorHAnsi" w:cstheme="minorHAnsi"/>
          <w:sz w:val="18"/>
          <w:szCs w:val="18"/>
        </w:rPr>
        <w:t>) and then ultimately upheld by the Supreme Court ([2011] UKSC 25</w:t>
      </w:r>
      <w:r>
        <w:rPr>
          <w:rFonts w:asciiTheme="minorHAnsi" w:hAnsiTheme="minorHAnsi" w:cstheme="minorHAnsi"/>
          <w:sz w:val="18"/>
          <w:szCs w:val="18"/>
        </w:rPr>
        <w:t>, [2011] 1 WLR 1546</w:t>
      </w:r>
      <w:r w:rsidRPr="00326F95">
        <w:rPr>
          <w:rFonts w:asciiTheme="minorHAnsi" w:hAnsiTheme="minorHAnsi" w:cstheme="minorHAnsi"/>
          <w:sz w:val="18"/>
          <w:szCs w:val="18"/>
        </w:rPr>
        <w:t>).</w:t>
      </w:r>
    </w:p>
  </w:footnote>
  <w:footnote w:id="16">
    <w:p w14:paraId="7EE3219F" w14:textId="276F7CDD" w:rsidR="00080A77" w:rsidRPr="00133846" w:rsidRDefault="00080A77">
      <w:pPr>
        <w:pStyle w:val="FootnoteText"/>
        <w:rPr>
          <w:rFonts w:asciiTheme="minorHAnsi" w:hAnsiTheme="minorHAnsi" w:cstheme="minorHAnsi"/>
          <w:sz w:val="18"/>
          <w:szCs w:val="18"/>
        </w:rPr>
      </w:pPr>
      <w:r w:rsidRPr="00133846">
        <w:rPr>
          <w:rStyle w:val="FootnoteReference"/>
          <w:rFonts w:asciiTheme="minorHAnsi" w:hAnsiTheme="minorHAnsi" w:cstheme="minorHAnsi"/>
          <w:sz w:val="18"/>
          <w:szCs w:val="18"/>
        </w:rPr>
        <w:footnoteRef/>
      </w:r>
      <w:r w:rsidRPr="00133846">
        <w:rPr>
          <w:rFonts w:asciiTheme="minorHAnsi" w:hAnsiTheme="minorHAnsi" w:cstheme="minorHAnsi"/>
          <w:sz w:val="18"/>
          <w:szCs w:val="18"/>
        </w:rPr>
        <w:t xml:space="preserve"> Currently under appeal to the Court of Appeal.</w:t>
      </w:r>
    </w:p>
  </w:footnote>
  <w:footnote w:id="17">
    <w:p w14:paraId="5F491090" w14:textId="3361C10A" w:rsidR="00080A77" w:rsidRPr="00653948" w:rsidRDefault="00080A77"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Such applications </w:t>
      </w:r>
      <w:r>
        <w:rPr>
          <w:rFonts w:ascii="Arial" w:hAnsi="Arial" w:cs="Arial"/>
          <w:sz w:val="18"/>
          <w:szCs w:val="18"/>
        </w:rPr>
        <w:t>are</w:t>
      </w:r>
      <w:r w:rsidRPr="00653948">
        <w:rPr>
          <w:rFonts w:ascii="Arial" w:hAnsi="Arial" w:cs="Arial"/>
          <w:sz w:val="18"/>
          <w:szCs w:val="18"/>
        </w:rPr>
        <w:t xml:space="preserve"> dealt with in a</w:t>
      </w:r>
      <w:r>
        <w:rPr>
          <w:rFonts w:ascii="Arial" w:hAnsi="Arial" w:cs="Arial"/>
          <w:sz w:val="18"/>
          <w:szCs w:val="18"/>
        </w:rPr>
        <w:t>nother</w:t>
      </w:r>
      <w:r w:rsidRPr="00653948">
        <w:rPr>
          <w:rFonts w:ascii="Arial" w:hAnsi="Arial" w:cs="Arial"/>
          <w:sz w:val="18"/>
          <w:szCs w:val="18"/>
        </w:rPr>
        <w:t xml:space="preserve"> talk.</w:t>
      </w:r>
    </w:p>
  </w:footnote>
  <w:footnote w:id="18">
    <w:p w14:paraId="110D47D2" w14:textId="658AF9F4" w:rsidR="00080A77" w:rsidRPr="00653948" w:rsidRDefault="00080A77" w:rsidP="00EB5785">
      <w:pPr>
        <w:pStyle w:val="FootnoteText"/>
        <w:jc w:val="both"/>
        <w:rPr>
          <w:rFonts w:ascii="Arial" w:hAnsi="Arial" w:cs="Arial"/>
          <w:sz w:val="18"/>
          <w:szCs w:val="18"/>
        </w:rPr>
      </w:pPr>
      <w:r w:rsidRPr="00653948">
        <w:rPr>
          <w:rStyle w:val="FootnoteReference"/>
          <w:rFonts w:ascii="Arial" w:hAnsi="Arial" w:cs="Arial"/>
          <w:sz w:val="18"/>
          <w:szCs w:val="18"/>
        </w:rPr>
        <w:footnoteRef/>
      </w:r>
      <w:r w:rsidRPr="00653948">
        <w:rPr>
          <w:rFonts w:ascii="Arial" w:hAnsi="Arial" w:cs="Arial"/>
          <w:sz w:val="18"/>
          <w:szCs w:val="18"/>
        </w:rPr>
        <w:t xml:space="preserve"> See e.g. </w:t>
      </w:r>
      <w:r w:rsidRPr="00A55693">
        <w:rPr>
          <w:rFonts w:ascii="Arial" w:hAnsi="Arial" w:cs="Arial"/>
          <w:b/>
          <w:i/>
          <w:sz w:val="18"/>
          <w:szCs w:val="18"/>
        </w:rPr>
        <w:t>WM Morrison Supermarkets plc v Competition Commission</w:t>
      </w:r>
      <w:r w:rsidRPr="00653948">
        <w:rPr>
          <w:rFonts w:ascii="Arial" w:hAnsi="Arial" w:cs="Arial"/>
          <w:i/>
          <w:sz w:val="18"/>
          <w:szCs w:val="18"/>
        </w:rPr>
        <w:t xml:space="preserve"> </w:t>
      </w:r>
      <w:r w:rsidRPr="00653948">
        <w:rPr>
          <w:rFonts w:ascii="Arial" w:hAnsi="Arial" w:cs="Arial"/>
          <w:sz w:val="18"/>
          <w:szCs w:val="18"/>
        </w:rPr>
        <w:t>[2009] CAT 33</w:t>
      </w:r>
      <w:r>
        <w:rPr>
          <w:rFonts w:ascii="Arial" w:hAnsi="Arial" w:cs="Arial"/>
          <w:sz w:val="18"/>
          <w:szCs w:val="18"/>
        </w:rPr>
        <w:t>, [2010] Comp AR 191</w:t>
      </w:r>
      <w:r w:rsidRPr="00653948">
        <w:rPr>
          <w:rFonts w:ascii="Arial" w:hAnsi="Arial" w:cs="Arial"/>
          <w:sz w:val="18"/>
          <w:szCs w:val="18"/>
        </w:rPr>
        <w:t>.</w:t>
      </w:r>
    </w:p>
  </w:footnote>
  <w:footnote w:id="19">
    <w:p w14:paraId="0C4E4D4B" w14:textId="61F7E0A3" w:rsidR="00080A77" w:rsidRPr="009436AB" w:rsidRDefault="00080A77" w:rsidP="009436AB">
      <w:pPr>
        <w:pStyle w:val="FootnoteText"/>
        <w:rPr>
          <w:rFonts w:asciiTheme="minorHAnsi" w:hAnsiTheme="minorHAnsi" w:cstheme="minorHAnsi"/>
          <w:sz w:val="18"/>
          <w:szCs w:val="18"/>
        </w:rPr>
      </w:pPr>
      <w:r w:rsidRPr="009436AB">
        <w:rPr>
          <w:rStyle w:val="FootnoteReference"/>
          <w:rFonts w:asciiTheme="minorHAnsi" w:hAnsiTheme="minorHAnsi" w:cstheme="minorHAnsi"/>
          <w:sz w:val="18"/>
          <w:szCs w:val="18"/>
        </w:rPr>
        <w:footnoteRef/>
      </w:r>
      <w:r w:rsidRPr="009436AB">
        <w:rPr>
          <w:rFonts w:asciiTheme="minorHAnsi" w:hAnsiTheme="minorHAnsi" w:cstheme="minorHAnsi"/>
          <w:sz w:val="18"/>
          <w:szCs w:val="18"/>
        </w:rPr>
        <w:t xml:space="preserve"> Ultimately, the Supreme Court upheld the claim - </w:t>
      </w:r>
      <w:r w:rsidRPr="009436AB">
        <w:rPr>
          <w:rFonts w:asciiTheme="minorHAnsi" w:hAnsiTheme="minorHAnsi" w:cstheme="minorHAnsi"/>
          <w:b/>
          <w:i/>
          <w:sz w:val="18"/>
          <w:szCs w:val="18"/>
        </w:rPr>
        <w:t>R (Unison) v Lord Chancellor</w:t>
      </w:r>
      <w:r w:rsidRPr="009436AB">
        <w:rPr>
          <w:rFonts w:asciiTheme="minorHAnsi" w:hAnsiTheme="minorHAnsi" w:cstheme="minorHAnsi"/>
          <w:sz w:val="18"/>
          <w:szCs w:val="18"/>
        </w:rPr>
        <w:t xml:space="preserve"> [2017] UKSC 51, [2017] 3 WLR 409</w:t>
      </w:r>
      <w:r>
        <w:rPr>
          <w:rFonts w:asciiTheme="minorHAnsi" w:hAnsiTheme="minorHAnsi" w:cstheme="minorHAnsi"/>
          <w:sz w:val="18"/>
          <w:szCs w:val="18"/>
        </w:rPr>
        <w:t>. This leaves potentially interesting questions as to the position of those potential claimants who never paid any fees because they were discouraged by the fees regime from bringing a claim in the first place.</w:t>
      </w:r>
    </w:p>
  </w:footnote>
  <w:footnote w:id="20">
    <w:p w14:paraId="07C71D27" w14:textId="0B7C4159" w:rsidR="00080A77" w:rsidRPr="00A55693" w:rsidRDefault="00080A77">
      <w:pPr>
        <w:pStyle w:val="FootnoteText"/>
        <w:rPr>
          <w:rFonts w:asciiTheme="minorHAnsi" w:hAnsiTheme="minorHAnsi" w:cstheme="minorHAnsi"/>
          <w:sz w:val="18"/>
          <w:szCs w:val="18"/>
        </w:rPr>
      </w:pPr>
      <w:r w:rsidRPr="00A55693">
        <w:rPr>
          <w:rStyle w:val="FootnoteReference"/>
          <w:rFonts w:asciiTheme="minorHAnsi" w:hAnsiTheme="minorHAnsi" w:cstheme="minorHAnsi"/>
          <w:sz w:val="18"/>
          <w:szCs w:val="18"/>
        </w:rPr>
        <w:footnoteRef/>
      </w:r>
      <w:r>
        <w:rPr>
          <w:rFonts w:asciiTheme="minorHAnsi" w:hAnsiTheme="minorHAnsi" w:cstheme="minorHAnsi"/>
          <w:sz w:val="18"/>
          <w:szCs w:val="18"/>
        </w:rPr>
        <w:t xml:space="preserve"> Now UK Visa and </w:t>
      </w:r>
      <w:r w:rsidRPr="00A55693">
        <w:rPr>
          <w:rFonts w:asciiTheme="minorHAnsi" w:hAnsiTheme="minorHAnsi" w:cstheme="minorHAnsi"/>
          <w:sz w:val="18"/>
          <w:szCs w:val="18"/>
        </w:rPr>
        <w:t>Immigration (“</w:t>
      </w:r>
      <w:r w:rsidRPr="00A55693">
        <w:rPr>
          <w:rFonts w:asciiTheme="minorHAnsi" w:hAnsiTheme="minorHAnsi" w:cstheme="minorHAnsi"/>
          <w:b/>
          <w:sz w:val="18"/>
          <w:szCs w:val="18"/>
        </w:rPr>
        <w:t>UKVI</w:t>
      </w:r>
      <w:r w:rsidRPr="00A55693">
        <w:rPr>
          <w:rFonts w:asciiTheme="minorHAnsi" w:hAnsiTheme="minorHAnsi" w:cstheme="minorHAnsi"/>
          <w:sz w:val="18"/>
          <w:szCs w:val="18"/>
        </w:rPr>
        <w:t>”).</w:t>
      </w:r>
    </w:p>
  </w:footnote>
  <w:footnote w:id="21">
    <w:p w14:paraId="4588FF28" w14:textId="0937B98F" w:rsidR="00080A77" w:rsidRPr="00653948" w:rsidRDefault="00080A77" w:rsidP="00EB5785">
      <w:pPr>
        <w:pStyle w:val="FootnoteText"/>
        <w:rPr>
          <w:rFonts w:ascii="Arial" w:hAnsi="Arial" w:cs="Arial"/>
          <w:sz w:val="18"/>
          <w:szCs w:val="18"/>
          <w:lang w:val="en-US"/>
        </w:rPr>
      </w:pPr>
      <w:r w:rsidRPr="00653948">
        <w:rPr>
          <w:rStyle w:val="FootnoteReference"/>
          <w:rFonts w:ascii="Arial" w:hAnsi="Arial" w:cs="Arial"/>
          <w:sz w:val="18"/>
          <w:szCs w:val="18"/>
        </w:rPr>
        <w:footnoteRef/>
      </w:r>
      <w:r w:rsidRPr="00653948">
        <w:rPr>
          <w:rFonts w:ascii="Arial" w:hAnsi="Arial" w:cs="Arial"/>
          <w:sz w:val="18"/>
          <w:szCs w:val="18"/>
        </w:rPr>
        <w:t xml:space="preserve"> </w:t>
      </w:r>
      <w:r w:rsidRPr="009436AB">
        <w:rPr>
          <w:rFonts w:ascii="Arial" w:hAnsi="Arial" w:cs="Arial"/>
          <w:sz w:val="18"/>
          <w:szCs w:val="18"/>
        </w:rPr>
        <w:t>https://www.judiciary.gov.uk/wp-content/uploads/2013/10/lcj-direction-jr-iac-21-08-2013-updated-2.pdf</w:t>
      </w:r>
      <w:r>
        <w:rPr>
          <w:rFonts w:ascii="Arial" w:hAnsi="Arial" w:cs="Arial"/>
          <w:sz w:val="18"/>
          <w:szCs w:val="18"/>
        </w:rPr>
        <w:t>.</w:t>
      </w:r>
    </w:p>
  </w:footnote>
  <w:footnote w:id="22">
    <w:p w14:paraId="68FA79C7" w14:textId="1780D939" w:rsidR="00080A77" w:rsidRPr="00757A4A" w:rsidRDefault="00080A77" w:rsidP="00757A4A">
      <w:pPr>
        <w:pStyle w:val="FootnoteText"/>
        <w:jc w:val="both"/>
        <w:rPr>
          <w:rFonts w:ascii="Arial" w:hAnsi="Arial" w:cs="Arial"/>
        </w:rPr>
      </w:pPr>
      <w:r w:rsidRPr="00757A4A">
        <w:rPr>
          <w:rStyle w:val="FootnoteReference"/>
          <w:rFonts w:ascii="Arial" w:hAnsi="Arial" w:cs="Arial"/>
        </w:rPr>
        <w:footnoteRef/>
      </w:r>
      <w:r w:rsidRPr="00757A4A">
        <w:rPr>
          <w:rFonts w:ascii="Arial" w:hAnsi="Arial" w:cs="Arial"/>
        </w:rPr>
        <w:t xml:space="preserve"> I am grateful to my</w:t>
      </w:r>
      <w:r>
        <w:rPr>
          <w:rFonts w:ascii="Arial" w:hAnsi="Arial" w:cs="Arial"/>
        </w:rPr>
        <w:t xml:space="preserve"> 11KBW</w:t>
      </w:r>
      <w:r w:rsidRPr="00757A4A">
        <w:rPr>
          <w:rFonts w:ascii="Arial" w:hAnsi="Arial" w:cs="Arial"/>
        </w:rPr>
        <w:t xml:space="preserve"> colleagues, Nigel Giffin QC, Joanne Clement and Andrew Sharland</w:t>
      </w:r>
      <w:r>
        <w:rPr>
          <w:rFonts w:ascii="Arial" w:hAnsi="Arial" w:cs="Arial"/>
        </w:rPr>
        <w:t>, who have delivered this talk in previous years and upon whose labours this paper is based.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11F0" w14:textId="77777777" w:rsidR="00080A77" w:rsidRDefault="00080A77">
    <w:pPr>
      <w:pStyle w:val="Header"/>
    </w:pPr>
    <w:r>
      <w:rPr>
        <w:b/>
        <w:noProof/>
        <w:lang w:eastAsia="en-GB"/>
      </w:rPr>
      <w:drawing>
        <wp:inline distT="0" distB="0" distL="0" distR="0" wp14:anchorId="462C11FB" wp14:editId="462C11FC">
          <wp:extent cx="2309515" cy="5403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KBW_Logo_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7801" cy="53992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C11F6" w14:textId="77777777" w:rsidR="00080A77" w:rsidRDefault="00080A77">
    <w:pPr>
      <w:pStyle w:val="Header"/>
    </w:pPr>
    <w:r>
      <w:rPr>
        <w:noProof/>
        <w:lang w:eastAsia="en-GB"/>
      </w:rPr>
      <w:drawing>
        <wp:inline distT="0" distB="0" distL="0" distR="0" wp14:anchorId="462C11FD" wp14:editId="462C11FE">
          <wp:extent cx="1919751" cy="1653360"/>
          <wp:effectExtent l="19050" t="0" r="4299" b="0"/>
          <wp:docPr id="1" name="Picture 0" descr="kbw logo front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w logo front A4.jpg"/>
                  <pic:cNvPicPr/>
                </pic:nvPicPr>
                <pic:blipFill>
                  <a:blip r:embed="rId1"/>
                  <a:srcRect b="4495"/>
                  <a:stretch>
                    <a:fillRect/>
                  </a:stretch>
                </pic:blipFill>
                <pic:spPr>
                  <a:xfrm>
                    <a:off x="0" y="0"/>
                    <a:ext cx="1919751" cy="16533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CA79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C0AF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584E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3492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86C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CE31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B02E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F60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78F8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E032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B258B1"/>
    <w:multiLevelType w:val="singleLevel"/>
    <w:tmpl w:val="BF662998"/>
    <w:lvl w:ilvl="0">
      <w:start w:val="1"/>
      <w:numFmt w:val="decimal"/>
      <w:lvlText w:val="(%1)"/>
      <w:lvlJc w:val="left"/>
      <w:pPr>
        <w:ind w:left="1800" w:hanging="360"/>
      </w:pPr>
      <w:rPr>
        <w:rFonts w:hint="default"/>
      </w:rPr>
    </w:lvl>
  </w:abstractNum>
  <w:abstractNum w:abstractNumId="11" w15:restartNumberingAfterBreak="0">
    <w:nsid w:val="181A4500"/>
    <w:multiLevelType w:val="hybridMultilevel"/>
    <w:tmpl w:val="A65492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C4959C6"/>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223A4B8E"/>
    <w:multiLevelType w:val="hybridMultilevel"/>
    <w:tmpl w:val="4ADEA51E"/>
    <w:lvl w:ilvl="0" w:tplc="9BE8AE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0F363A"/>
    <w:multiLevelType w:val="hybridMultilevel"/>
    <w:tmpl w:val="32787A44"/>
    <w:lvl w:ilvl="0" w:tplc="BF662998">
      <w:start w:val="1"/>
      <w:numFmt w:val="decimal"/>
      <w:lvlText w:val="(%1)"/>
      <w:lvlJc w:val="left"/>
      <w:pPr>
        <w:ind w:left="1820" w:hanging="3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1F00170"/>
    <w:multiLevelType w:val="hybridMultilevel"/>
    <w:tmpl w:val="A1D85F18"/>
    <w:lvl w:ilvl="0" w:tplc="9A565620">
      <w:start w:val="1"/>
      <w:numFmt w:val="bullet"/>
      <w:lvlText w:val="•"/>
      <w:lvlJc w:val="left"/>
      <w:pPr>
        <w:tabs>
          <w:tab w:val="num" w:pos="720"/>
        </w:tabs>
        <w:ind w:left="720" w:hanging="360"/>
      </w:pPr>
      <w:rPr>
        <w:rFonts w:ascii="Times" w:hAnsi="Times" w:hint="default"/>
      </w:rPr>
    </w:lvl>
    <w:lvl w:ilvl="1" w:tplc="78A60CC8">
      <w:numFmt w:val="bullet"/>
      <w:lvlText w:val="–"/>
      <w:lvlJc w:val="left"/>
      <w:pPr>
        <w:tabs>
          <w:tab w:val="num" w:pos="1440"/>
        </w:tabs>
        <w:ind w:left="1440" w:hanging="360"/>
      </w:pPr>
      <w:rPr>
        <w:rFonts w:ascii="Times" w:hAnsi="Times" w:hint="default"/>
      </w:rPr>
    </w:lvl>
    <w:lvl w:ilvl="2" w:tplc="9556986C">
      <w:start w:val="1"/>
      <w:numFmt w:val="bullet"/>
      <w:lvlText w:val="•"/>
      <w:lvlJc w:val="left"/>
      <w:pPr>
        <w:tabs>
          <w:tab w:val="num" w:pos="2160"/>
        </w:tabs>
        <w:ind w:left="2160" w:hanging="360"/>
      </w:pPr>
      <w:rPr>
        <w:rFonts w:ascii="Times" w:hAnsi="Times" w:hint="default"/>
      </w:rPr>
    </w:lvl>
    <w:lvl w:ilvl="3" w:tplc="1052606E" w:tentative="1">
      <w:start w:val="1"/>
      <w:numFmt w:val="bullet"/>
      <w:lvlText w:val="•"/>
      <w:lvlJc w:val="left"/>
      <w:pPr>
        <w:tabs>
          <w:tab w:val="num" w:pos="2880"/>
        </w:tabs>
        <w:ind w:left="2880" w:hanging="360"/>
      </w:pPr>
      <w:rPr>
        <w:rFonts w:ascii="Times" w:hAnsi="Times" w:hint="default"/>
      </w:rPr>
    </w:lvl>
    <w:lvl w:ilvl="4" w:tplc="CECAD31A" w:tentative="1">
      <w:start w:val="1"/>
      <w:numFmt w:val="bullet"/>
      <w:lvlText w:val="•"/>
      <w:lvlJc w:val="left"/>
      <w:pPr>
        <w:tabs>
          <w:tab w:val="num" w:pos="3600"/>
        </w:tabs>
        <w:ind w:left="3600" w:hanging="360"/>
      </w:pPr>
      <w:rPr>
        <w:rFonts w:ascii="Times" w:hAnsi="Times" w:hint="default"/>
      </w:rPr>
    </w:lvl>
    <w:lvl w:ilvl="5" w:tplc="11FA23C6" w:tentative="1">
      <w:start w:val="1"/>
      <w:numFmt w:val="bullet"/>
      <w:lvlText w:val="•"/>
      <w:lvlJc w:val="left"/>
      <w:pPr>
        <w:tabs>
          <w:tab w:val="num" w:pos="4320"/>
        </w:tabs>
        <w:ind w:left="4320" w:hanging="360"/>
      </w:pPr>
      <w:rPr>
        <w:rFonts w:ascii="Times" w:hAnsi="Times" w:hint="default"/>
      </w:rPr>
    </w:lvl>
    <w:lvl w:ilvl="6" w:tplc="E64A2144" w:tentative="1">
      <w:start w:val="1"/>
      <w:numFmt w:val="bullet"/>
      <w:lvlText w:val="•"/>
      <w:lvlJc w:val="left"/>
      <w:pPr>
        <w:tabs>
          <w:tab w:val="num" w:pos="5040"/>
        </w:tabs>
        <w:ind w:left="5040" w:hanging="360"/>
      </w:pPr>
      <w:rPr>
        <w:rFonts w:ascii="Times" w:hAnsi="Times" w:hint="default"/>
      </w:rPr>
    </w:lvl>
    <w:lvl w:ilvl="7" w:tplc="96C0C984" w:tentative="1">
      <w:start w:val="1"/>
      <w:numFmt w:val="bullet"/>
      <w:lvlText w:val="•"/>
      <w:lvlJc w:val="left"/>
      <w:pPr>
        <w:tabs>
          <w:tab w:val="num" w:pos="5760"/>
        </w:tabs>
        <w:ind w:left="5760" w:hanging="360"/>
      </w:pPr>
      <w:rPr>
        <w:rFonts w:ascii="Times" w:hAnsi="Times" w:hint="default"/>
      </w:rPr>
    </w:lvl>
    <w:lvl w:ilvl="8" w:tplc="57D87140"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3D9F2D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A544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030E99"/>
    <w:multiLevelType w:val="multilevel"/>
    <w:tmpl w:val="57281976"/>
    <w:lvl w:ilvl="0">
      <w:start w:val="1"/>
      <w:numFmt w:val="bullet"/>
      <w:lvlText w:val="•"/>
      <w:lvlJc w:val="left"/>
      <w:pPr>
        <w:tabs>
          <w:tab w:val="num" w:pos="170"/>
        </w:tabs>
        <w:ind w:left="170" w:hanging="170"/>
      </w:pPr>
      <w:rPr>
        <w:rFonts w:ascii="Arial" w:hAnsi="Arial" w:hint="default"/>
        <w:color w:val="939598" w:themeColor="accent3"/>
      </w:rPr>
    </w:lvl>
    <w:lvl w:ilvl="1">
      <w:start w:val="1"/>
      <w:numFmt w:val="bullet"/>
      <w:lvlText w:val="–"/>
      <w:lvlJc w:val="left"/>
      <w:pPr>
        <w:tabs>
          <w:tab w:val="num" w:pos="340"/>
        </w:tabs>
        <w:ind w:left="340" w:hanging="170"/>
      </w:pPr>
      <w:rPr>
        <w:rFonts w:ascii="Arial" w:hAnsi="Arial" w:hint="default"/>
        <w:color w:val="939598" w:themeColor="accent3"/>
      </w:rPr>
    </w:lvl>
    <w:lvl w:ilvl="2">
      <w:start w:val="1"/>
      <w:numFmt w:val="bullet"/>
      <w:lvlText w:val="&gt;"/>
      <w:lvlJc w:val="left"/>
      <w:pPr>
        <w:tabs>
          <w:tab w:val="num" w:pos="510"/>
        </w:tabs>
        <w:ind w:left="510" w:hanging="170"/>
      </w:pPr>
      <w:rPr>
        <w:rFonts w:ascii="Arial" w:hAnsi="Arial" w:hint="default"/>
        <w:color w:val="939598" w:themeColor="accent3"/>
      </w:rPr>
    </w:lvl>
    <w:lvl w:ilvl="3">
      <w:start w:val="1"/>
      <w:numFmt w:val="bullet"/>
      <w:lvlText w:val="•"/>
      <w:lvlJc w:val="left"/>
      <w:pPr>
        <w:tabs>
          <w:tab w:val="num" w:pos="680"/>
        </w:tabs>
        <w:ind w:left="680" w:hanging="170"/>
      </w:pPr>
      <w:rPr>
        <w:rFonts w:ascii="Arial" w:hAnsi="Arial" w:hint="default"/>
        <w:color w:val="009DDC" w:themeColor="text2"/>
      </w:rPr>
    </w:lvl>
    <w:lvl w:ilvl="4">
      <w:start w:val="1"/>
      <w:numFmt w:val="bullet"/>
      <w:lvlText w:val="–"/>
      <w:lvlJc w:val="left"/>
      <w:pPr>
        <w:tabs>
          <w:tab w:val="num" w:pos="851"/>
        </w:tabs>
        <w:ind w:left="851" w:hanging="171"/>
      </w:pPr>
      <w:rPr>
        <w:rFonts w:ascii="Arial" w:hAnsi="Arial" w:hint="default"/>
        <w:color w:val="009DDC" w:themeColor="text2"/>
      </w:rPr>
    </w:lvl>
    <w:lvl w:ilvl="5">
      <w:start w:val="1"/>
      <w:numFmt w:val="bullet"/>
      <w:lvlText w:val="&gt;"/>
      <w:lvlJc w:val="left"/>
      <w:pPr>
        <w:tabs>
          <w:tab w:val="num" w:pos="1021"/>
        </w:tabs>
        <w:ind w:left="1021" w:hanging="170"/>
      </w:pPr>
      <w:rPr>
        <w:rFonts w:ascii="Arial" w:hAnsi="Arial" w:hint="default"/>
        <w:color w:val="009DDC" w:themeColor="text2"/>
      </w:rPr>
    </w:lvl>
    <w:lvl w:ilvl="6">
      <w:start w:val="1"/>
      <w:numFmt w:val="bullet"/>
      <w:lvlText w:val="•"/>
      <w:lvlJc w:val="left"/>
      <w:pPr>
        <w:tabs>
          <w:tab w:val="num" w:pos="1191"/>
        </w:tabs>
        <w:ind w:left="1191" w:hanging="170"/>
      </w:pPr>
      <w:rPr>
        <w:rFonts w:ascii="Arial" w:hAnsi="Arial" w:hint="default"/>
        <w:color w:val="009DDC" w:themeColor="text2"/>
      </w:rPr>
    </w:lvl>
    <w:lvl w:ilvl="7">
      <w:start w:val="1"/>
      <w:numFmt w:val="bullet"/>
      <w:lvlText w:val="–"/>
      <w:lvlJc w:val="left"/>
      <w:pPr>
        <w:tabs>
          <w:tab w:val="num" w:pos="1361"/>
        </w:tabs>
        <w:ind w:left="1361" w:hanging="170"/>
      </w:pPr>
      <w:rPr>
        <w:rFonts w:ascii="Arial" w:hAnsi="Arial" w:hint="default"/>
        <w:color w:val="009DDC" w:themeColor="text2"/>
      </w:rPr>
    </w:lvl>
    <w:lvl w:ilvl="8">
      <w:start w:val="1"/>
      <w:numFmt w:val="bullet"/>
      <w:lvlText w:val="&gt;"/>
      <w:lvlJc w:val="left"/>
      <w:pPr>
        <w:tabs>
          <w:tab w:val="num" w:pos="1531"/>
        </w:tabs>
        <w:ind w:left="1531" w:hanging="170"/>
      </w:pPr>
      <w:rPr>
        <w:rFonts w:ascii="Arial" w:hAnsi="Arial" w:hint="default"/>
        <w:color w:val="009DDC" w:themeColor="text2"/>
      </w:rPr>
    </w:lvl>
  </w:abstractNum>
  <w:abstractNum w:abstractNumId="19" w15:restartNumberingAfterBreak="0">
    <w:nsid w:val="4DD65483"/>
    <w:multiLevelType w:val="multilevel"/>
    <w:tmpl w:val="84BEF4F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upperLetter"/>
      <w:lvlText w:val="%8."/>
      <w:lvlJc w:val="left"/>
      <w:pPr>
        <w:tabs>
          <w:tab w:val="num" w:pos="2722"/>
        </w:tabs>
        <w:ind w:left="2722" w:hanging="341"/>
      </w:pPr>
      <w:rPr>
        <w:rFonts w:hint="default"/>
      </w:rPr>
    </w:lvl>
    <w:lvl w:ilvl="8">
      <w:start w:val="1"/>
      <w:numFmt w:val="upperRoman"/>
      <w:lvlText w:val="%9."/>
      <w:lvlJc w:val="left"/>
      <w:pPr>
        <w:tabs>
          <w:tab w:val="num" w:pos="3062"/>
        </w:tabs>
        <w:ind w:left="3062" w:hanging="340"/>
      </w:pPr>
      <w:rPr>
        <w:rFonts w:hint="default"/>
      </w:rPr>
    </w:lvl>
  </w:abstractNum>
  <w:abstractNum w:abstractNumId="20" w15:restartNumberingAfterBreak="0">
    <w:nsid w:val="60821F57"/>
    <w:multiLevelType w:val="hybridMultilevel"/>
    <w:tmpl w:val="B74092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92086B"/>
    <w:multiLevelType w:val="hybridMultilevel"/>
    <w:tmpl w:val="6F30073E"/>
    <w:lvl w:ilvl="0" w:tplc="AEDA7B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A312779"/>
    <w:multiLevelType w:val="hybridMultilevel"/>
    <w:tmpl w:val="C59C817C"/>
    <w:lvl w:ilvl="0" w:tplc="9BE8A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112710"/>
    <w:multiLevelType w:val="hybridMultilevel"/>
    <w:tmpl w:val="7F2EB02E"/>
    <w:lvl w:ilvl="0" w:tplc="9BE8A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5F7254"/>
    <w:multiLevelType w:val="hybridMultilevel"/>
    <w:tmpl w:val="A72E1B0E"/>
    <w:lvl w:ilvl="0" w:tplc="9BE8AE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A793EC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17"/>
  </w:num>
  <w:num w:numId="31">
    <w:abstractNumId w:val="25"/>
  </w:num>
  <w:num w:numId="32">
    <w:abstractNumId w:val="10"/>
  </w:num>
  <w:num w:numId="33">
    <w:abstractNumId w:val="16"/>
  </w:num>
  <w:num w:numId="34">
    <w:abstractNumId w:val="20"/>
  </w:num>
  <w:num w:numId="35">
    <w:abstractNumId w:val="14"/>
  </w:num>
  <w:num w:numId="36">
    <w:abstractNumId w:val="21"/>
  </w:num>
  <w:num w:numId="37">
    <w:abstractNumId w:val="15"/>
  </w:num>
  <w:num w:numId="38">
    <w:abstractNumId w:val="24"/>
  </w:num>
  <w:num w:numId="39">
    <w:abstractNumId w:val="13"/>
  </w:num>
  <w:num w:numId="40">
    <w:abstractNumId w:val="23"/>
  </w:num>
  <w:num w:numId="41">
    <w:abstractNumId w:val="2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A9"/>
    <w:rsid w:val="00014823"/>
    <w:rsid w:val="000164A3"/>
    <w:rsid w:val="000172D2"/>
    <w:rsid w:val="00030B68"/>
    <w:rsid w:val="00050D21"/>
    <w:rsid w:val="00080A77"/>
    <w:rsid w:val="00080A9E"/>
    <w:rsid w:val="000A17E4"/>
    <w:rsid w:val="00124CA3"/>
    <w:rsid w:val="00133846"/>
    <w:rsid w:val="00145486"/>
    <w:rsid w:val="0015629E"/>
    <w:rsid w:val="001941E2"/>
    <w:rsid w:val="001F3DDA"/>
    <w:rsid w:val="00200A46"/>
    <w:rsid w:val="00212C16"/>
    <w:rsid w:val="00247B5E"/>
    <w:rsid w:val="00256ECD"/>
    <w:rsid w:val="00280420"/>
    <w:rsid w:val="0029647F"/>
    <w:rsid w:val="003152B5"/>
    <w:rsid w:val="00326F95"/>
    <w:rsid w:val="003346AE"/>
    <w:rsid w:val="00342070"/>
    <w:rsid w:val="00344237"/>
    <w:rsid w:val="0035550B"/>
    <w:rsid w:val="003573CE"/>
    <w:rsid w:val="00366435"/>
    <w:rsid w:val="003A6818"/>
    <w:rsid w:val="004215D4"/>
    <w:rsid w:val="0044206E"/>
    <w:rsid w:val="00553900"/>
    <w:rsid w:val="005746DB"/>
    <w:rsid w:val="00590190"/>
    <w:rsid w:val="005A4531"/>
    <w:rsid w:val="005B16D6"/>
    <w:rsid w:val="005E787D"/>
    <w:rsid w:val="00606CE5"/>
    <w:rsid w:val="00616029"/>
    <w:rsid w:val="006175AD"/>
    <w:rsid w:val="00626FA8"/>
    <w:rsid w:val="00640AFB"/>
    <w:rsid w:val="00671561"/>
    <w:rsid w:val="00680909"/>
    <w:rsid w:val="006D5460"/>
    <w:rsid w:val="006E0624"/>
    <w:rsid w:val="006E6A03"/>
    <w:rsid w:val="00757A4A"/>
    <w:rsid w:val="00777F4B"/>
    <w:rsid w:val="007833C4"/>
    <w:rsid w:val="007A568A"/>
    <w:rsid w:val="008255E9"/>
    <w:rsid w:val="008352CC"/>
    <w:rsid w:val="008540D4"/>
    <w:rsid w:val="00876D4C"/>
    <w:rsid w:val="009436AB"/>
    <w:rsid w:val="0099786C"/>
    <w:rsid w:val="009C6CAD"/>
    <w:rsid w:val="009D1560"/>
    <w:rsid w:val="009E2BF1"/>
    <w:rsid w:val="00A55693"/>
    <w:rsid w:val="00A80ECF"/>
    <w:rsid w:val="00AF187F"/>
    <w:rsid w:val="00B306B6"/>
    <w:rsid w:val="00B36FCE"/>
    <w:rsid w:val="00B37DB1"/>
    <w:rsid w:val="00B77C80"/>
    <w:rsid w:val="00C10D1E"/>
    <w:rsid w:val="00C457F7"/>
    <w:rsid w:val="00CF481D"/>
    <w:rsid w:val="00DC4559"/>
    <w:rsid w:val="00E0118C"/>
    <w:rsid w:val="00E0748F"/>
    <w:rsid w:val="00E27039"/>
    <w:rsid w:val="00E6336A"/>
    <w:rsid w:val="00E76974"/>
    <w:rsid w:val="00EB5785"/>
    <w:rsid w:val="00EB71F5"/>
    <w:rsid w:val="00EC13CA"/>
    <w:rsid w:val="00EC48C1"/>
    <w:rsid w:val="00EE4CE1"/>
    <w:rsid w:val="00F27590"/>
    <w:rsid w:val="00F33CB5"/>
    <w:rsid w:val="00F377AF"/>
    <w:rsid w:val="00F46EA9"/>
    <w:rsid w:val="00F53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C11E4"/>
  <w15:docId w15:val="{908436B3-53D8-4E15-ABE7-007509DA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FA8"/>
    <w:pPr>
      <w:spacing w:line="252" w:lineRule="auto"/>
    </w:pPr>
    <w:rPr>
      <w:rFonts w:asciiTheme="minorHAnsi" w:hAnsiTheme="minorHAnsi"/>
      <w:color w:val="000000" w:themeColor="text1"/>
      <w:sz w:val="22"/>
      <w:szCs w:val="24"/>
      <w:lang w:eastAsia="en-US"/>
    </w:rPr>
  </w:style>
  <w:style w:type="paragraph" w:styleId="Heading1">
    <w:name w:val="heading 1"/>
    <w:basedOn w:val="Normal"/>
    <w:link w:val="Heading1Char"/>
    <w:qFormat/>
    <w:rsid w:val="00145486"/>
    <w:pPr>
      <w:keepNext/>
      <w:keepLines/>
      <w:spacing w:line="240" w:lineRule="auto"/>
      <w:outlineLvl w:val="0"/>
    </w:pPr>
    <w:rPr>
      <w:rFonts w:asciiTheme="majorHAnsi" w:eastAsiaTheme="majorEastAsia" w:hAnsiTheme="majorHAnsi" w:cstheme="majorBidi"/>
      <w:bCs/>
      <w:color w:val="auto"/>
      <w:sz w:val="32"/>
      <w:szCs w:val="28"/>
    </w:rPr>
  </w:style>
  <w:style w:type="paragraph" w:styleId="Heading2">
    <w:name w:val="heading 2"/>
    <w:basedOn w:val="Normal"/>
    <w:link w:val="Heading2Char"/>
    <w:unhideWhenUsed/>
    <w:qFormat/>
    <w:rsid w:val="00366435"/>
    <w:pPr>
      <w:keepNext/>
      <w:keepLines/>
      <w:spacing w:line="240" w:lineRule="auto"/>
      <w:outlineLvl w:val="1"/>
    </w:pPr>
    <w:rPr>
      <w:rFonts w:asciiTheme="majorHAnsi" w:eastAsiaTheme="majorEastAsia" w:hAnsiTheme="majorHAnsi" w:cstheme="majorBidi"/>
      <w:b/>
      <w:bCs/>
      <w:color w:val="009DDC" w:themeColor="text2"/>
      <w:sz w:val="26"/>
      <w:szCs w:val="26"/>
    </w:rPr>
  </w:style>
  <w:style w:type="paragraph" w:styleId="Heading3">
    <w:name w:val="heading 3"/>
    <w:basedOn w:val="Normal"/>
    <w:link w:val="Heading3Char"/>
    <w:unhideWhenUsed/>
    <w:qFormat/>
    <w:rsid w:val="00366435"/>
    <w:pPr>
      <w:keepNext/>
      <w:keepLines/>
      <w:outlineLvl w:val="2"/>
    </w:pPr>
    <w:rPr>
      <w:rFonts w:asciiTheme="majorHAnsi" w:eastAsiaTheme="majorEastAsia" w:hAnsiTheme="majorHAnsi" w:cstheme="majorBidi"/>
      <w:b/>
      <w:bCs/>
      <w:color w:val="auto"/>
    </w:rPr>
  </w:style>
  <w:style w:type="paragraph" w:styleId="Heading4">
    <w:name w:val="heading 4"/>
    <w:basedOn w:val="Normal"/>
    <w:link w:val="Heading4Char"/>
    <w:unhideWhenUsed/>
    <w:qFormat/>
    <w:rsid w:val="00366435"/>
    <w:pPr>
      <w:keepNext/>
      <w:keepLines/>
      <w:spacing w:line="240" w:lineRule="auto"/>
      <w:outlineLvl w:val="3"/>
    </w:pPr>
    <w:rPr>
      <w:rFonts w:asciiTheme="majorHAnsi" w:eastAsiaTheme="majorEastAsia" w:hAnsiTheme="majorHAnsi" w:cstheme="majorBidi"/>
      <w:b/>
      <w:bCs/>
      <w:iCs/>
      <w:color w:val="009DDC" w:themeColor="accent1"/>
      <w:sz w:val="20"/>
    </w:rPr>
  </w:style>
  <w:style w:type="paragraph" w:styleId="Heading5">
    <w:name w:val="heading 5"/>
    <w:basedOn w:val="Normal"/>
    <w:link w:val="Heading5Char"/>
    <w:unhideWhenUsed/>
    <w:qFormat/>
    <w:rsid w:val="00366435"/>
    <w:pPr>
      <w:keepNext/>
      <w:keepLines/>
      <w:spacing w:line="240" w:lineRule="auto"/>
      <w:outlineLvl w:val="4"/>
    </w:pPr>
    <w:rPr>
      <w:rFonts w:asciiTheme="majorHAnsi" w:eastAsiaTheme="majorEastAsia" w:hAnsiTheme="majorHAnsi" w:cstheme="majorBidi"/>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FA8"/>
    <w:tblPr>
      <w:tblCellMar>
        <w:left w:w="0" w:type="dxa"/>
        <w:right w:w="0" w:type="dxa"/>
      </w:tblCellMar>
    </w:tblPr>
  </w:style>
  <w:style w:type="paragraph" w:styleId="Header">
    <w:name w:val="header"/>
    <w:basedOn w:val="Normal"/>
    <w:link w:val="HeaderChar"/>
    <w:rsid w:val="0015629E"/>
    <w:pPr>
      <w:tabs>
        <w:tab w:val="center" w:pos="4513"/>
        <w:tab w:val="right" w:pos="9026"/>
      </w:tabs>
      <w:spacing w:line="240" w:lineRule="auto"/>
    </w:pPr>
  </w:style>
  <w:style w:type="character" w:customStyle="1" w:styleId="HeaderChar">
    <w:name w:val="Header Char"/>
    <w:basedOn w:val="DefaultParagraphFont"/>
    <w:link w:val="Header"/>
    <w:rsid w:val="0015629E"/>
    <w:rPr>
      <w:rFonts w:asciiTheme="minorHAnsi" w:hAnsiTheme="minorHAnsi"/>
      <w:color w:val="000000" w:themeColor="text1"/>
      <w:sz w:val="22"/>
      <w:szCs w:val="24"/>
      <w:lang w:eastAsia="en-US"/>
    </w:rPr>
  </w:style>
  <w:style w:type="paragraph" w:styleId="Footer">
    <w:name w:val="footer"/>
    <w:basedOn w:val="Normal"/>
    <w:link w:val="FooterChar"/>
    <w:uiPriority w:val="99"/>
    <w:rsid w:val="000172D2"/>
    <w:pPr>
      <w:tabs>
        <w:tab w:val="left" w:pos="3226"/>
        <w:tab w:val="left" w:pos="6458"/>
      </w:tabs>
      <w:spacing w:line="240" w:lineRule="auto"/>
    </w:pPr>
    <w:rPr>
      <w:sz w:val="18"/>
    </w:rPr>
  </w:style>
  <w:style w:type="character" w:customStyle="1" w:styleId="FooterChar">
    <w:name w:val="Footer Char"/>
    <w:basedOn w:val="DefaultParagraphFont"/>
    <w:link w:val="Footer"/>
    <w:uiPriority w:val="99"/>
    <w:rsid w:val="000172D2"/>
    <w:rPr>
      <w:rFonts w:asciiTheme="minorHAnsi" w:hAnsiTheme="minorHAnsi"/>
      <w:color w:val="000000" w:themeColor="text1"/>
      <w:sz w:val="18"/>
      <w:szCs w:val="24"/>
      <w:lang w:eastAsia="en-US"/>
    </w:rPr>
  </w:style>
  <w:style w:type="paragraph" w:styleId="BalloonText">
    <w:name w:val="Balloon Text"/>
    <w:basedOn w:val="Normal"/>
    <w:link w:val="BalloonTextChar"/>
    <w:semiHidden/>
    <w:unhideWhenUsed/>
    <w:rsid w:val="0015629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77F4B"/>
    <w:rPr>
      <w:rFonts w:ascii="Tahoma" w:hAnsi="Tahoma" w:cs="Tahoma"/>
      <w:color w:val="000000" w:themeColor="text1"/>
      <w:sz w:val="16"/>
      <w:szCs w:val="16"/>
      <w:lang w:eastAsia="en-US"/>
    </w:rPr>
  </w:style>
  <w:style w:type="paragraph" w:styleId="Title">
    <w:name w:val="Title"/>
    <w:basedOn w:val="Normal"/>
    <w:link w:val="TitleChar"/>
    <w:qFormat/>
    <w:rsid w:val="00080A9E"/>
    <w:pPr>
      <w:spacing w:line="240" w:lineRule="auto"/>
      <w:contextualSpacing/>
    </w:pPr>
    <w:rPr>
      <w:rFonts w:asciiTheme="majorHAnsi" w:eastAsiaTheme="majorEastAsia" w:hAnsiTheme="majorHAnsi" w:cstheme="majorBidi"/>
      <w:b/>
      <w:color w:val="auto"/>
      <w:spacing w:val="-5"/>
      <w:kern w:val="28"/>
      <w:sz w:val="50"/>
      <w:szCs w:val="52"/>
    </w:rPr>
  </w:style>
  <w:style w:type="character" w:customStyle="1" w:styleId="TitleChar">
    <w:name w:val="Title Char"/>
    <w:basedOn w:val="DefaultParagraphFont"/>
    <w:link w:val="Title"/>
    <w:rsid w:val="00080A9E"/>
    <w:rPr>
      <w:rFonts w:asciiTheme="majorHAnsi" w:eastAsiaTheme="majorEastAsia" w:hAnsiTheme="majorHAnsi" w:cstheme="majorBidi"/>
      <w:b/>
      <w:spacing w:val="-5"/>
      <w:kern w:val="28"/>
      <w:sz w:val="50"/>
      <w:szCs w:val="52"/>
      <w:lang w:eastAsia="en-US"/>
    </w:rPr>
  </w:style>
  <w:style w:type="character" w:customStyle="1" w:styleId="Heading1Char">
    <w:name w:val="Heading 1 Char"/>
    <w:basedOn w:val="DefaultParagraphFont"/>
    <w:link w:val="Heading1"/>
    <w:rsid w:val="00145486"/>
    <w:rPr>
      <w:rFonts w:asciiTheme="majorHAnsi" w:eastAsiaTheme="majorEastAsia" w:hAnsiTheme="majorHAnsi" w:cstheme="majorBidi"/>
      <w:bCs/>
      <w:sz w:val="32"/>
      <w:szCs w:val="28"/>
      <w:lang w:eastAsia="en-US"/>
    </w:rPr>
  </w:style>
  <w:style w:type="paragraph" w:customStyle="1" w:styleId="Heading1Bold">
    <w:name w:val="Heading 1 (Bold)"/>
    <w:basedOn w:val="Heading1"/>
    <w:qFormat/>
    <w:rsid w:val="00366435"/>
    <w:rPr>
      <w:b/>
    </w:rPr>
  </w:style>
  <w:style w:type="paragraph" w:customStyle="1" w:styleId="RuleThick">
    <w:name w:val="Rule (Thick)"/>
    <w:basedOn w:val="Normal"/>
    <w:qFormat/>
    <w:rsid w:val="00080A9E"/>
    <w:pPr>
      <w:pBdr>
        <w:top w:val="single" w:sz="48" w:space="1" w:color="939598" w:themeColor="accent3"/>
      </w:pBdr>
      <w:spacing w:before="180" w:line="240" w:lineRule="auto"/>
    </w:pPr>
    <w:rPr>
      <w:sz w:val="8"/>
    </w:rPr>
  </w:style>
  <w:style w:type="character" w:customStyle="1" w:styleId="Heading4Char">
    <w:name w:val="Heading 4 Char"/>
    <w:basedOn w:val="DefaultParagraphFont"/>
    <w:link w:val="Heading4"/>
    <w:rsid w:val="00366435"/>
    <w:rPr>
      <w:rFonts w:asciiTheme="majorHAnsi" w:eastAsiaTheme="majorEastAsia" w:hAnsiTheme="majorHAnsi" w:cstheme="majorBidi"/>
      <w:b/>
      <w:bCs/>
      <w:iCs/>
      <w:color w:val="009DDC" w:themeColor="accent1"/>
      <w:szCs w:val="24"/>
      <w:lang w:eastAsia="en-US"/>
    </w:rPr>
  </w:style>
  <w:style w:type="paragraph" w:customStyle="1" w:styleId="SmallText">
    <w:name w:val="Small Text"/>
    <w:basedOn w:val="Normal"/>
    <w:qFormat/>
    <w:rsid w:val="00366435"/>
    <w:pPr>
      <w:spacing w:line="240" w:lineRule="auto"/>
    </w:pPr>
    <w:rPr>
      <w:sz w:val="20"/>
    </w:rPr>
  </w:style>
  <w:style w:type="character" w:customStyle="1" w:styleId="Heading5Char">
    <w:name w:val="Heading 5 Char"/>
    <w:basedOn w:val="DefaultParagraphFont"/>
    <w:link w:val="Heading5"/>
    <w:rsid w:val="00366435"/>
    <w:rPr>
      <w:rFonts w:asciiTheme="majorHAnsi" w:eastAsiaTheme="majorEastAsia" w:hAnsiTheme="majorHAnsi" w:cstheme="majorBidi"/>
      <w:b/>
      <w:szCs w:val="24"/>
      <w:lang w:eastAsia="en-US"/>
    </w:rPr>
  </w:style>
  <w:style w:type="character" w:customStyle="1" w:styleId="Heading2Char">
    <w:name w:val="Heading 2 Char"/>
    <w:basedOn w:val="DefaultParagraphFont"/>
    <w:link w:val="Heading2"/>
    <w:rsid w:val="00366435"/>
    <w:rPr>
      <w:rFonts w:asciiTheme="majorHAnsi" w:eastAsiaTheme="majorEastAsia" w:hAnsiTheme="majorHAnsi" w:cstheme="majorBidi"/>
      <w:b/>
      <w:bCs/>
      <w:color w:val="009DDC" w:themeColor="text2"/>
      <w:sz w:val="26"/>
      <w:szCs w:val="26"/>
      <w:lang w:eastAsia="en-US"/>
    </w:rPr>
  </w:style>
  <w:style w:type="paragraph" w:customStyle="1" w:styleId="RuleThin">
    <w:name w:val="Rule (Thin)"/>
    <w:basedOn w:val="Normal"/>
    <w:qFormat/>
    <w:rsid w:val="00080A9E"/>
    <w:pPr>
      <w:pBdr>
        <w:top w:val="single" w:sz="18" w:space="1" w:color="939598" w:themeColor="accent3"/>
      </w:pBdr>
      <w:spacing w:before="80" w:line="240" w:lineRule="auto"/>
    </w:pPr>
    <w:rPr>
      <w:sz w:val="6"/>
    </w:rPr>
  </w:style>
  <w:style w:type="character" w:customStyle="1" w:styleId="Heading3Char">
    <w:name w:val="Heading 3 Char"/>
    <w:basedOn w:val="DefaultParagraphFont"/>
    <w:link w:val="Heading3"/>
    <w:rsid w:val="00366435"/>
    <w:rPr>
      <w:rFonts w:asciiTheme="majorHAnsi" w:eastAsiaTheme="majorEastAsia" w:hAnsiTheme="majorHAnsi" w:cstheme="majorBidi"/>
      <w:b/>
      <w:bCs/>
      <w:sz w:val="22"/>
      <w:szCs w:val="24"/>
      <w:lang w:eastAsia="en-US"/>
    </w:rPr>
  </w:style>
  <w:style w:type="paragraph" w:styleId="FootnoteText">
    <w:name w:val="footnote text"/>
    <w:basedOn w:val="Normal"/>
    <w:link w:val="FootnoteTextChar"/>
    <w:semiHidden/>
    <w:rsid w:val="00EB5785"/>
    <w:pPr>
      <w:spacing w:line="240" w:lineRule="auto"/>
    </w:pPr>
    <w:rPr>
      <w:rFonts w:ascii="Times New Roman" w:hAnsi="Times New Roman"/>
      <w:color w:val="auto"/>
      <w:sz w:val="20"/>
      <w:szCs w:val="20"/>
    </w:rPr>
  </w:style>
  <w:style w:type="character" w:customStyle="1" w:styleId="FootnoteTextChar">
    <w:name w:val="Footnote Text Char"/>
    <w:basedOn w:val="DefaultParagraphFont"/>
    <w:link w:val="FootnoteText"/>
    <w:semiHidden/>
    <w:rsid w:val="00EB5785"/>
    <w:rPr>
      <w:lang w:eastAsia="en-US"/>
    </w:rPr>
  </w:style>
  <w:style w:type="character" w:styleId="FootnoteReference">
    <w:name w:val="footnote reference"/>
    <w:basedOn w:val="DefaultParagraphFont"/>
    <w:semiHidden/>
    <w:rsid w:val="00EB5785"/>
    <w:rPr>
      <w:vertAlign w:val="superscript"/>
    </w:rPr>
  </w:style>
  <w:style w:type="paragraph" w:styleId="BodyTextIndent3">
    <w:name w:val="Body Text Indent 3"/>
    <w:basedOn w:val="Normal"/>
    <w:link w:val="BodyTextIndent3Char"/>
    <w:rsid w:val="00EB5785"/>
    <w:pPr>
      <w:spacing w:line="240" w:lineRule="auto"/>
      <w:ind w:left="720"/>
      <w:jc w:val="both"/>
    </w:pPr>
    <w:rPr>
      <w:rFonts w:ascii="Tahoma" w:hAnsi="Tahoma"/>
      <w:color w:val="auto"/>
      <w:sz w:val="24"/>
      <w:szCs w:val="20"/>
    </w:rPr>
  </w:style>
  <w:style w:type="character" w:customStyle="1" w:styleId="BodyTextIndent3Char">
    <w:name w:val="Body Text Indent 3 Char"/>
    <w:basedOn w:val="DefaultParagraphFont"/>
    <w:link w:val="BodyTextIndent3"/>
    <w:rsid w:val="00EB5785"/>
    <w:rPr>
      <w:rFonts w:ascii="Tahoma" w:hAnsi="Tahoma"/>
      <w:sz w:val="24"/>
      <w:lang w:eastAsia="en-US"/>
    </w:rPr>
  </w:style>
  <w:style w:type="paragraph" w:styleId="BodyText">
    <w:name w:val="Body Text"/>
    <w:basedOn w:val="Normal"/>
    <w:link w:val="BodyTextChar"/>
    <w:rsid w:val="00EB5785"/>
    <w:pPr>
      <w:spacing w:line="360" w:lineRule="auto"/>
      <w:jc w:val="both"/>
    </w:pPr>
    <w:rPr>
      <w:rFonts w:ascii="Tahoma" w:hAnsi="Tahoma"/>
      <w:color w:val="auto"/>
      <w:sz w:val="24"/>
      <w:szCs w:val="20"/>
    </w:rPr>
  </w:style>
  <w:style w:type="character" w:customStyle="1" w:styleId="BodyTextChar">
    <w:name w:val="Body Text Char"/>
    <w:basedOn w:val="DefaultParagraphFont"/>
    <w:link w:val="BodyText"/>
    <w:rsid w:val="00EB5785"/>
    <w:rPr>
      <w:rFonts w:ascii="Tahoma" w:hAnsi="Tahoma"/>
      <w:sz w:val="24"/>
      <w:lang w:eastAsia="en-US"/>
    </w:rPr>
  </w:style>
  <w:style w:type="paragraph" w:styleId="ListParagraph">
    <w:name w:val="List Paragraph"/>
    <w:basedOn w:val="Normal"/>
    <w:uiPriority w:val="34"/>
    <w:qFormat/>
    <w:rsid w:val="00EB5785"/>
    <w:pPr>
      <w:spacing w:line="240" w:lineRule="auto"/>
      <w:ind w:left="720"/>
      <w:contextualSpacing/>
    </w:pPr>
    <w:rPr>
      <w:rFonts w:ascii="Times New Roman" w:hAnsi="Times New Roman"/>
      <w:color w:val="auto"/>
      <w:sz w:val="24"/>
      <w:szCs w:val="20"/>
    </w:rPr>
  </w:style>
  <w:style w:type="character" w:styleId="Hyperlink">
    <w:name w:val="Hyperlink"/>
    <w:basedOn w:val="DefaultParagraphFont"/>
    <w:uiPriority w:val="99"/>
    <w:unhideWhenUsed/>
    <w:rsid w:val="00EB5785"/>
    <w:rPr>
      <w:color w:val="6D6E71" w:themeColor="hyperlink"/>
      <w:u w:val="single"/>
    </w:rPr>
  </w:style>
  <w:style w:type="character" w:styleId="FollowedHyperlink">
    <w:name w:val="FollowedHyperlink"/>
    <w:basedOn w:val="DefaultParagraphFont"/>
    <w:semiHidden/>
    <w:unhideWhenUsed/>
    <w:rsid w:val="00616029"/>
    <w:rPr>
      <w:color w:val="009DD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11kbw">
      <a:dk1>
        <a:sysClr val="windowText" lastClr="000000"/>
      </a:dk1>
      <a:lt1>
        <a:sysClr val="window" lastClr="FFFFFF"/>
      </a:lt1>
      <a:dk2>
        <a:srgbClr val="009DDC"/>
      </a:dk2>
      <a:lt2>
        <a:srgbClr val="939598"/>
      </a:lt2>
      <a:accent1>
        <a:srgbClr val="009DDC"/>
      </a:accent1>
      <a:accent2>
        <a:srgbClr val="6D6E71"/>
      </a:accent2>
      <a:accent3>
        <a:srgbClr val="939598"/>
      </a:accent3>
      <a:accent4>
        <a:srgbClr val="B2B3B6"/>
      </a:accent4>
      <a:accent5>
        <a:srgbClr val="C7C8CA"/>
      </a:accent5>
      <a:accent6>
        <a:srgbClr val="E7E7E8"/>
      </a:accent6>
      <a:hlink>
        <a:srgbClr val="6D6E71"/>
      </a:hlink>
      <a:folHlink>
        <a:srgbClr val="009DDC"/>
      </a:folHlink>
    </a:clrScheme>
    <a:fontScheme name="11kb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710BAC525444F960584AE20596BAC" ma:contentTypeVersion="0" ma:contentTypeDescription="Create a new document." ma:contentTypeScope="" ma:versionID="ffdc907ccc8e30e6082d3a8eda01f9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4E58E-E9BA-4D3D-978C-0F5C50F0BE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A85F62-037C-408E-A1C5-9F8B24160762}">
  <ds:schemaRefs>
    <ds:schemaRef ds:uri="http://schemas.microsoft.com/sharepoint/v3/contenttype/forms"/>
  </ds:schemaRefs>
</ds:datastoreItem>
</file>

<file path=customXml/itemProps3.xml><?xml version="1.0" encoding="utf-8"?>
<ds:datastoreItem xmlns:ds="http://schemas.openxmlformats.org/officeDocument/2006/customXml" ds:itemID="{EB53B64E-E877-4A46-B243-CE67929A4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FBB221-98AD-4B24-B509-D695BDD6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9229</Words>
  <Characters>52611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Robertson</dc:creator>
  <cp:lastModifiedBy>Susan Monteiro</cp:lastModifiedBy>
  <cp:revision>2</cp:revision>
  <dcterms:created xsi:type="dcterms:W3CDTF">2017-10-25T09:10:00Z</dcterms:created>
  <dcterms:modified xsi:type="dcterms:W3CDTF">2017-10-25T09:10:00Z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0x0101009E4710BAC525444F960584AE20596BAC</vt:lpwstr>
  </property>
</Properties>
</file>