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99E0" w14:textId="75B0219F" w:rsidR="007F12E4" w:rsidRDefault="007E549D" w:rsidP="007E549D">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JOHN LAWS AND HIS CONTRIBUTION TO PUBLIC AND ADMINISTRATIVE LAW</w:t>
      </w:r>
    </w:p>
    <w:p w14:paraId="0106D3BE" w14:textId="7DF5C09D" w:rsidR="007E549D" w:rsidRDefault="007E549D" w:rsidP="007E549D">
      <w:pPr>
        <w:jc w:val="center"/>
        <w:rPr>
          <w:rFonts w:ascii="Times New Roman" w:hAnsi="Times New Roman" w:cs="Times New Roman"/>
          <w:sz w:val="26"/>
          <w:szCs w:val="26"/>
        </w:rPr>
      </w:pPr>
    </w:p>
    <w:p w14:paraId="57EB47C3" w14:textId="77777777" w:rsidR="007E549D" w:rsidRDefault="007E549D" w:rsidP="007E549D">
      <w:pPr>
        <w:jc w:val="center"/>
        <w:rPr>
          <w:rFonts w:ascii="Times New Roman" w:hAnsi="Times New Roman" w:cs="Times New Roman"/>
          <w:sz w:val="26"/>
          <w:szCs w:val="26"/>
        </w:rPr>
      </w:pPr>
    </w:p>
    <w:p w14:paraId="0C787C2E" w14:textId="55F6BB6B" w:rsidR="00100B6C" w:rsidRDefault="007E549D" w:rsidP="007E549D">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John Laws was a</w:t>
      </w:r>
      <w:r w:rsidR="009C16A0">
        <w:rPr>
          <w:rFonts w:ascii="Times New Roman" w:hAnsi="Times New Roman" w:cs="Times New Roman"/>
          <w:sz w:val="26"/>
          <w:szCs w:val="26"/>
        </w:rPr>
        <w:t xml:space="preserve"> memorable and delightful</w:t>
      </w:r>
      <w:r>
        <w:rPr>
          <w:rFonts w:ascii="Times New Roman" w:hAnsi="Times New Roman" w:cs="Times New Roman"/>
          <w:sz w:val="26"/>
          <w:szCs w:val="26"/>
        </w:rPr>
        <w:t xml:space="preserve"> person and an exceptional</w:t>
      </w:r>
      <w:r w:rsidR="009C16A0">
        <w:rPr>
          <w:rFonts w:ascii="Times New Roman" w:hAnsi="Times New Roman" w:cs="Times New Roman"/>
          <w:sz w:val="26"/>
          <w:szCs w:val="26"/>
        </w:rPr>
        <w:t xml:space="preserve"> and original</w:t>
      </w:r>
      <w:r>
        <w:rPr>
          <w:rFonts w:ascii="Times New Roman" w:hAnsi="Times New Roman" w:cs="Times New Roman"/>
          <w:sz w:val="26"/>
          <w:szCs w:val="26"/>
        </w:rPr>
        <w:t xml:space="preserve"> jurist</w:t>
      </w:r>
      <w:r w:rsidR="009C16A0">
        <w:rPr>
          <w:rFonts w:ascii="Times New Roman" w:hAnsi="Times New Roman" w:cs="Times New Roman"/>
          <w:sz w:val="26"/>
          <w:szCs w:val="26"/>
        </w:rPr>
        <w:t>. T</w:t>
      </w:r>
      <w:r>
        <w:rPr>
          <w:rFonts w:ascii="Times New Roman" w:hAnsi="Times New Roman" w:cs="Times New Roman"/>
          <w:sz w:val="26"/>
          <w:szCs w:val="26"/>
        </w:rPr>
        <w:t xml:space="preserve">oday I have been asked to concentrate on his role as  jurist and in particular on his </w:t>
      </w:r>
      <w:r w:rsidR="00100B6C">
        <w:rPr>
          <w:rFonts w:ascii="Times New Roman" w:hAnsi="Times New Roman" w:cs="Times New Roman"/>
          <w:sz w:val="26"/>
          <w:szCs w:val="26"/>
        </w:rPr>
        <w:t xml:space="preserve">outstanding </w:t>
      </w:r>
      <w:r>
        <w:rPr>
          <w:rFonts w:ascii="Times New Roman" w:hAnsi="Times New Roman" w:cs="Times New Roman"/>
          <w:sz w:val="26"/>
          <w:szCs w:val="26"/>
        </w:rPr>
        <w:t xml:space="preserve">contribution </w:t>
      </w:r>
      <w:r w:rsidR="00100B6C">
        <w:rPr>
          <w:rFonts w:ascii="Times New Roman" w:hAnsi="Times New Roman" w:cs="Times New Roman"/>
          <w:sz w:val="26"/>
          <w:szCs w:val="26"/>
        </w:rPr>
        <w:t xml:space="preserve">to public and administrative law. However, before </w:t>
      </w:r>
      <w:r w:rsidR="009C16A0">
        <w:rPr>
          <w:rFonts w:ascii="Times New Roman" w:hAnsi="Times New Roman" w:cs="Times New Roman"/>
          <w:sz w:val="26"/>
          <w:szCs w:val="26"/>
        </w:rPr>
        <w:t>developing that theme</w:t>
      </w:r>
      <w:r w:rsidR="00100B6C">
        <w:rPr>
          <w:rFonts w:ascii="Times New Roman" w:hAnsi="Times New Roman" w:cs="Times New Roman"/>
          <w:sz w:val="26"/>
          <w:szCs w:val="26"/>
        </w:rPr>
        <w:t>, I would like to pay tribute more generally to this remarkable man who so sadly died in April this year.</w:t>
      </w:r>
    </w:p>
    <w:p w14:paraId="046A5293" w14:textId="77777777" w:rsidR="00CB2AF2" w:rsidRDefault="00CB2AF2" w:rsidP="00CB2AF2">
      <w:pPr>
        <w:pStyle w:val="ListParagraph"/>
        <w:spacing w:line="360" w:lineRule="auto"/>
        <w:jc w:val="both"/>
        <w:rPr>
          <w:rFonts w:ascii="Times New Roman" w:hAnsi="Times New Roman" w:cs="Times New Roman"/>
          <w:sz w:val="26"/>
          <w:szCs w:val="26"/>
        </w:rPr>
      </w:pPr>
    </w:p>
    <w:p w14:paraId="5E21754B" w14:textId="06B3E496" w:rsidR="00CB2AF2" w:rsidRDefault="00CB2AF2" w:rsidP="007E549D">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The bare bones of John’s legal career can be shortly stated. Having been called to the Bar in 1970, he quickly proved to be a very successful barrister. In 1984, he was appointed First Junior Treasury Counsel (Common Law), colloquially the Treasury Devil, an exceptionally prestigious and demanding role</w:t>
      </w:r>
      <w:r w:rsidR="00C475DE">
        <w:rPr>
          <w:rFonts w:ascii="Times New Roman" w:hAnsi="Times New Roman" w:cs="Times New Roman"/>
          <w:sz w:val="26"/>
          <w:szCs w:val="26"/>
        </w:rPr>
        <w:t>. He held that</w:t>
      </w:r>
      <w:r>
        <w:rPr>
          <w:rFonts w:ascii="Times New Roman" w:hAnsi="Times New Roman" w:cs="Times New Roman"/>
          <w:sz w:val="26"/>
          <w:szCs w:val="26"/>
        </w:rPr>
        <w:t xml:space="preserve"> position until he was appointed a High Court Judge in 1992. Less than seven years later, he was appointed to the Court of Appeal, where he served as a Lord Justice until he retired from the Bench in 2018. </w:t>
      </w:r>
    </w:p>
    <w:p w14:paraId="78916700" w14:textId="77777777" w:rsidR="00E22390" w:rsidRDefault="00E22390" w:rsidP="00E22390">
      <w:pPr>
        <w:pStyle w:val="ListParagraph"/>
        <w:spacing w:line="360" w:lineRule="auto"/>
        <w:jc w:val="both"/>
        <w:rPr>
          <w:rFonts w:ascii="Times New Roman" w:hAnsi="Times New Roman" w:cs="Times New Roman"/>
          <w:sz w:val="26"/>
          <w:szCs w:val="26"/>
        </w:rPr>
      </w:pPr>
    </w:p>
    <w:p w14:paraId="12B2D329" w14:textId="296D82E2" w:rsidR="00CB2AF2" w:rsidRDefault="00100B6C" w:rsidP="00CB2AF2">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Anyone who met John, even once, </w:t>
      </w:r>
      <w:r w:rsidR="00CB2AF2">
        <w:rPr>
          <w:rFonts w:ascii="Times New Roman" w:hAnsi="Times New Roman" w:cs="Times New Roman"/>
          <w:sz w:val="26"/>
          <w:szCs w:val="26"/>
        </w:rPr>
        <w:t>would not connect that very dry summary with such a memorable person</w:t>
      </w:r>
      <w:r>
        <w:rPr>
          <w:rFonts w:ascii="Times New Roman" w:hAnsi="Times New Roman" w:cs="Times New Roman"/>
          <w:sz w:val="26"/>
          <w:szCs w:val="26"/>
        </w:rPr>
        <w:t>.</w:t>
      </w:r>
      <w:r w:rsidR="009C16A0">
        <w:rPr>
          <w:rFonts w:ascii="Times New Roman" w:hAnsi="Times New Roman" w:cs="Times New Roman"/>
          <w:sz w:val="26"/>
          <w:szCs w:val="26"/>
        </w:rPr>
        <w:t xml:space="preserve"> Physically, </w:t>
      </w:r>
      <w:r w:rsidR="00B35821">
        <w:rPr>
          <w:rFonts w:ascii="Times New Roman" w:hAnsi="Times New Roman" w:cs="Times New Roman"/>
          <w:sz w:val="26"/>
          <w:szCs w:val="26"/>
        </w:rPr>
        <w:t xml:space="preserve">at least in the last twenty years, </w:t>
      </w:r>
      <w:r w:rsidR="009C16A0">
        <w:rPr>
          <w:rFonts w:ascii="Times New Roman" w:hAnsi="Times New Roman" w:cs="Times New Roman"/>
          <w:sz w:val="26"/>
          <w:szCs w:val="26"/>
        </w:rPr>
        <w:t>he presented as a slightly roly-poly figure with thick floppy hair,</w:t>
      </w:r>
      <w:r w:rsidR="00823410">
        <w:rPr>
          <w:rFonts w:ascii="Times New Roman" w:hAnsi="Times New Roman" w:cs="Times New Roman"/>
          <w:sz w:val="26"/>
          <w:szCs w:val="26"/>
        </w:rPr>
        <w:t xml:space="preserve"> and</w:t>
      </w:r>
      <w:r w:rsidR="009C16A0">
        <w:rPr>
          <w:rFonts w:ascii="Times New Roman" w:hAnsi="Times New Roman" w:cs="Times New Roman"/>
          <w:sz w:val="26"/>
          <w:szCs w:val="26"/>
        </w:rPr>
        <w:t xml:space="preserve"> piercing, twinkling eyes</w:t>
      </w:r>
      <w:r w:rsidR="00823410">
        <w:rPr>
          <w:rFonts w:ascii="Times New Roman" w:hAnsi="Times New Roman" w:cs="Times New Roman"/>
          <w:sz w:val="26"/>
          <w:szCs w:val="26"/>
        </w:rPr>
        <w:t xml:space="preserve"> sheltering</w:t>
      </w:r>
      <w:r w:rsidR="009C16A0">
        <w:rPr>
          <w:rFonts w:ascii="Times New Roman" w:hAnsi="Times New Roman" w:cs="Times New Roman"/>
          <w:sz w:val="26"/>
          <w:szCs w:val="26"/>
        </w:rPr>
        <w:t xml:space="preserve"> behind fairly thickly lensed spectacles, </w:t>
      </w:r>
      <w:r w:rsidR="00823410">
        <w:rPr>
          <w:rFonts w:ascii="Times New Roman" w:hAnsi="Times New Roman" w:cs="Times New Roman"/>
          <w:sz w:val="26"/>
          <w:szCs w:val="26"/>
        </w:rPr>
        <w:t xml:space="preserve">with </w:t>
      </w:r>
      <w:r w:rsidR="009C16A0">
        <w:rPr>
          <w:rFonts w:ascii="Times New Roman" w:hAnsi="Times New Roman" w:cs="Times New Roman"/>
          <w:sz w:val="26"/>
          <w:szCs w:val="26"/>
        </w:rPr>
        <w:t>a</w:t>
      </w:r>
      <w:r w:rsidR="00E22390">
        <w:rPr>
          <w:rFonts w:ascii="Times New Roman" w:hAnsi="Times New Roman" w:cs="Times New Roman"/>
          <w:sz w:val="26"/>
          <w:szCs w:val="26"/>
        </w:rPr>
        <w:t>n engaging</w:t>
      </w:r>
      <w:r w:rsidR="009C16A0">
        <w:rPr>
          <w:rFonts w:ascii="Times New Roman" w:hAnsi="Times New Roman" w:cs="Times New Roman"/>
          <w:sz w:val="26"/>
          <w:szCs w:val="26"/>
        </w:rPr>
        <w:t xml:space="preserve"> but acute expression, and a taste for colourful, some might say arresting, even jarring, ties and socks</w:t>
      </w:r>
      <w:r w:rsidR="00A72851">
        <w:rPr>
          <w:rFonts w:ascii="Times New Roman" w:hAnsi="Times New Roman" w:cs="Times New Roman"/>
          <w:sz w:val="26"/>
          <w:szCs w:val="26"/>
        </w:rPr>
        <w:t xml:space="preserve">, and a love of </w:t>
      </w:r>
      <w:r w:rsidR="00B35821">
        <w:rPr>
          <w:rFonts w:ascii="Times New Roman" w:hAnsi="Times New Roman" w:cs="Times New Roman"/>
          <w:sz w:val="26"/>
          <w:szCs w:val="26"/>
        </w:rPr>
        <w:t>ancient and modern</w:t>
      </w:r>
      <w:r w:rsidR="00A72851">
        <w:rPr>
          <w:rFonts w:ascii="Times New Roman" w:hAnsi="Times New Roman" w:cs="Times New Roman"/>
          <w:sz w:val="26"/>
          <w:szCs w:val="26"/>
        </w:rPr>
        <w:t xml:space="preserve"> Greece and a fondness for cats</w:t>
      </w:r>
      <w:r w:rsidR="009C16A0">
        <w:rPr>
          <w:rFonts w:ascii="Times New Roman" w:hAnsi="Times New Roman" w:cs="Times New Roman"/>
          <w:sz w:val="26"/>
          <w:szCs w:val="26"/>
        </w:rPr>
        <w:t xml:space="preserve">. Whether </w:t>
      </w:r>
      <w:r w:rsidR="00823410">
        <w:rPr>
          <w:rFonts w:ascii="Times New Roman" w:hAnsi="Times New Roman" w:cs="Times New Roman"/>
          <w:sz w:val="26"/>
          <w:szCs w:val="26"/>
        </w:rPr>
        <w:t>one met him at</w:t>
      </w:r>
      <w:r w:rsidR="009C16A0">
        <w:rPr>
          <w:rFonts w:ascii="Times New Roman" w:hAnsi="Times New Roman" w:cs="Times New Roman"/>
          <w:sz w:val="26"/>
          <w:szCs w:val="26"/>
        </w:rPr>
        <w:t xml:space="preserve"> a social or a professional event. it</w:t>
      </w:r>
      <w:r>
        <w:rPr>
          <w:rFonts w:ascii="Times New Roman" w:hAnsi="Times New Roman" w:cs="Times New Roman"/>
          <w:sz w:val="26"/>
          <w:szCs w:val="26"/>
        </w:rPr>
        <w:t xml:space="preserve"> did not take long to appreciate </w:t>
      </w:r>
      <w:r w:rsidR="009C16A0">
        <w:rPr>
          <w:rFonts w:ascii="Times New Roman" w:hAnsi="Times New Roman" w:cs="Times New Roman"/>
          <w:sz w:val="26"/>
          <w:szCs w:val="26"/>
        </w:rPr>
        <w:t>his</w:t>
      </w:r>
      <w:r>
        <w:rPr>
          <w:rFonts w:ascii="Times New Roman" w:hAnsi="Times New Roman" w:cs="Times New Roman"/>
          <w:sz w:val="26"/>
          <w:szCs w:val="26"/>
        </w:rPr>
        <w:t xml:space="preserve"> unusual combination of</w:t>
      </w:r>
      <w:r w:rsidR="00E21CD0">
        <w:rPr>
          <w:rFonts w:ascii="Times New Roman" w:hAnsi="Times New Roman" w:cs="Times New Roman"/>
          <w:sz w:val="26"/>
          <w:szCs w:val="26"/>
        </w:rPr>
        <w:t xml:space="preserve"> </w:t>
      </w:r>
      <w:r>
        <w:rPr>
          <w:rFonts w:ascii="Times New Roman" w:hAnsi="Times New Roman" w:cs="Times New Roman"/>
          <w:sz w:val="26"/>
          <w:szCs w:val="26"/>
        </w:rPr>
        <w:t>intellectual acuity, verbal fluency,  moral probity and personal benevolence</w:t>
      </w:r>
      <w:r w:rsidR="009C16A0">
        <w:rPr>
          <w:rFonts w:ascii="Times New Roman" w:hAnsi="Times New Roman" w:cs="Times New Roman"/>
          <w:sz w:val="26"/>
          <w:szCs w:val="26"/>
        </w:rPr>
        <w:t>,</w:t>
      </w:r>
      <w:r>
        <w:rPr>
          <w:rFonts w:ascii="Times New Roman" w:hAnsi="Times New Roman" w:cs="Times New Roman"/>
          <w:sz w:val="26"/>
          <w:szCs w:val="26"/>
        </w:rPr>
        <w:t xml:space="preserve"> spiced with a mild</w:t>
      </w:r>
      <w:r w:rsidR="009C16A0">
        <w:rPr>
          <w:rFonts w:ascii="Times New Roman" w:hAnsi="Times New Roman" w:cs="Times New Roman"/>
          <w:sz w:val="26"/>
          <w:szCs w:val="26"/>
        </w:rPr>
        <w:t>, but unmistakable</w:t>
      </w:r>
      <w:r w:rsidR="00C475DE">
        <w:rPr>
          <w:rFonts w:ascii="Times New Roman" w:hAnsi="Times New Roman" w:cs="Times New Roman"/>
          <w:sz w:val="26"/>
          <w:szCs w:val="26"/>
        </w:rPr>
        <w:t xml:space="preserve"> and</w:t>
      </w:r>
      <w:r>
        <w:rPr>
          <w:rFonts w:ascii="Times New Roman" w:hAnsi="Times New Roman" w:cs="Times New Roman"/>
          <w:sz w:val="26"/>
          <w:szCs w:val="26"/>
        </w:rPr>
        <w:t xml:space="preserve"> endearing dose of eccentricity. </w:t>
      </w:r>
    </w:p>
    <w:p w14:paraId="715B75ED" w14:textId="77777777" w:rsidR="00CB2AF2" w:rsidRPr="00CB2AF2" w:rsidRDefault="00CB2AF2" w:rsidP="00CB2AF2">
      <w:pPr>
        <w:pStyle w:val="ListParagraph"/>
        <w:rPr>
          <w:rFonts w:ascii="Times New Roman" w:hAnsi="Times New Roman" w:cs="Times New Roman"/>
          <w:sz w:val="26"/>
          <w:szCs w:val="26"/>
        </w:rPr>
      </w:pPr>
    </w:p>
    <w:p w14:paraId="2C82E5B7" w14:textId="5EC9ABC0" w:rsidR="004F43BD" w:rsidRDefault="009C16A0" w:rsidP="004F43BD">
      <w:pPr>
        <w:pStyle w:val="ListParagraph"/>
        <w:numPr>
          <w:ilvl w:val="0"/>
          <w:numId w:val="1"/>
        </w:numPr>
        <w:spacing w:line="360" w:lineRule="auto"/>
        <w:jc w:val="both"/>
        <w:rPr>
          <w:rFonts w:ascii="Times New Roman" w:hAnsi="Times New Roman" w:cs="Times New Roman"/>
          <w:sz w:val="26"/>
          <w:szCs w:val="26"/>
        </w:rPr>
      </w:pPr>
      <w:r w:rsidRPr="00CB2AF2">
        <w:rPr>
          <w:rFonts w:ascii="Times New Roman" w:hAnsi="Times New Roman" w:cs="Times New Roman"/>
          <w:sz w:val="26"/>
          <w:szCs w:val="26"/>
        </w:rPr>
        <w:t xml:space="preserve">Outside court, </w:t>
      </w:r>
      <w:r w:rsidR="00823410" w:rsidRPr="00CB2AF2">
        <w:rPr>
          <w:rFonts w:ascii="Times New Roman" w:hAnsi="Times New Roman" w:cs="Times New Roman"/>
          <w:sz w:val="26"/>
          <w:szCs w:val="26"/>
        </w:rPr>
        <w:t>John was the opposite of a snob: he</w:t>
      </w:r>
      <w:r w:rsidRPr="00CB2AF2">
        <w:rPr>
          <w:rFonts w:ascii="Times New Roman" w:hAnsi="Times New Roman" w:cs="Times New Roman"/>
          <w:sz w:val="26"/>
          <w:szCs w:val="26"/>
        </w:rPr>
        <w:t xml:space="preserve"> treated everyone he talked to as his equal, and in court he dealt with advocates and colleagues not according </w:t>
      </w:r>
      <w:r w:rsidRPr="00CB2AF2">
        <w:rPr>
          <w:rFonts w:ascii="Times New Roman" w:hAnsi="Times New Roman" w:cs="Times New Roman"/>
          <w:sz w:val="26"/>
          <w:szCs w:val="26"/>
        </w:rPr>
        <w:lastRenderedPageBreak/>
        <w:t xml:space="preserve">to their status but in accordance with what they said. </w:t>
      </w:r>
      <w:r w:rsidR="004F4BC5" w:rsidRPr="00CB2AF2">
        <w:rPr>
          <w:rFonts w:ascii="Times New Roman" w:hAnsi="Times New Roman" w:cs="Times New Roman"/>
          <w:sz w:val="26"/>
          <w:szCs w:val="26"/>
        </w:rPr>
        <w:t xml:space="preserve">He genuinely cared about people and is fondly and gratefully remembered by many former law students and pupils for </w:t>
      </w:r>
      <w:r w:rsidR="00C475DE">
        <w:rPr>
          <w:rFonts w:ascii="Times New Roman" w:hAnsi="Times New Roman" w:cs="Times New Roman"/>
          <w:sz w:val="26"/>
          <w:szCs w:val="26"/>
        </w:rPr>
        <w:t>the genuine</w:t>
      </w:r>
      <w:r w:rsidR="004F4BC5" w:rsidRPr="00CB2AF2">
        <w:rPr>
          <w:rFonts w:ascii="Times New Roman" w:hAnsi="Times New Roman" w:cs="Times New Roman"/>
          <w:sz w:val="26"/>
          <w:szCs w:val="26"/>
        </w:rPr>
        <w:t xml:space="preserve"> interest</w:t>
      </w:r>
      <w:r w:rsidR="00823410" w:rsidRPr="00CB2AF2">
        <w:rPr>
          <w:rFonts w:ascii="Times New Roman" w:hAnsi="Times New Roman" w:cs="Times New Roman"/>
          <w:sz w:val="26"/>
          <w:szCs w:val="26"/>
        </w:rPr>
        <w:t xml:space="preserve"> he showed</w:t>
      </w:r>
      <w:r w:rsidR="00C475DE">
        <w:rPr>
          <w:rFonts w:ascii="Times New Roman" w:hAnsi="Times New Roman" w:cs="Times New Roman"/>
          <w:sz w:val="26"/>
          <w:szCs w:val="26"/>
        </w:rPr>
        <w:t xml:space="preserve"> in them,</w:t>
      </w:r>
      <w:r w:rsidR="004F4BC5" w:rsidRPr="00CB2AF2">
        <w:rPr>
          <w:rFonts w:ascii="Times New Roman" w:hAnsi="Times New Roman" w:cs="Times New Roman"/>
          <w:sz w:val="26"/>
          <w:szCs w:val="26"/>
        </w:rPr>
        <w:t xml:space="preserve"> and </w:t>
      </w:r>
      <w:r w:rsidR="00823410" w:rsidRPr="00CB2AF2">
        <w:rPr>
          <w:rFonts w:ascii="Times New Roman" w:hAnsi="Times New Roman" w:cs="Times New Roman"/>
          <w:sz w:val="26"/>
          <w:szCs w:val="26"/>
        </w:rPr>
        <w:t xml:space="preserve">the </w:t>
      </w:r>
      <w:r w:rsidR="004F4BC5" w:rsidRPr="00CB2AF2">
        <w:rPr>
          <w:rFonts w:ascii="Times New Roman" w:hAnsi="Times New Roman" w:cs="Times New Roman"/>
          <w:sz w:val="26"/>
          <w:szCs w:val="26"/>
        </w:rPr>
        <w:t xml:space="preserve">practical support which he </w:t>
      </w:r>
      <w:r w:rsidR="00823410" w:rsidRPr="00CB2AF2">
        <w:rPr>
          <w:rFonts w:ascii="Times New Roman" w:hAnsi="Times New Roman" w:cs="Times New Roman"/>
          <w:sz w:val="26"/>
          <w:szCs w:val="26"/>
        </w:rPr>
        <w:t>gave</w:t>
      </w:r>
      <w:r w:rsidR="00C475DE">
        <w:rPr>
          <w:rFonts w:ascii="Times New Roman" w:hAnsi="Times New Roman" w:cs="Times New Roman"/>
          <w:sz w:val="26"/>
          <w:szCs w:val="26"/>
        </w:rPr>
        <w:t xml:space="preserve"> them</w:t>
      </w:r>
      <w:r w:rsidR="00B35821">
        <w:rPr>
          <w:rFonts w:ascii="Times New Roman" w:hAnsi="Times New Roman" w:cs="Times New Roman"/>
          <w:sz w:val="26"/>
          <w:szCs w:val="26"/>
        </w:rPr>
        <w:t>, particularly in Inner Temple where he was a devoted committed bencher and a memorable Treasurer</w:t>
      </w:r>
      <w:r w:rsidR="004F4BC5" w:rsidRPr="00CB2AF2">
        <w:rPr>
          <w:rFonts w:ascii="Times New Roman" w:hAnsi="Times New Roman" w:cs="Times New Roman"/>
          <w:sz w:val="26"/>
          <w:szCs w:val="26"/>
        </w:rPr>
        <w:t xml:space="preserve">. </w:t>
      </w:r>
      <w:r w:rsidR="00CB2AF2">
        <w:rPr>
          <w:rFonts w:ascii="Times New Roman" w:hAnsi="Times New Roman" w:cs="Times New Roman"/>
          <w:sz w:val="26"/>
          <w:szCs w:val="26"/>
        </w:rPr>
        <w:t>His commitment to bar students and to the legal community</w:t>
      </w:r>
      <w:r w:rsidR="005732F4">
        <w:rPr>
          <w:rFonts w:ascii="Times New Roman" w:hAnsi="Times New Roman" w:cs="Times New Roman"/>
          <w:sz w:val="26"/>
          <w:szCs w:val="26"/>
        </w:rPr>
        <w:t xml:space="preserve"> generally</w:t>
      </w:r>
      <w:r w:rsidR="00CB2AF2">
        <w:rPr>
          <w:rFonts w:ascii="Times New Roman" w:hAnsi="Times New Roman" w:cs="Times New Roman"/>
          <w:sz w:val="26"/>
          <w:szCs w:val="26"/>
        </w:rPr>
        <w:t xml:space="preserve"> is well demonstrated by the </w:t>
      </w:r>
      <w:r w:rsidR="001D5B2E">
        <w:rPr>
          <w:rFonts w:ascii="Times New Roman" w:hAnsi="Times New Roman" w:cs="Times New Roman"/>
          <w:sz w:val="26"/>
          <w:szCs w:val="26"/>
        </w:rPr>
        <w:t>fact that for some fifteen years</w:t>
      </w:r>
      <w:r w:rsidR="001D5B2E" w:rsidRPr="00CB2AF2">
        <w:rPr>
          <w:rFonts w:ascii="Times New Roman" w:hAnsi="Times New Roman" w:cs="Times New Roman"/>
          <w:sz w:val="26"/>
          <w:szCs w:val="26"/>
        </w:rPr>
        <w:t xml:space="preserve"> </w:t>
      </w:r>
      <w:r w:rsidR="001D5B2E">
        <w:rPr>
          <w:rFonts w:ascii="Times New Roman" w:hAnsi="Times New Roman" w:cs="Times New Roman"/>
          <w:sz w:val="26"/>
          <w:szCs w:val="26"/>
        </w:rPr>
        <w:t xml:space="preserve">he was the Visitor at Cumberland Lodge, an educational establishment dedicated to academic workshops, and much used by the Inns of Court for training young barristers.  </w:t>
      </w:r>
      <w:r w:rsidR="00823410" w:rsidRPr="00CB2AF2">
        <w:rPr>
          <w:rFonts w:ascii="Times New Roman" w:hAnsi="Times New Roman" w:cs="Times New Roman"/>
          <w:sz w:val="26"/>
          <w:szCs w:val="26"/>
        </w:rPr>
        <w:t>In court and out of court, h</w:t>
      </w:r>
      <w:r w:rsidRPr="00CB2AF2">
        <w:rPr>
          <w:rFonts w:ascii="Times New Roman" w:hAnsi="Times New Roman" w:cs="Times New Roman"/>
          <w:sz w:val="26"/>
          <w:szCs w:val="26"/>
        </w:rPr>
        <w:t xml:space="preserve">e </w:t>
      </w:r>
      <w:r w:rsidR="00823410" w:rsidRPr="00CB2AF2">
        <w:rPr>
          <w:rFonts w:ascii="Times New Roman" w:hAnsi="Times New Roman" w:cs="Times New Roman"/>
          <w:sz w:val="26"/>
          <w:szCs w:val="26"/>
        </w:rPr>
        <w:t xml:space="preserve">always </w:t>
      </w:r>
      <w:r w:rsidRPr="00CB2AF2">
        <w:rPr>
          <w:rFonts w:ascii="Times New Roman" w:hAnsi="Times New Roman" w:cs="Times New Roman"/>
          <w:sz w:val="26"/>
          <w:szCs w:val="26"/>
        </w:rPr>
        <w:t>enjoyed a debate</w:t>
      </w:r>
      <w:r w:rsidR="005732F4">
        <w:rPr>
          <w:rFonts w:ascii="Times New Roman" w:hAnsi="Times New Roman" w:cs="Times New Roman"/>
          <w:sz w:val="26"/>
          <w:szCs w:val="26"/>
        </w:rPr>
        <w:t>, and he</w:t>
      </w:r>
      <w:r w:rsidRPr="00CB2AF2">
        <w:rPr>
          <w:rFonts w:ascii="Times New Roman" w:hAnsi="Times New Roman" w:cs="Times New Roman"/>
          <w:sz w:val="26"/>
          <w:szCs w:val="26"/>
        </w:rPr>
        <w:t xml:space="preserve"> </w:t>
      </w:r>
      <w:r w:rsidR="00823410" w:rsidRPr="00CB2AF2">
        <w:rPr>
          <w:rFonts w:ascii="Times New Roman" w:hAnsi="Times New Roman" w:cs="Times New Roman"/>
          <w:sz w:val="26"/>
          <w:szCs w:val="26"/>
        </w:rPr>
        <w:t>could be relied on to</w:t>
      </w:r>
      <w:r w:rsidRPr="00CB2AF2">
        <w:rPr>
          <w:rFonts w:ascii="Times New Roman" w:hAnsi="Times New Roman" w:cs="Times New Roman"/>
          <w:sz w:val="26"/>
          <w:szCs w:val="26"/>
        </w:rPr>
        <w:t xml:space="preserve"> conduct</w:t>
      </w:r>
      <w:r w:rsidR="005732F4">
        <w:rPr>
          <w:rFonts w:ascii="Times New Roman" w:hAnsi="Times New Roman" w:cs="Times New Roman"/>
          <w:sz w:val="26"/>
          <w:szCs w:val="26"/>
        </w:rPr>
        <w:t xml:space="preserve"> any debate</w:t>
      </w:r>
      <w:r w:rsidRPr="00CB2AF2">
        <w:rPr>
          <w:rFonts w:ascii="Times New Roman" w:hAnsi="Times New Roman" w:cs="Times New Roman"/>
          <w:sz w:val="26"/>
          <w:szCs w:val="26"/>
        </w:rPr>
        <w:t xml:space="preserve"> wit</w:t>
      </w:r>
      <w:r w:rsidR="00823410" w:rsidRPr="00CB2AF2">
        <w:rPr>
          <w:rFonts w:ascii="Times New Roman" w:hAnsi="Times New Roman" w:cs="Times New Roman"/>
          <w:sz w:val="26"/>
          <w:szCs w:val="26"/>
        </w:rPr>
        <w:t>h</w:t>
      </w:r>
      <w:r w:rsidR="001D5B2E">
        <w:rPr>
          <w:rFonts w:ascii="Times New Roman" w:hAnsi="Times New Roman" w:cs="Times New Roman"/>
          <w:sz w:val="26"/>
          <w:szCs w:val="26"/>
        </w:rPr>
        <w:t xml:space="preserve"> intellectual brilliance, verbal elegance and</w:t>
      </w:r>
      <w:r w:rsidR="00823410" w:rsidRPr="00CB2AF2">
        <w:rPr>
          <w:rFonts w:ascii="Times New Roman" w:hAnsi="Times New Roman" w:cs="Times New Roman"/>
          <w:sz w:val="26"/>
          <w:szCs w:val="26"/>
        </w:rPr>
        <w:t xml:space="preserve"> courte</w:t>
      </w:r>
      <w:r w:rsidR="001D5B2E">
        <w:rPr>
          <w:rFonts w:ascii="Times New Roman" w:hAnsi="Times New Roman" w:cs="Times New Roman"/>
          <w:sz w:val="26"/>
          <w:szCs w:val="26"/>
        </w:rPr>
        <w:t>ous</w:t>
      </w:r>
      <w:r w:rsidR="00823410" w:rsidRPr="00CB2AF2">
        <w:rPr>
          <w:rFonts w:ascii="Times New Roman" w:hAnsi="Times New Roman" w:cs="Times New Roman"/>
          <w:sz w:val="26"/>
          <w:szCs w:val="26"/>
        </w:rPr>
        <w:t xml:space="preserve"> </w:t>
      </w:r>
      <w:r w:rsidRPr="00CB2AF2">
        <w:rPr>
          <w:rFonts w:ascii="Times New Roman" w:hAnsi="Times New Roman" w:cs="Times New Roman"/>
          <w:sz w:val="26"/>
          <w:szCs w:val="26"/>
        </w:rPr>
        <w:t>good humour</w:t>
      </w:r>
      <w:r w:rsidR="001D5B2E">
        <w:rPr>
          <w:rFonts w:ascii="Times New Roman" w:hAnsi="Times New Roman" w:cs="Times New Roman"/>
          <w:sz w:val="26"/>
          <w:szCs w:val="26"/>
        </w:rPr>
        <w:t>,</w:t>
      </w:r>
      <w:r w:rsidRPr="00CB2AF2">
        <w:rPr>
          <w:rFonts w:ascii="Times New Roman" w:hAnsi="Times New Roman" w:cs="Times New Roman"/>
          <w:sz w:val="26"/>
          <w:szCs w:val="26"/>
        </w:rPr>
        <w:t xml:space="preserve"> and</w:t>
      </w:r>
      <w:r w:rsidR="005732F4">
        <w:rPr>
          <w:rFonts w:ascii="Times New Roman" w:hAnsi="Times New Roman" w:cs="Times New Roman"/>
          <w:sz w:val="26"/>
          <w:szCs w:val="26"/>
        </w:rPr>
        <w:t>, however strongly he felt,</w:t>
      </w:r>
      <w:r w:rsidRPr="00CB2AF2">
        <w:rPr>
          <w:rFonts w:ascii="Times New Roman" w:hAnsi="Times New Roman" w:cs="Times New Roman"/>
          <w:sz w:val="26"/>
          <w:szCs w:val="26"/>
        </w:rPr>
        <w:t xml:space="preserve"> without</w:t>
      </w:r>
      <w:r w:rsidR="00823410" w:rsidRPr="00CB2AF2">
        <w:rPr>
          <w:rFonts w:ascii="Times New Roman" w:hAnsi="Times New Roman" w:cs="Times New Roman"/>
          <w:sz w:val="26"/>
          <w:szCs w:val="26"/>
        </w:rPr>
        <w:t xml:space="preserve"> bitterness or</w:t>
      </w:r>
      <w:r w:rsidRPr="00CB2AF2">
        <w:rPr>
          <w:rFonts w:ascii="Times New Roman" w:hAnsi="Times New Roman" w:cs="Times New Roman"/>
          <w:sz w:val="26"/>
          <w:szCs w:val="26"/>
        </w:rPr>
        <w:t xml:space="preserve"> side. The breadth of his knowledge and the depth of his thinking </w:t>
      </w:r>
      <w:r w:rsidR="00C475DE">
        <w:rPr>
          <w:rFonts w:ascii="Times New Roman" w:hAnsi="Times New Roman" w:cs="Times New Roman"/>
          <w:sz w:val="26"/>
          <w:szCs w:val="26"/>
        </w:rPr>
        <w:t>in</w:t>
      </w:r>
      <w:r w:rsidRPr="00CB2AF2">
        <w:rPr>
          <w:rFonts w:ascii="Times New Roman" w:hAnsi="Times New Roman" w:cs="Times New Roman"/>
          <w:sz w:val="26"/>
          <w:szCs w:val="26"/>
        </w:rPr>
        <w:t xml:space="preserve"> legal </w:t>
      </w:r>
      <w:r w:rsidR="00C475DE">
        <w:rPr>
          <w:rFonts w:ascii="Times New Roman" w:hAnsi="Times New Roman" w:cs="Times New Roman"/>
          <w:sz w:val="26"/>
          <w:szCs w:val="26"/>
        </w:rPr>
        <w:t xml:space="preserve">and other intellectual areas </w:t>
      </w:r>
      <w:r w:rsidRPr="00CB2AF2">
        <w:rPr>
          <w:rFonts w:ascii="Times New Roman" w:hAnsi="Times New Roman" w:cs="Times New Roman"/>
          <w:sz w:val="26"/>
          <w:szCs w:val="26"/>
        </w:rPr>
        <w:t>was impressive, and</w:t>
      </w:r>
      <w:r w:rsidR="004F4BC5" w:rsidRPr="00CB2AF2">
        <w:rPr>
          <w:rFonts w:ascii="Times New Roman" w:hAnsi="Times New Roman" w:cs="Times New Roman"/>
          <w:sz w:val="26"/>
          <w:szCs w:val="26"/>
        </w:rPr>
        <w:t>, coupled with his erudition in philosophy, history and the classics, this all</w:t>
      </w:r>
      <w:r w:rsidRPr="00CB2AF2">
        <w:rPr>
          <w:rFonts w:ascii="Times New Roman" w:hAnsi="Times New Roman" w:cs="Times New Roman"/>
          <w:sz w:val="26"/>
          <w:szCs w:val="26"/>
        </w:rPr>
        <w:t xml:space="preserve"> would have </w:t>
      </w:r>
      <w:r w:rsidR="004F4BC5" w:rsidRPr="00CB2AF2">
        <w:rPr>
          <w:rFonts w:ascii="Times New Roman" w:hAnsi="Times New Roman" w:cs="Times New Roman"/>
          <w:sz w:val="26"/>
          <w:szCs w:val="26"/>
        </w:rPr>
        <w:t>made him an</w:t>
      </w:r>
      <w:r w:rsidRPr="00CB2AF2">
        <w:rPr>
          <w:rFonts w:ascii="Times New Roman" w:hAnsi="Times New Roman" w:cs="Times New Roman"/>
          <w:sz w:val="26"/>
          <w:szCs w:val="26"/>
        </w:rPr>
        <w:t xml:space="preserve"> intimidating </w:t>
      </w:r>
      <w:r w:rsidR="004F4BC5" w:rsidRPr="00CB2AF2">
        <w:rPr>
          <w:rFonts w:ascii="Times New Roman" w:hAnsi="Times New Roman" w:cs="Times New Roman"/>
          <w:sz w:val="26"/>
          <w:szCs w:val="26"/>
        </w:rPr>
        <w:t xml:space="preserve">person </w:t>
      </w:r>
      <w:r w:rsidRPr="00CB2AF2">
        <w:rPr>
          <w:rFonts w:ascii="Times New Roman" w:hAnsi="Times New Roman" w:cs="Times New Roman"/>
          <w:sz w:val="26"/>
          <w:szCs w:val="26"/>
        </w:rPr>
        <w:t xml:space="preserve">had </w:t>
      </w:r>
      <w:r w:rsidR="00C475DE">
        <w:rPr>
          <w:rFonts w:ascii="Times New Roman" w:hAnsi="Times New Roman" w:cs="Times New Roman"/>
          <w:sz w:val="26"/>
          <w:szCs w:val="26"/>
        </w:rPr>
        <w:t xml:space="preserve">it not been for his </w:t>
      </w:r>
      <w:r w:rsidRPr="00CB2AF2">
        <w:rPr>
          <w:rFonts w:ascii="Times New Roman" w:hAnsi="Times New Roman" w:cs="Times New Roman"/>
          <w:sz w:val="26"/>
          <w:szCs w:val="26"/>
        </w:rPr>
        <w:t>relaxed</w:t>
      </w:r>
      <w:r w:rsidR="00E21CD0">
        <w:rPr>
          <w:rFonts w:ascii="Times New Roman" w:hAnsi="Times New Roman" w:cs="Times New Roman"/>
          <w:sz w:val="26"/>
          <w:szCs w:val="26"/>
        </w:rPr>
        <w:t>, gregarious, warm</w:t>
      </w:r>
      <w:r w:rsidRPr="00CB2AF2">
        <w:rPr>
          <w:rFonts w:ascii="Times New Roman" w:hAnsi="Times New Roman" w:cs="Times New Roman"/>
          <w:sz w:val="26"/>
          <w:szCs w:val="26"/>
        </w:rPr>
        <w:t xml:space="preserve"> and unpretentious character. </w:t>
      </w:r>
    </w:p>
    <w:p w14:paraId="5F43CC84" w14:textId="77777777" w:rsidR="004F43BD" w:rsidRDefault="004F43BD" w:rsidP="004F43BD">
      <w:pPr>
        <w:pStyle w:val="ListParagraph"/>
        <w:spacing w:line="360" w:lineRule="auto"/>
        <w:jc w:val="both"/>
        <w:rPr>
          <w:rFonts w:ascii="Times New Roman" w:hAnsi="Times New Roman" w:cs="Times New Roman"/>
          <w:sz w:val="26"/>
          <w:szCs w:val="26"/>
        </w:rPr>
      </w:pPr>
    </w:p>
    <w:p w14:paraId="6CACF653" w14:textId="425D08C0" w:rsidR="004F43BD" w:rsidRPr="004F43BD" w:rsidRDefault="004F31C9" w:rsidP="004F43BD">
      <w:pPr>
        <w:pStyle w:val="ListParagraph"/>
        <w:numPr>
          <w:ilvl w:val="0"/>
          <w:numId w:val="1"/>
        </w:numPr>
        <w:spacing w:line="360" w:lineRule="auto"/>
        <w:jc w:val="both"/>
        <w:rPr>
          <w:rFonts w:ascii="Times New Roman" w:hAnsi="Times New Roman" w:cs="Times New Roman"/>
          <w:sz w:val="26"/>
          <w:szCs w:val="26"/>
        </w:rPr>
      </w:pPr>
      <w:r w:rsidRPr="004F43BD">
        <w:rPr>
          <w:rFonts w:ascii="Times New Roman" w:hAnsi="Times New Roman" w:cs="Times New Roman"/>
          <w:sz w:val="26"/>
          <w:szCs w:val="26"/>
        </w:rPr>
        <w:t xml:space="preserve">There was an unusual fearlessness about John, which was closely connected with </w:t>
      </w:r>
      <w:r w:rsidR="004F43BD" w:rsidRPr="004F43BD">
        <w:rPr>
          <w:rFonts w:ascii="Times New Roman" w:hAnsi="Times New Roman" w:cs="Times New Roman"/>
          <w:sz w:val="26"/>
          <w:szCs w:val="26"/>
        </w:rPr>
        <w:t>his commitment to principle and, in a very unpriggish way, his strong sense of</w:t>
      </w:r>
      <w:r w:rsidRPr="004F43BD">
        <w:rPr>
          <w:rFonts w:ascii="Times New Roman" w:hAnsi="Times New Roman" w:cs="Times New Roman"/>
          <w:sz w:val="26"/>
          <w:szCs w:val="26"/>
        </w:rPr>
        <w:t xml:space="preserve"> moral</w:t>
      </w:r>
      <w:r w:rsidR="004F43BD" w:rsidRPr="004F43BD">
        <w:rPr>
          <w:rFonts w:ascii="Times New Roman" w:hAnsi="Times New Roman" w:cs="Times New Roman"/>
          <w:sz w:val="26"/>
          <w:szCs w:val="26"/>
        </w:rPr>
        <w:t>ity</w:t>
      </w:r>
      <w:r w:rsidRPr="004F43BD">
        <w:rPr>
          <w:rFonts w:ascii="Times New Roman" w:hAnsi="Times New Roman" w:cs="Times New Roman"/>
          <w:sz w:val="26"/>
          <w:szCs w:val="26"/>
        </w:rPr>
        <w:t xml:space="preserve">. This manifested itself </w:t>
      </w:r>
      <w:r w:rsidR="004F43BD" w:rsidRPr="004F43BD">
        <w:rPr>
          <w:rFonts w:ascii="Times New Roman" w:hAnsi="Times New Roman" w:cs="Times New Roman"/>
          <w:sz w:val="26"/>
          <w:szCs w:val="26"/>
        </w:rPr>
        <w:t xml:space="preserve">when he was at the Bar, both in practice and in his private life. As another very impressive and </w:t>
      </w:r>
      <w:r w:rsidR="00C475DE">
        <w:rPr>
          <w:rFonts w:ascii="Times New Roman" w:hAnsi="Times New Roman" w:cs="Times New Roman"/>
          <w:sz w:val="26"/>
          <w:szCs w:val="26"/>
        </w:rPr>
        <w:t>admir</w:t>
      </w:r>
      <w:r w:rsidR="004F43BD" w:rsidRPr="004F43BD">
        <w:rPr>
          <w:rFonts w:ascii="Times New Roman" w:hAnsi="Times New Roman" w:cs="Times New Roman"/>
          <w:sz w:val="26"/>
          <w:szCs w:val="26"/>
        </w:rPr>
        <w:t>able judge, Stephen Sedley, explained in a lecture four years ago</w:t>
      </w:r>
      <w:r w:rsidR="004F43BD">
        <w:rPr>
          <w:rStyle w:val="FootnoteReference"/>
          <w:rFonts w:ascii="Times New Roman" w:hAnsi="Times New Roman" w:cs="Times New Roman"/>
          <w:sz w:val="26"/>
          <w:szCs w:val="26"/>
        </w:rPr>
        <w:footnoteReference w:id="1"/>
      </w:r>
      <w:r w:rsidR="004F43BD" w:rsidRPr="004F43BD">
        <w:rPr>
          <w:rFonts w:ascii="Times New Roman" w:hAnsi="Times New Roman" w:cs="Times New Roman"/>
          <w:sz w:val="26"/>
          <w:szCs w:val="26"/>
        </w:rPr>
        <w:t>,</w:t>
      </w:r>
      <w:r w:rsidR="005732F4">
        <w:rPr>
          <w:rFonts w:ascii="Times New Roman" w:hAnsi="Times New Roman" w:cs="Times New Roman"/>
          <w:sz w:val="26"/>
          <w:szCs w:val="26"/>
        </w:rPr>
        <w:t xml:space="preserve"> as a barrister</w:t>
      </w:r>
      <w:r w:rsidR="004F43BD" w:rsidRPr="004F43BD">
        <w:rPr>
          <w:rFonts w:ascii="Times New Roman" w:hAnsi="Times New Roman" w:cs="Times New Roman"/>
          <w:sz w:val="26"/>
          <w:szCs w:val="26"/>
        </w:rPr>
        <w:t xml:space="preserve"> John placed the development of a principled body of law ahead of the need to win a particular case</w:t>
      </w:r>
      <w:r w:rsidR="00DE1C89">
        <w:rPr>
          <w:rFonts w:ascii="Times New Roman" w:hAnsi="Times New Roman" w:cs="Times New Roman"/>
          <w:sz w:val="26"/>
          <w:szCs w:val="26"/>
        </w:rPr>
        <w:t>. Stephen referred to</w:t>
      </w:r>
      <w:r w:rsidR="004F43BD" w:rsidRPr="004F43BD">
        <w:rPr>
          <w:rFonts w:ascii="Times New Roman" w:hAnsi="Times New Roman" w:cs="Times New Roman"/>
          <w:sz w:val="26"/>
          <w:szCs w:val="26"/>
        </w:rPr>
        <w:t xml:space="preserve"> </w:t>
      </w:r>
      <w:r w:rsidR="00DE1C89">
        <w:rPr>
          <w:rFonts w:ascii="Times New Roman" w:hAnsi="Times New Roman" w:cs="Times New Roman"/>
          <w:sz w:val="26"/>
          <w:szCs w:val="26"/>
        </w:rPr>
        <w:t xml:space="preserve">the 1988 </w:t>
      </w:r>
      <w:r w:rsidR="00DE1C89">
        <w:rPr>
          <w:rFonts w:ascii="Times New Roman" w:hAnsi="Times New Roman" w:cs="Times New Roman"/>
          <w:sz w:val="26"/>
          <w:szCs w:val="26"/>
          <w:u w:val="single"/>
        </w:rPr>
        <w:t>Parkhurst Prison</w:t>
      </w:r>
      <w:r w:rsidR="00DE1C89">
        <w:rPr>
          <w:rFonts w:ascii="Times New Roman" w:hAnsi="Times New Roman" w:cs="Times New Roman"/>
          <w:sz w:val="26"/>
          <w:szCs w:val="26"/>
        </w:rPr>
        <w:t xml:space="preserve"> case</w:t>
      </w:r>
      <w:r w:rsidR="00DE1C89">
        <w:rPr>
          <w:rStyle w:val="FootnoteReference"/>
          <w:rFonts w:ascii="Times New Roman" w:hAnsi="Times New Roman" w:cs="Times New Roman"/>
          <w:sz w:val="26"/>
          <w:szCs w:val="26"/>
        </w:rPr>
        <w:footnoteReference w:id="2"/>
      </w:r>
      <w:r w:rsidR="004F43BD" w:rsidRPr="004F43BD">
        <w:rPr>
          <w:rFonts w:ascii="Times New Roman" w:hAnsi="Times New Roman" w:cs="Times New Roman"/>
          <w:sz w:val="26"/>
          <w:szCs w:val="26"/>
        </w:rPr>
        <w:t xml:space="preserve">, </w:t>
      </w:r>
      <w:r w:rsidR="00DE1C89">
        <w:rPr>
          <w:rFonts w:ascii="Times New Roman" w:hAnsi="Times New Roman" w:cs="Times New Roman"/>
          <w:sz w:val="26"/>
          <w:szCs w:val="26"/>
        </w:rPr>
        <w:t>where</w:t>
      </w:r>
      <w:r w:rsidR="00DE1C89" w:rsidRPr="004F43BD">
        <w:rPr>
          <w:rFonts w:ascii="Times New Roman" w:hAnsi="Times New Roman" w:cs="Times New Roman"/>
          <w:sz w:val="26"/>
          <w:szCs w:val="26"/>
        </w:rPr>
        <w:t xml:space="preserve"> John appeared as counsel for the Government </w:t>
      </w:r>
      <w:r w:rsidR="00DE1C89">
        <w:rPr>
          <w:rFonts w:ascii="Times New Roman" w:hAnsi="Times New Roman" w:cs="Times New Roman"/>
          <w:sz w:val="26"/>
          <w:szCs w:val="26"/>
        </w:rPr>
        <w:t>and</w:t>
      </w:r>
      <w:r w:rsidR="004F43BD" w:rsidRPr="004F43BD">
        <w:rPr>
          <w:rFonts w:ascii="Times New Roman" w:hAnsi="Times New Roman" w:cs="Times New Roman"/>
          <w:sz w:val="26"/>
          <w:szCs w:val="26"/>
        </w:rPr>
        <w:t xml:space="preserve">: </w:t>
      </w:r>
    </w:p>
    <w:p w14:paraId="4272AD63" w14:textId="77902732" w:rsidR="004F43BD" w:rsidRDefault="004F43BD" w:rsidP="004F43BD">
      <w:pPr>
        <w:pStyle w:val="ListParagraph"/>
        <w:spacing w:before="180" w:after="180" w:line="276" w:lineRule="auto"/>
        <w:ind w:left="1440" w:right="720"/>
        <w:contextualSpacing w:val="0"/>
        <w:jc w:val="both"/>
        <w:rPr>
          <w:rFonts w:ascii="Times New Roman" w:hAnsi="Times New Roman" w:cs="Times New Roman"/>
          <w:sz w:val="26"/>
          <w:szCs w:val="26"/>
        </w:rPr>
      </w:pPr>
      <w:r w:rsidRPr="004F43BD">
        <w:rPr>
          <w:rFonts w:ascii="Times New Roman" w:hAnsi="Times New Roman" w:cs="Times New Roman"/>
          <w:sz w:val="26"/>
          <w:szCs w:val="26"/>
        </w:rPr>
        <w:t>“</w:t>
      </w:r>
      <w:r w:rsidRPr="00DE1C89">
        <w:rPr>
          <w:rFonts w:ascii="Times New Roman" w:hAnsi="Times New Roman" w:cs="Times New Roman"/>
          <w:i/>
          <w:iCs/>
          <w:sz w:val="26"/>
          <w:szCs w:val="26"/>
        </w:rPr>
        <w:t>declined to invite the House of Lords to reverse the High Court’s landmark decision in St Germain</w:t>
      </w:r>
      <w:r w:rsidRPr="00DE1C89">
        <w:rPr>
          <w:rStyle w:val="FootnoteReference"/>
          <w:rFonts w:ascii="Times New Roman" w:hAnsi="Times New Roman" w:cs="Times New Roman"/>
          <w:i/>
          <w:iCs/>
          <w:sz w:val="26"/>
          <w:szCs w:val="26"/>
        </w:rPr>
        <w:footnoteReference w:id="3"/>
      </w:r>
      <w:r w:rsidRPr="00DE1C89">
        <w:rPr>
          <w:rFonts w:ascii="Times New Roman" w:hAnsi="Times New Roman" w:cs="Times New Roman"/>
          <w:i/>
          <w:iCs/>
          <w:sz w:val="26"/>
          <w:szCs w:val="26"/>
        </w:rPr>
        <w:t xml:space="preserve"> that the procedures of prison </w:t>
      </w:r>
      <w:r w:rsidRPr="00DE1C89">
        <w:rPr>
          <w:rFonts w:ascii="Times New Roman" w:hAnsi="Times New Roman" w:cs="Times New Roman"/>
          <w:i/>
          <w:iCs/>
          <w:sz w:val="26"/>
          <w:szCs w:val="26"/>
        </w:rPr>
        <w:lastRenderedPageBreak/>
        <w:t xml:space="preserve">boards of visitors were justiciable – a reversal that would have won him the case – and instead undertook </w:t>
      </w:r>
      <w:r w:rsidR="00DE1C89">
        <w:rPr>
          <w:rFonts w:ascii="Times New Roman" w:hAnsi="Times New Roman" w:cs="Times New Roman"/>
          <w:i/>
          <w:iCs/>
          <w:sz w:val="26"/>
          <w:szCs w:val="26"/>
        </w:rPr>
        <w:t>[a] Sisyphean task</w:t>
      </w:r>
      <w:r w:rsidR="00DE1C89">
        <w:rPr>
          <w:rFonts w:ascii="Times New Roman" w:hAnsi="Times New Roman" w:cs="Times New Roman"/>
          <w:sz w:val="26"/>
          <w:szCs w:val="26"/>
        </w:rPr>
        <w:t>.”</w:t>
      </w:r>
    </w:p>
    <w:p w14:paraId="438E51F8" w14:textId="38CCE4E7" w:rsidR="00DE1C89" w:rsidRPr="004F43BD" w:rsidRDefault="00DE1C89" w:rsidP="00E21CD0">
      <w:pPr>
        <w:pStyle w:val="ListParagraph"/>
        <w:spacing w:before="180" w:after="180" w:line="360" w:lineRule="auto"/>
        <w:contextualSpacing w:val="0"/>
        <w:jc w:val="both"/>
        <w:rPr>
          <w:rFonts w:ascii="Times New Roman" w:hAnsi="Times New Roman" w:cs="Times New Roman"/>
          <w:sz w:val="26"/>
          <w:szCs w:val="26"/>
          <w:u w:val="single"/>
        </w:rPr>
      </w:pPr>
      <w:r>
        <w:rPr>
          <w:rFonts w:ascii="Times New Roman" w:hAnsi="Times New Roman" w:cs="Times New Roman"/>
          <w:sz w:val="26"/>
          <w:szCs w:val="26"/>
        </w:rPr>
        <w:t>It is brave for any advocate to abandon an argument that might win the case, but John would always do so if winning the point would leave the law in an u</w:t>
      </w:r>
      <w:r w:rsidR="00390772">
        <w:rPr>
          <w:rFonts w:ascii="Times New Roman" w:hAnsi="Times New Roman" w:cs="Times New Roman"/>
          <w:sz w:val="26"/>
          <w:szCs w:val="26"/>
        </w:rPr>
        <w:t xml:space="preserve">nsatisfactory state. </w:t>
      </w:r>
      <w:r>
        <w:rPr>
          <w:rFonts w:ascii="Times New Roman" w:hAnsi="Times New Roman" w:cs="Times New Roman"/>
          <w:sz w:val="26"/>
          <w:szCs w:val="26"/>
        </w:rPr>
        <w:t>As a result,</w:t>
      </w:r>
      <w:r w:rsidR="00390772">
        <w:rPr>
          <w:rFonts w:ascii="Times New Roman" w:hAnsi="Times New Roman" w:cs="Times New Roman"/>
          <w:sz w:val="26"/>
          <w:szCs w:val="26"/>
        </w:rPr>
        <w:t xml:space="preserve"> in the </w:t>
      </w:r>
      <w:r w:rsidR="00390772">
        <w:rPr>
          <w:rFonts w:ascii="Times New Roman" w:hAnsi="Times New Roman" w:cs="Times New Roman"/>
          <w:sz w:val="26"/>
          <w:szCs w:val="26"/>
          <w:u w:val="single"/>
        </w:rPr>
        <w:t xml:space="preserve">Parkhurst Prison </w:t>
      </w:r>
      <w:r w:rsidR="00390772">
        <w:rPr>
          <w:rFonts w:ascii="Times New Roman" w:hAnsi="Times New Roman" w:cs="Times New Roman"/>
          <w:sz w:val="26"/>
          <w:szCs w:val="26"/>
        </w:rPr>
        <w:t>case,</w:t>
      </w:r>
      <w:r>
        <w:rPr>
          <w:rFonts w:ascii="Times New Roman" w:hAnsi="Times New Roman" w:cs="Times New Roman"/>
          <w:sz w:val="26"/>
          <w:szCs w:val="26"/>
        </w:rPr>
        <w:t xml:space="preserve"> John received the unusual accolade of a kind comment from Lord Bridge in his judgment for his “</w:t>
      </w:r>
      <w:r w:rsidRPr="00390772">
        <w:rPr>
          <w:rFonts w:ascii="Times New Roman" w:hAnsi="Times New Roman" w:cs="Times New Roman"/>
          <w:i/>
          <w:iCs/>
          <w:sz w:val="26"/>
          <w:szCs w:val="26"/>
        </w:rPr>
        <w:t>eminently sensible and commendable attitude</w:t>
      </w:r>
      <w:r>
        <w:rPr>
          <w:rFonts w:ascii="Times New Roman" w:hAnsi="Times New Roman" w:cs="Times New Roman"/>
          <w:sz w:val="26"/>
          <w:szCs w:val="26"/>
        </w:rPr>
        <w:t>”</w:t>
      </w:r>
      <w:r w:rsidR="00390772">
        <w:rPr>
          <w:rStyle w:val="FootnoteReference"/>
          <w:rFonts w:ascii="Times New Roman" w:hAnsi="Times New Roman" w:cs="Times New Roman"/>
          <w:sz w:val="26"/>
          <w:szCs w:val="26"/>
        </w:rPr>
        <w:footnoteReference w:id="4"/>
      </w:r>
      <w:r>
        <w:rPr>
          <w:rFonts w:ascii="Times New Roman" w:hAnsi="Times New Roman" w:cs="Times New Roman"/>
          <w:sz w:val="26"/>
          <w:szCs w:val="26"/>
        </w:rPr>
        <w:t xml:space="preserve">. </w:t>
      </w:r>
    </w:p>
    <w:p w14:paraId="3F14ADE5" w14:textId="77777777" w:rsidR="004F43BD" w:rsidRPr="004F43BD" w:rsidRDefault="004F43BD" w:rsidP="004F43BD">
      <w:pPr>
        <w:pStyle w:val="ListParagraph"/>
        <w:rPr>
          <w:rFonts w:ascii="Times New Roman" w:hAnsi="Times New Roman" w:cs="Times New Roman"/>
          <w:sz w:val="26"/>
          <w:szCs w:val="26"/>
        </w:rPr>
      </w:pPr>
    </w:p>
    <w:p w14:paraId="47510D9B" w14:textId="39B43FC5" w:rsidR="004F31C9" w:rsidRDefault="00DE1C89" w:rsidP="004F31C9">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As for his personal life, </w:t>
      </w:r>
      <w:r w:rsidR="00390772">
        <w:rPr>
          <w:rFonts w:ascii="Times New Roman" w:hAnsi="Times New Roman" w:cs="Times New Roman"/>
          <w:sz w:val="26"/>
          <w:szCs w:val="26"/>
        </w:rPr>
        <w:t>his bravery and sense of principle led to a rather unexpected</w:t>
      </w:r>
      <w:r w:rsidR="00C87744">
        <w:rPr>
          <w:rFonts w:ascii="Times New Roman" w:hAnsi="Times New Roman" w:cs="Times New Roman"/>
          <w:sz w:val="26"/>
          <w:szCs w:val="26"/>
        </w:rPr>
        <w:t xml:space="preserve"> </w:t>
      </w:r>
      <w:r w:rsidR="004F31C9">
        <w:rPr>
          <w:rFonts w:ascii="Times New Roman" w:hAnsi="Times New Roman" w:cs="Times New Roman"/>
          <w:sz w:val="26"/>
          <w:szCs w:val="26"/>
        </w:rPr>
        <w:t xml:space="preserve">contribution to the law </w:t>
      </w:r>
      <w:r w:rsidR="00390772">
        <w:rPr>
          <w:rFonts w:ascii="Times New Roman" w:hAnsi="Times New Roman" w:cs="Times New Roman"/>
          <w:sz w:val="26"/>
          <w:szCs w:val="26"/>
        </w:rPr>
        <w:t>of England</w:t>
      </w:r>
      <w:r w:rsidR="004F31C9">
        <w:rPr>
          <w:rFonts w:ascii="Times New Roman" w:hAnsi="Times New Roman" w:cs="Times New Roman"/>
          <w:sz w:val="26"/>
          <w:szCs w:val="26"/>
        </w:rPr>
        <w:t>. In 198</w:t>
      </w:r>
      <w:r w:rsidR="00F42C23">
        <w:rPr>
          <w:rFonts w:ascii="Times New Roman" w:hAnsi="Times New Roman" w:cs="Times New Roman"/>
          <w:sz w:val="26"/>
          <w:szCs w:val="26"/>
        </w:rPr>
        <w:t>0</w:t>
      </w:r>
      <w:r w:rsidR="004F31C9">
        <w:rPr>
          <w:rFonts w:ascii="Times New Roman" w:hAnsi="Times New Roman" w:cs="Times New Roman"/>
          <w:sz w:val="26"/>
          <w:szCs w:val="26"/>
        </w:rPr>
        <w:t>, when he was well launched on his career</w:t>
      </w:r>
      <w:r w:rsidR="00F42C23">
        <w:rPr>
          <w:rFonts w:ascii="Times New Roman" w:hAnsi="Times New Roman" w:cs="Times New Roman"/>
          <w:sz w:val="26"/>
          <w:szCs w:val="26"/>
        </w:rPr>
        <w:t xml:space="preserve"> at the Bar</w:t>
      </w:r>
      <w:r w:rsidR="004F31C9">
        <w:rPr>
          <w:rFonts w:ascii="Times New Roman" w:hAnsi="Times New Roman" w:cs="Times New Roman"/>
          <w:sz w:val="26"/>
          <w:szCs w:val="26"/>
        </w:rPr>
        <w:t>, a hard-core pornography shop opened near his home</w:t>
      </w:r>
      <w:r w:rsidR="005732F4">
        <w:rPr>
          <w:rFonts w:ascii="Times New Roman" w:hAnsi="Times New Roman" w:cs="Times New Roman"/>
          <w:sz w:val="26"/>
          <w:szCs w:val="26"/>
        </w:rPr>
        <w:t>.</w:t>
      </w:r>
      <w:r w:rsidR="004F31C9">
        <w:rPr>
          <w:rFonts w:ascii="Times New Roman" w:hAnsi="Times New Roman" w:cs="Times New Roman"/>
          <w:sz w:val="26"/>
          <w:szCs w:val="26"/>
        </w:rPr>
        <w:t xml:space="preserve"> </w:t>
      </w:r>
      <w:r w:rsidR="00390772">
        <w:rPr>
          <w:rFonts w:ascii="Times New Roman" w:hAnsi="Times New Roman" w:cs="Times New Roman"/>
          <w:sz w:val="26"/>
          <w:szCs w:val="26"/>
        </w:rPr>
        <w:t>John</w:t>
      </w:r>
      <w:r w:rsidR="004F31C9">
        <w:rPr>
          <w:rFonts w:ascii="Times New Roman" w:hAnsi="Times New Roman" w:cs="Times New Roman"/>
          <w:sz w:val="26"/>
          <w:szCs w:val="26"/>
        </w:rPr>
        <w:t xml:space="preserve"> led a small group of local residents in bringing proceedings for an injunction</w:t>
      </w:r>
      <w:r w:rsidR="004F4BC5">
        <w:rPr>
          <w:rFonts w:ascii="Times New Roman" w:hAnsi="Times New Roman" w:cs="Times New Roman"/>
          <w:sz w:val="26"/>
          <w:szCs w:val="26"/>
        </w:rPr>
        <w:t xml:space="preserve"> seeking to</w:t>
      </w:r>
      <w:r w:rsidR="004F31C9">
        <w:rPr>
          <w:rFonts w:ascii="Times New Roman" w:hAnsi="Times New Roman" w:cs="Times New Roman"/>
          <w:sz w:val="26"/>
          <w:szCs w:val="26"/>
        </w:rPr>
        <w:t xml:space="preserve"> shut down the business. His argument was that the inherent nature of the business was such as to amount to a nuisance because (i) it was inherently offensive to local residents and (ii) it could attract people who might accost</w:t>
      </w:r>
      <w:r w:rsidR="004F31C9" w:rsidRPr="004F31C9">
        <w:rPr>
          <w:rFonts w:ascii="Times New Roman" w:hAnsi="Times New Roman" w:cs="Times New Roman"/>
          <w:sz w:val="26"/>
          <w:szCs w:val="26"/>
        </w:rPr>
        <w:t xml:space="preserve"> </w:t>
      </w:r>
      <w:r w:rsidR="004F31C9">
        <w:rPr>
          <w:rFonts w:ascii="Times New Roman" w:hAnsi="Times New Roman" w:cs="Times New Roman"/>
          <w:sz w:val="26"/>
          <w:szCs w:val="26"/>
        </w:rPr>
        <w:t>local residents. Although these arguments were controversial, Vinelott J was persuaded to grant an interlocutory injunction closing the shop</w:t>
      </w:r>
      <w:r w:rsidR="00620EF2">
        <w:rPr>
          <w:rFonts w:ascii="Times New Roman" w:hAnsi="Times New Roman" w:cs="Times New Roman"/>
          <w:sz w:val="26"/>
          <w:szCs w:val="26"/>
        </w:rPr>
        <w:t xml:space="preserve">. This decision, which is reported as </w:t>
      </w:r>
      <w:r w:rsidR="00620EF2" w:rsidRPr="00BB655E">
        <w:rPr>
          <w:rFonts w:ascii="Times New Roman" w:hAnsi="Times New Roman" w:cs="Times New Roman"/>
          <w:sz w:val="26"/>
          <w:szCs w:val="26"/>
          <w:u w:val="single"/>
        </w:rPr>
        <w:t>Laws v Florinplace</w:t>
      </w:r>
      <w:r w:rsidR="00620EF2">
        <w:rPr>
          <w:rFonts w:ascii="Times New Roman" w:hAnsi="Times New Roman" w:cs="Times New Roman"/>
          <w:sz w:val="26"/>
          <w:szCs w:val="26"/>
        </w:rPr>
        <w:t xml:space="preserve"> in the All England Law Reports</w:t>
      </w:r>
      <w:r w:rsidR="00620EF2">
        <w:rPr>
          <w:rStyle w:val="FootnoteReference"/>
          <w:rFonts w:ascii="Times New Roman" w:hAnsi="Times New Roman" w:cs="Times New Roman"/>
          <w:sz w:val="26"/>
          <w:szCs w:val="26"/>
        </w:rPr>
        <w:footnoteReference w:id="5"/>
      </w:r>
      <w:r w:rsidR="00620EF2">
        <w:rPr>
          <w:rFonts w:ascii="Times New Roman" w:hAnsi="Times New Roman" w:cs="Times New Roman"/>
          <w:sz w:val="26"/>
          <w:szCs w:val="26"/>
        </w:rPr>
        <w:t xml:space="preserve">, and although </w:t>
      </w:r>
      <w:r w:rsidR="004F4BC5">
        <w:rPr>
          <w:rFonts w:ascii="Times New Roman" w:hAnsi="Times New Roman" w:cs="Times New Roman"/>
          <w:sz w:val="26"/>
          <w:szCs w:val="26"/>
        </w:rPr>
        <w:t>the hearing only resulted in</w:t>
      </w:r>
      <w:r w:rsidR="00620EF2">
        <w:rPr>
          <w:rFonts w:ascii="Times New Roman" w:hAnsi="Times New Roman" w:cs="Times New Roman"/>
          <w:sz w:val="26"/>
          <w:szCs w:val="26"/>
        </w:rPr>
        <w:t xml:space="preserve"> an interlocutory judgment, the pornography shop lost heart and that was that.</w:t>
      </w:r>
    </w:p>
    <w:p w14:paraId="05F02552" w14:textId="77777777" w:rsidR="004F4BC5" w:rsidRDefault="004F4BC5" w:rsidP="004F4BC5">
      <w:pPr>
        <w:pStyle w:val="ListParagraph"/>
        <w:spacing w:line="360" w:lineRule="auto"/>
        <w:jc w:val="both"/>
        <w:rPr>
          <w:rFonts w:ascii="Times New Roman" w:hAnsi="Times New Roman" w:cs="Times New Roman"/>
          <w:sz w:val="26"/>
          <w:szCs w:val="26"/>
        </w:rPr>
      </w:pPr>
    </w:p>
    <w:p w14:paraId="280DAE62" w14:textId="702B74B8" w:rsidR="002B62EA" w:rsidRPr="009F2E42" w:rsidRDefault="00F42C23" w:rsidP="009F2E42">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Although John had strong moral beliefs</w:t>
      </w:r>
      <w:r w:rsidR="009A1581">
        <w:rPr>
          <w:rFonts w:ascii="Times New Roman" w:hAnsi="Times New Roman" w:cs="Times New Roman"/>
          <w:sz w:val="26"/>
          <w:szCs w:val="26"/>
        </w:rPr>
        <w:t>, he could not have been less of puritan or a harsh judge of other people – quite the contrary. Although he had very high standards of intellectual and moral standards for himself, standards which he admirably stuck to, he was tolerant and at times indulgent when it came to the foibles and inconsisten</w:t>
      </w:r>
      <w:r w:rsidR="009C16A0">
        <w:rPr>
          <w:rFonts w:ascii="Times New Roman" w:hAnsi="Times New Roman" w:cs="Times New Roman"/>
          <w:sz w:val="26"/>
          <w:szCs w:val="26"/>
        </w:rPr>
        <w:t>cies</w:t>
      </w:r>
      <w:r w:rsidR="009A1581">
        <w:rPr>
          <w:rFonts w:ascii="Times New Roman" w:hAnsi="Times New Roman" w:cs="Times New Roman"/>
          <w:sz w:val="26"/>
          <w:szCs w:val="26"/>
        </w:rPr>
        <w:t xml:space="preserve"> of others</w:t>
      </w:r>
      <w:r w:rsidR="004F4BC5">
        <w:rPr>
          <w:rFonts w:ascii="Times New Roman" w:hAnsi="Times New Roman" w:cs="Times New Roman"/>
          <w:sz w:val="26"/>
          <w:szCs w:val="26"/>
        </w:rPr>
        <w:t xml:space="preserve">. I </w:t>
      </w:r>
      <w:r w:rsidR="00823410">
        <w:rPr>
          <w:rFonts w:ascii="Times New Roman" w:hAnsi="Times New Roman" w:cs="Times New Roman"/>
          <w:sz w:val="26"/>
          <w:szCs w:val="26"/>
        </w:rPr>
        <w:t xml:space="preserve">quickly came to appreciate </w:t>
      </w:r>
      <w:r w:rsidR="009F2E42">
        <w:rPr>
          <w:rFonts w:ascii="Times New Roman" w:hAnsi="Times New Roman" w:cs="Times New Roman"/>
          <w:sz w:val="26"/>
          <w:szCs w:val="26"/>
        </w:rPr>
        <w:t>his</w:t>
      </w:r>
      <w:r w:rsidR="00C475DE">
        <w:rPr>
          <w:rFonts w:ascii="Times New Roman" w:hAnsi="Times New Roman" w:cs="Times New Roman"/>
          <w:sz w:val="26"/>
          <w:szCs w:val="26"/>
        </w:rPr>
        <w:t xml:space="preserve"> personal qualities when we were</w:t>
      </w:r>
      <w:r w:rsidR="004F4BC5" w:rsidRPr="009F2E42">
        <w:rPr>
          <w:rFonts w:ascii="Times New Roman" w:hAnsi="Times New Roman" w:cs="Times New Roman"/>
          <w:sz w:val="26"/>
          <w:szCs w:val="26"/>
        </w:rPr>
        <w:t xml:space="preserve"> colleague</w:t>
      </w:r>
      <w:r w:rsidR="00C475DE">
        <w:rPr>
          <w:rFonts w:ascii="Times New Roman" w:hAnsi="Times New Roman" w:cs="Times New Roman"/>
          <w:sz w:val="26"/>
          <w:szCs w:val="26"/>
        </w:rPr>
        <w:t>s</w:t>
      </w:r>
      <w:r w:rsidR="004F4BC5" w:rsidRPr="009F2E42">
        <w:rPr>
          <w:rFonts w:ascii="Times New Roman" w:hAnsi="Times New Roman" w:cs="Times New Roman"/>
          <w:sz w:val="26"/>
          <w:szCs w:val="26"/>
        </w:rPr>
        <w:t xml:space="preserve"> in the Court of Appeal: any court with John</w:t>
      </w:r>
      <w:r w:rsidR="00E22390" w:rsidRPr="009F2E42">
        <w:rPr>
          <w:rFonts w:ascii="Times New Roman" w:hAnsi="Times New Roman" w:cs="Times New Roman"/>
          <w:sz w:val="26"/>
          <w:szCs w:val="26"/>
        </w:rPr>
        <w:t xml:space="preserve"> on the bench</w:t>
      </w:r>
      <w:r w:rsidR="004F4BC5" w:rsidRPr="009F2E42">
        <w:rPr>
          <w:rFonts w:ascii="Times New Roman" w:hAnsi="Times New Roman" w:cs="Times New Roman"/>
          <w:sz w:val="26"/>
          <w:szCs w:val="26"/>
        </w:rPr>
        <w:t xml:space="preserve"> had an ambiance which was stimulating</w:t>
      </w:r>
      <w:r w:rsidR="005732F4">
        <w:rPr>
          <w:rFonts w:ascii="Times New Roman" w:hAnsi="Times New Roman" w:cs="Times New Roman"/>
          <w:sz w:val="26"/>
          <w:szCs w:val="26"/>
        </w:rPr>
        <w:t xml:space="preserve"> and</w:t>
      </w:r>
      <w:r w:rsidR="004F4BC5" w:rsidRPr="009F2E42">
        <w:rPr>
          <w:rFonts w:ascii="Times New Roman" w:hAnsi="Times New Roman" w:cs="Times New Roman"/>
          <w:sz w:val="26"/>
          <w:szCs w:val="26"/>
        </w:rPr>
        <w:t xml:space="preserve"> </w:t>
      </w:r>
      <w:r w:rsidR="002B62EA" w:rsidRPr="009F2E42">
        <w:rPr>
          <w:rFonts w:ascii="Times New Roman" w:hAnsi="Times New Roman" w:cs="Times New Roman"/>
          <w:sz w:val="26"/>
          <w:szCs w:val="26"/>
        </w:rPr>
        <w:t xml:space="preserve">friendly, </w:t>
      </w:r>
      <w:r w:rsidR="005732F4">
        <w:rPr>
          <w:rFonts w:ascii="Times New Roman" w:hAnsi="Times New Roman" w:cs="Times New Roman"/>
          <w:sz w:val="26"/>
          <w:szCs w:val="26"/>
        </w:rPr>
        <w:t>but John was always focussed and assiduous</w:t>
      </w:r>
      <w:r w:rsidR="002B62EA" w:rsidRPr="009F2E42">
        <w:rPr>
          <w:rFonts w:ascii="Times New Roman" w:hAnsi="Times New Roman" w:cs="Times New Roman"/>
          <w:sz w:val="26"/>
          <w:szCs w:val="26"/>
        </w:rPr>
        <w:t>.</w:t>
      </w:r>
    </w:p>
    <w:p w14:paraId="2FE7A897" w14:textId="77777777" w:rsidR="002B62EA" w:rsidRPr="002B62EA" w:rsidRDefault="002B62EA" w:rsidP="002B62EA">
      <w:pPr>
        <w:pStyle w:val="ListParagraph"/>
        <w:rPr>
          <w:rFonts w:ascii="Times New Roman" w:hAnsi="Times New Roman" w:cs="Times New Roman"/>
          <w:sz w:val="26"/>
          <w:szCs w:val="26"/>
        </w:rPr>
      </w:pPr>
    </w:p>
    <w:p w14:paraId="5B0EC1B0" w14:textId="31980420" w:rsidR="00F42C23" w:rsidRDefault="00D37E6C" w:rsidP="00C87744">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w:t>
      </w:r>
      <w:r w:rsidR="00CB630A">
        <w:rPr>
          <w:rFonts w:ascii="Times New Roman" w:hAnsi="Times New Roman" w:cs="Times New Roman"/>
          <w:sz w:val="26"/>
          <w:szCs w:val="26"/>
        </w:rPr>
        <w:t>s to John’s assiduity, I recall a</w:t>
      </w:r>
      <w:r>
        <w:rPr>
          <w:rFonts w:ascii="Times New Roman" w:hAnsi="Times New Roman" w:cs="Times New Roman"/>
          <w:sz w:val="26"/>
          <w:szCs w:val="26"/>
        </w:rPr>
        <w:t xml:space="preserve"> small</w:t>
      </w:r>
      <w:r w:rsidR="002B62EA">
        <w:rPr>
          <w:rFonts w:ascii="Times New Roman" w:hAnsi="Times New Roman" w:cs="Times New Roman"/>
          <w:sz w:val="26"/>
          <w:szCs w:val="26"/>
        </w:rPr>
        <w:t xml:space="preserve"> incident</w:t>
      </w:r>
      <w:r w:rsidR="00CB630A">
        <w:rPr>
          <w:rFonts w:ascii="Times New Roman" w:hAnsi="Times New Roman" w:cs="Times New Roman"/>
          <w:sz w:val="26"/>
          <w:szCs w:val="26"/>
        </w:rPr>
        <w:t xml:space="preserve"> </w:t>
      </w:r>
      <w:r w:rsidR="00C87744">
        <w:rPr>
          <w:rFonts w:ascii="Times New Roman" w:hAnsi="Times New Roman" w:cs="Times New Roman"/>
          <w:sz w:val="26"/>
          <w:szCs w:val="26"/>
        </w:rPr>
        <w:t>just after</w:t>
      </w:r>
      <w:r w:rsidR="00210BC4">
        <w:rPr>
          <w:rFonts w:ascii="Times New Roman" w:hAnsi="Times New Roman" w:cs="Times New Roman"/>
          <w:sz w:val="26"/>
          <w:szCs w:val="26"/>
        </w:rPr>
        <w:t xml:space="preserve"> I</w:t>
      </w:r>
      <w:r w:rsidR="00C87744">
        <w:rPr>
          <w:rFonts w:ascii="Times New Roman" w:hAnsi="Times New Roman" w:cs="Times New Roman"/>
          <w:sz w:val="26"/>
          <w:szCs w:val="26"/>
        </w:rPr>
        <w:t xml:space="preserve"> had</w:t>
      </w:r>
      <w:r w:rsidR="00210BC4">
        <w:rPr>
          <w:rFonts w:ascii="Times New Roman" w:hAnsi="Times New Roman" w:cs="Times New Roman"/>
          <w:sz w:val="26"/>
          <w:szCs w:val="26"/>
        </w:rPr>
        <w:t xml:space="preserve"> sat</w:t>
      </w:r>
      <w:r w:rsidR="002B62EA">
        <w:rPr>
          <w:rFonts w:ascii="Times New Roman" w:hAnsi="Times New Roman" w:cs="Times New Roman"/>
          <w:sz w:val="26"/>
          <w:szCs w:val="26"/>
        </w:rPr>
        <w:t xml:space="preserve"> with John on an appeal</w:t>
      </w:r>
      <w:r w:rsidR="00C87744">
        <w:rPr>
          <w:rFonts w:ascii="Times New Roman" w:hAnsi="Times New Roman" w:cs="Times New Roman"/>
          <w:sz w:val="26"/>
          <w:szCs w:val="26"/>
        </w:rPr>
        <w:t xml:space="preserve"> in 2005.  The</w:t>
      </w:r>
      <w:r w:rsidR="001D01EF">
        <w:rPr>
          <w:rFonts w:ascii="Times New Roman" w:hAnsi="Times New Roman" w:cs="Times New Roman"/>
          <w:sz w:val="26"/>
          <w:szCs w:val="26"/>
        </w:rPr>
        <w:t xml:space="preserve"> next day</w:t>
      </w:r>
      <w:r w:rsidR="00C87744">
        <w:rPr>
          <w:rFonts w:ascii="Times New Roman" w:hAnsi="Times New Roman" w:cs="Times New Roman"/>
          <w:sz w:val="26"/>
          <w:szCs w:val="26"/>
        </w:rPr>
        <w:t>, I was</w:t>
      </w:r>
      <w:r w:rsidR="002B62EA">
        <w:rPr>
          <w:rFonts w:ascii="Times New Roman" w:hAnsi="Times New Roman" w:cs="Times New Roman"/>
          <w:sz w:val="26"/>
          <w:szCs w:val="26"/>
        </w:rPr>
        <w:t xml:space="preserve"> in the </w:t>
      </w:r>
      <w:r w:rsidR="001D01EF">
        <w:rPr>
          <w:rFonts w:ascii="Times New Roman" w:hAnsi="Times New Roman" w:cs="Times New Roman"/>
          <w:sz w:val="26"/>
          <w:szCs w:val="26"/>
        </w:rPr>
        <w:t>same courtroom with other</w:t>
      </w:r>
      <w:r w:rsidR="00210BC4">
        <w:rPr>
          <w:rFonts w:ascii="Times New Roman" w:hAnsi="Times New Roman" w:cs="Times New Roman"/>
          <w:sz w:val="26"/>
          <w:szCs w:val="26"/>
        </w:rPr>
        <w:t xml:space="preserve"> judges </w:t>
      </w:r>
      <w:r w:rsidR="001D01EF">
        <w:rPr>
          <w:rFonts w:ascii="Times New Roman" w:hAnsi="Times New Roman" w:cs="Times New Roman"/>
          <w:sz w:val="26"/>
          <w:szCs w:val="26"/>
        </w:rPr>
        <w:t>on a different appea</w:t>
      </w:r>
      <w:r w:rsidR="00CB630A">
        <w:rPr>
          <w:rFonts w:ascii="Times New Roman" w:hAnsi="Times New Roman" w:cs="Times New Roman"/>
          <w:sz w:val="26"/>
          <w:szCs w:val="26"/>
        </w:rPr>
        <w:t>l</w:t>
      </w:r>
      <w:r w:rsidR="005732F4">
        <w:rPr>
          <w:rFonts w:ascii="Times New Roman" w:hAnsi="Times New Roman" w:cs="Times New Roman"/>
          <w:sz w:val="26"/>
          <w:szCs w:val="26"/>
        </w:rPr>
        <w:t>, and</w:t>
      </w:r>
      <w:r w:rsidR="00CB630A">
        <w:rPr>
          <w:rFonts w:ascii="Times New Roman" w:hAnsi="Times New Roman" w:cs="Times New Roman"/>
          <w:sz w:val="26"/>
          <w:szCs w:val="26"/>
        </w:rPr>
        <w:t xml:space="preserve"> in that </w:t>
      </w:r>
      <w:r w:rsidR="001D01EF">
        <w:rPr>
          <w:rFonts w:ascii="Times New Roman" w:hAnsi="Times New Roman" w:cs="Times New Roman"/>
          <w:sz w:val="26"/>
          <w:szCs w:val="26"/>
        </w:rPr>
        <w:t>second appeal,</w:t>
      </w:r>
      <w:r w:rsidR="00C87744">
        <w:rPr>
          <w:rFonts w:ascii="Times New Roman" w:hAnsi="Times New Roman" w:cs="Times New Roman"/>
          <w:sz w:val="26"/>
          <w:szCs w:val="26"/>
        </w:rPr>
        <w:t xml:space="preserve"> </w:t>
      </w:r>
      <w:r w:rsidR="001D01EF">
        <w:rPr>
          <w:rFonts w:ascii="Times New Roman" w:hAnsi="Times New Roman" w:cs="Times New Roman"/>
          <w:sz w:val="26"/>
          <w:szCs w:val="26"/>
        </w:rPr>
        <w:t xml:space="preserve">I happened to be sitting in the chair which John had occupied </w:t>
      </w:r>
      <w:r w:rsidR="00C87744">
        <w:rPr>
          <w:rFonts w:ascii="Times New Roman" w:hAnsi="Times New Roman" w:cs="Times New Roman"/>
          <w:sz w:val="26"/>
          <w:szCs w:val="26"/>
        </w:rPr>
        <w:t xml:space="preserve">the day before. </w:t>
      </w:r>
      <w:r w:rsidR="001D01EF">
        <w:rPr>
          <w:rFonts w:ascii="Times New Roman" w:hAnsi="Times New Roman" w:cs="Times New Roman"/>
          <w:sz w:val="26"/>
          <w:szCs w:val="26"/>
        </w:rPr>
        <w:t>I picked up what I thought was my notebook and on opening it discovered it was John’s</w:t>
      </w:r>
      <w:r w:rsidR="00210BC4">
        <w:rPr>
          <w:rFonts w:ascii="Times New Roman" w:hAnsi="Times New Roman" w:cs="Times New Roman"/>
          <w:sz w:val="26"/>
          <w:szCs w:val="26"/>
        </w:rPr>
        <w:t>. I still remember being overwhelmed by the full, accurate</w:t>
      </w:r>
      <w:r w:rsidR="00CB630A">
        <w:rPr>
          <w:rFonts w:ascii="Times New Roman" w:hAnsi="Times New Roman" w:cs="Times New Roman"/>
          <w:sz w:val="26"/>
          <w:szCs w:val="26"/>
        </w:rPr>
        <w:t xml:space="preserve"> and</w:t>
      </w:r>
      <w:r w:rsidR="00C475DE">
        <w:rPr>
          <w:rFonts w:ascii="Times New Roman" w:hAnsi="Times New Roman" w:cs="Times New Roman"/>
          <w:sz w:val="26"/>
          <w:szCs w:val="26"/>
        </w:rPr>
        <w:t xml:space="preserve"> </w:t>
      </w:r>
      <w:r w:rsidR="00210BC4">
        <w:rPr>
          <w:rFonts w:ascii="Times New Roman" w:hAnsi="Times New Roman" w:cs="Times New Roman"/>
          <w:sz w:val="26"/>
          <w:szCs w:val="26"/>
        </w:rPr>
        <w:t xml:space="preserve">well </w:t>
      </w:r>
      <w:r w:rsidR="00C475DE">
        <w:rPr>
          <w:rFonts w:ascii="Times New Roman" w:hAnsi="Times New Roman" w:cs="Times New Roman"/>
          <w:sz w:val="26"/>
          <w:szCs w:val="26"/>
        </w:rPr>
        <w:t>expressed</w:t>
      </w:r>
      <w:r w:rsidR="00210BC4">
        <w:rPr>
          <w:rFonts w:ascii="Times New Roman" w:hAnsi="Times New Roman" w:cs="Times New Roman"/>
          <w:sz w:val="26"/>
          <w:szCs w:val="26"/>
        </w:rPr>
        <w:t xml:space="preserve"> note that John had made</w:t>
      </w:r>
      <w:r w:rsidR="004A1BDC">
        <w:rPr>
          <w:rFonts w:ascii="Times New Roman" w:hAnsi="Times New Roman" w:cs="Times New Roman"/>
          <w:sz w:val="26"/>
          <w:szCs w:val="26"/>
        </w:rPr>
        <w:t xml:space="preserve"> of the earlier hearing</w:t>
      </w:r>
      <w:r w:rsidR="00210BC4">
        <w:rPr>
          <w:rFonts w:ascii="Times New Roman" w:hAnsi="Times New Roman" w:cs="Times New Roman"/>
          <w:sz w:val="26"/>
          <w:szCs w:val="26"/>
        </w:rPr>
        <w:t>, coupled with perceptive comments, and all written</w:t>
      </w:r>
      <w:r w:rsidR="00CB630A">
        <w:rPr>
          <w:rFonts w:ascii="Times New Roman" w:hAnsi="Times New Roman" w:cs="Times New Roman"/>
          <w:sz w:val="26"/>
          <w:szCs w:val="26"/>
        </w:rPr>
        <w:t xml:space="preserve"> in clear handwriting,</w:t>
      </w:r>
      <w:r w:rsidR="00210BC4">
        <w:rPr>
          <w:rFonts w:ascii="Times New Roman" w:hAnsi="Times New Roman" w:cs="Times New Roman"/>
          <w:sz w:val="26"/>
          <w:szCs w:val="26"/>
        </w:rPr>
        <w:t xml:space="preserve"> while he appeared to be</w:t>
      </w:r>
      <w:r w:rsidR="0048188C">
        <w:rPr>
          <w:rFonts w:ascii="Times New Roman" w:hAnsi="Times New Roman" w:cs="Times New Roman"/>
          <w:sz w:val="26"/>
          <w:szCs w:val="26"/>
        </w:rPr>
        <w:t xml:space="preserve"> wholly focussed on</w:t>
      </w:r>
      <w:r w:rsidR="00210BC4">
        <w:rPr>
          <w:rFonts w:ascii="Times New Roman" w:hAnsi="Times New Roman" w:cs="Times New Roman"/>
          <w:sz w:val="26"/>
          <w:szCs w:val="26"/>
        </w:rPr>
        <w:t xml:space="preserve"> presiding over and engag</w:t>
      </w:r>
      <w:r w:rsidR="0048188C">
        <w:rPr>
          <w:rFonts w:ascii="Times New Roman" w:hAnsi="Times New Roman" w:cs="Times New Roman"/>
          <w:sz w:val="26"/>
          <w:szCs w:val="26"/>
        </w:rPr>
        <w:t>ing in</w:t>
      </w:r>
      <w:r w:rsidR="00210BC4">
        <w:rPr>
          <w:rFonts w:ascii="Times New Roman" w:hAnsi="Times New Roman" w:cs="Times New Roman"/>
          <w:sz w:val="26"/>
          <w:szCs w:val="26"/>
        </w:rPr>
        <w:t xml:space="preserve"> the oral argument.</w:t>
      </w:r>
      <w:r w:rsidR="004A1BDC">
        <w:rPr>
          <w:rFonts w:ascii="Times New Roman" w:hAnsi="Times New Roman" w:cs="Times New Roman"/>
          <w:sz w:val="26"/>
          <w:szCs w:val="26"/>
        </w:rPr>
        <w:t xml:space="preserve"> Particularly to someon</w:t>
      </w:r>
      <w:r w:rsidR="00CB630A">
        <w:rPr>
          <w:rFonts w:ascii="Times New Roman" w:hAnsi="Times New Roman" w:cs="Times New Roman"/>
          <w:sz w:val="26"/>
          <w:szCs w:val="26"/>
        </w:rPr>
        <w:t>e such as me</w:t>
      </w:r>
      <w:r w:rsidR="004A1BDC">
        <w:rPr>
          <w:rFonts w:ascii="Times New Roman" w:hAnsi="Times New Roman" w:cs="Times New Roman"/>
          <w:sz w:val="26"/>
          <w:szCs w:val="26"/>
        </w:rPr>
        <w:t xml:space="preserve"> who is incapable of taking a note which even he can read, John’s notes </w:t>
      </w:r>
      <w:r w:rsidR="00CB630A">
        <w:rPr>
          <w:rFonts w:ascii="Times New Roman" w:hAnsi="Times New Roman" w:cs="Times New Roman"/>
          <w:sz w:val="26"/>
          <w:szCs w:val="26"/>
        </w:rPr>
        <w:t>were remarkably impressive</w:t>
      </w:r>
      <w:r w:rsidR="004A1BDC" w:rsidRPr="00C87744">
        <w:rPr>
          <w:rFonts w:ascii="Times New Roman" w:hAnsi="Times New Roman" w:cs="Times New Roman"/>
          <w:sz w:val="26"/>
          <w:szCs w:val="26"/>
        </w:rPr>
        <w:t>.</w:t>
      </w:r>
      <w:r w:rsidR="00210BC4" w:rsidRPr="00C87744">
        <w:rPr>
          <w:rFonts w:ascii="Times New Roman" w:hAnsi="Times New Roman" w:cs="Times New Roman"/>
          <w:sz w:val="26"/>
          <w:szCs w:val="26"/>
        </w:rPr>
        <w:t xml:space="preserve"> </w:t>
      </w:r>
    </w:p>
    <w:p w14:paraId="330B7115" w14:textId="77777777" w:rsidR="001D5B2E" w:rsidRPr="001D5B2E" w:rsidRDefault="001D5B2E" w:rsidP="001D5B2E">
      <w:pPr>
        <w:pStyle w:val="ListParagraph"/>
        <w:rPr>
          <w:rFonts w:ascii="Times New Roman" w:hAnsi="Times New Roman" w:cs="Times New Roman"/>
          <w:sz w:val="26"/>
          <w:szCs w:val="26"/>
        </w:rPr>
      </w:pPr>
    </w:p>
    <w:p w14:paraId="49919CB5" w14:textId="11541535" w:rsidR="00F524CD" w:rsidRDefault="00CB630A" w:rsidP="00F524CD">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Turning to his legal abilities, </w:t>
      </w:r>
      <w:r w:rsidR="00390772">
        <w:rPr>
          <w:rFonts w:ascii="Times New Roman" w:hAnsi="Times New Roman" w:cs="Times New Roman"/>
          <w:sz w:val="26"/>
          <w:szCs w:val="26"/>
        </w:rPr>
        <w:t>John was not only</w:t>
      </w:r>
      <w:r>
        <w:rPr>
          <w:rFonts w:ascii="Times New Roman" w:hAnsi="Times New Roman" w:cs="Times New Roman"/>
          <w:sz w:val="26"/>
          <w:szCs w:val="26"/>
        </w:rPr>
        <w:t xml:space="preserve"> a</w:t>
      </w:r>
      <w:r w:rsidR="00390772">
        <w:rPr>
          <w:rFonts w:ascii="Times New Roman" w:hAnsi="Times New Roman" w:cs="Times New Roman"/>
          <w:sz w:val="26"/>
          <w:szCs w:val="26"/>
        </w:rPr>
        <w:t xml:space="preserve"> very able public lawyer; he was also lucky in his timing</w:t>
      </w:r>
      <w:r w:rsidR="00C37E39">
        <w:rPr>
          <w:rFonts w:ascii="Times New Roman" w:hAnsi="Times New Roman" w:cs="Times New Roman"/>
          <w:sz w:val="26"/>
          <w:szCs w:val="26"/>
        </w:rPr>
        <w:t xml:space="preserve"> – and, however able we are, we all need luck</w:t>
      </w:r>
      <w:r w:rsidR="00390772">
        <w:rPr>
          <w:rFonts w:ascii="Times New Roman" w:hAnsi="Times New Roman" w:cs="Times New Roman"/>
          <w:sz w:val="26"/>
          <w:szCs w:val="26"/>
        </w:rPr>
        <w:t xml:space="preserve">. </w:t>
      </w:r>
      <w:r w:rsidR="001D5B2E">
        <w:rPr>
          <w:rFonts w:ascii="Times New Roman" w:hAnsi="Times New Roman" w:cs="Times New Roman"/>
          <w:sz w:val="26"/>
          <w:szCs w:val="26"/>
        </w:rPr>
        <w:t>When</w:t>
      </w:r>
      <w:r w:rsidR="00390772">
        <w:rPr>
          <w:rFonts w:ascii="Times New Roman" w:hAnsi="Times New Roman" w:cs="Times New Roman"/>
          <w:sz w:val="26"/>
          <w:szCs w:val="26"/>
        </w:rPr>
        <w:t xml:space="preserve"> </w:t>
      </w:r>
      <w:r w:rsidR="00C37E39">
        <w:rPr>
          <w:rFonts w:ascii="Times New Roman" w:hAnsi="Times New Roman" w:cs="Times New Roman"/>
          <w:sz w:val="26"/>
          <w:szCs w:val="26"/>
        </w:rPr>
        <w:t>John</w:t>
      </w:r>
      <w:r w:rsidR="001D5B2E">
        <w:rPr>
          <w:rFonts w:ascii="Times New Roman" w:hAnsi="Times New Roman" w:cs="Times New Roman"/>
          <w:sz w:val="26"/>
          <w:szCs w:val="26"/>
        </w:rPr>
        <w:t xml:space="preserve"> was called to the Bar, judicial review</w:t>
      </w:r>
      <w:r w:rsidR="00461DA3">
        <w:rPr>
          <w:rFonts w:ascii="Times New Roman" w:hAnsi="Times New Roman" w:cs="Times New Roman"/>
          <w:sz w:val="26"/>
          <w:szCs w:val="26"/>
        </w:rPr>
        <w:t>, JR,</w:t>
      </w:r>
      <w:r w:rsidR="001D5B2E">
        <w:rPr>
          <w:rFonts w:ascii="Times New Roman" w:hAnsi="Times New Roman" w:cs="Times New Roman"/>
          <w:sz w:val="26"/>
          <w:szCs w:val="26"/>
        </w:rPr>
        <w:t xml:space="preserve"> was something of a niche area. </w:t>
      </w:r>
      <w:r w:rsidR="00252E75">
        <w:rPr>
          <w:rFonts w:ascii="Times New Roman" w:hAnsi="Times New Roman" w:cs="Times New Roman"/>
          <w:sz w:val="26"/>
          <w:szCs w:val="26"/>
        </w:rPr>
        <w:t>In the next fourteen years it mushroomed, so</w:t>
      </w:r>
      <w:r w:rsidR="00F524CD">
        <w:rPr>
          <w:rFonts w:ascii="Times New Roman" w:hAnsi="Times New Roman" w:cs="Times New Roman"/>
          <w:sz w:val="26"/>
          <w:szCs w:val="26"/>
        </w:rPr>
        <w:t xml:space="preserve"> that</w:t>
      </w:r>
      <w:r w:rsidR="00252E75">
        <w:rPr>
          <w:rFonts w:ascii="Times New Roman" w:hAnsi="Times New Roman" w:cs="Times New Roman"/>
          <w:sz w:val="26"/>
          <w:szCs w:val="26"/>
        </w:rPr>
        <w:t xml:space="preserve"> by the time he was appointed Treasury Devil, it had become possibly the fastest growing area of litigation</w:t>
      </w:r>
      <w:r>
        <w:rPr>
          <w:rFonts w:ascii="Times New Roman" w:hAnsi="Times New Roman" w:cs="Times New Roman"/>
          <w:sz w:val="26"/>
          <w:szCs w:val="26"/>
        </w:rPr>
        <w:t xml:space="preserve"> in the courts of England and Wales</w:t>
      </w:r>
      <w:r w:rsidR="00252E75">
        <w:rPr>
          <w:rFonts w:ascii="Times New Roman" w:hAnsi="Times New Roman" w:cs="Times New Roman"/>
          <w:sz w:val="26"/>
          <w:szCs w:val="26"/>
        </w:rPr>
        <w:t>.</w:t>
      </w:r>
      <w:r w:rsidR="00F524CD">
        <w:rPr>
          <w:rFonts w:ascii="Times New Roman" w:hAnsi="Times New Roman" w:cs="Times New Roman"/>
          <w:sz w:val="26"/>
          <w:szCs w:val="26"/>
        </w:rPr>
        <w:t xml:space="preserve"> And the volume of JR cases was still on the up when John was appointed a Judge in 1992.</w:t>
      </w:r>
      <w:r w:rsidR="00390772">
        <w:rPr>
          <w:rFonts w:ascii="Times New Roman" w:hAnsi="Times New Roman" w:cs="Times New Roman"/>
          <w:sz w:val="26"/>
          <w:szCs w:val="26"/>
        </w:rPr>
        <w:t xml:space="preserve"> On top of that, of course, his time as a judge coincided with some fundamental constitutional changes and issues, including the development and integration of EU law, the passing of the Human Rights Act</w:t>
      </w:r>
      <w:r w:rsidR="00F07DCE">
        <w:rPr>
          <w:rFonts w:ascii="Times New Roman" w:hAnsi="Times New Roman" w:cs="Times New Roman"/>
          <w:sz w:val="26"/>
          <w:szCs w:val="26"/>
        </w:rPr>
        <w:t>, the HRA,</w:t>
      </w:r>
      <w:r w:rsidR="00390772">
        <w:rPr>
          <w:rFonts w:ascii="Times New Roman" w:hAnsi="Times New Roman" w:cs="Times New Roman"/>
          <w:sz w:val="26"/>
          <w:szCs w:val="26"/>
        </w:rPr>
        <w:t xml:space="preserve"> and internal constitutional changes i</w:t>
      </w:r>
      <w:r w:rsidR="003E79CD">
        <w:rPr>
          <w:rFonts w:ascii="Times New Roman" w:hAnsi="Times New Roman" w:cs="Times New Roman"/>
          <w:sz w:val="26"/>
          <w:szCs w:val="26"/>
        </w:rPr>
        <w:t xml:space="preserve">ncluding </w:t>
      </w:r>
      <w:r w:rsidR="00C475DE">
        <w:rPr>
          <w:rFonts w:ascii="Times New Roman" w:hAnsi="Times New Roman" w:cs="Times New Roman"/>
          <w:sz w:val="26"/>
          <w:szCs w:val="26"/>
        </w:rPr>
        <w:t>devolution</w:t>
      </w:r>
      <w:r w:rsidR="003E79CD">
        <w:rPr>
          <w:rFonts w:ascii="Times New Roman" w:hAnsi="Times New Roman" w:cs="Times New Roman"/>
          <w:sz w:val="26"/>
          <w:szCs w:val="26"/>
        </w:rPr>
        <w:t xml:space="preserve"> legislation</w:t>
      </w:r>
      <w:r w:rsidR="00C475DE">
        <w:rPr>
          <w:rFonts w:ascii="Times New Roman" w:hAnsi="Times New Roman" w:cs="Times New Roman"/>
          <w:sz w:val="26"/>
          <w:szCs w:val="26"/>
        </w:rPr>
        <w:t xml:space="preserve"> </w:t>
      </w:r>
      <w:r w:rsidR="00390772">
        <w:rPr>
          <w:rFonts w:ascii="Times New Roman" w:hAnsi="Times New Roman" w:cs="Times New Roman"/>
          <w:sz w:val="26"/>
          <w:szCs w:val="26"/>
        </w:rPr>
        <w:t xml:space="preserve">the Constitutional Reform Act. </w:t>
      </w:r>
    </w:p>
    <w:p w14:paraId="63BBF313" w14:textId="77777777" w:rsidR="00461DA3" w:rsidRPr="00461DA3" w:rsidRDefault="00461DA3" w:rsidP="00461DA3">
      <w:pPr>
        <w:pStyle w:val="ListParagraph"/>
        <w:rPr>
          <w:rFonts w:ascii="Times New Roman" w:hAnsi="Times New Roman" w:cs="Times New Roman"/>
          <w:sz w:val="26"/>
          <w:szCs w:val="26"/>
        </w:rPr>
      </w:pPr>
    </w:p>
    <w:p w14:paraId="39754A9B" w14:textId="1D114B2A" w:rsidR="00461DA3" w:rsidRDefault="00C37E39" w:rsidP="00F524CD">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 propose</w:t>
      </w:r>
      <w:r w:rsidR="00461DA3">
        <w:rPr>
          <w:rFonts w:ascii="Times New Roman" w:hAnsi="Times New Roman" w:cs="Times New Roman"/>
          <w:sz w:val="26"/>
          <w:szCs w:val="26"/>
        </w:rPr>
        <w:t xml:space="preserve"> first</w:t>
      </w:r>
      <w:r>
        <w:rPr>
          <w:rFonts w:ascii="Times New Roman" w:hAnsi="Times New Roman" w:cs="Times New Roman"/>
          <w:sz w:val="26"/>
          <w:szCs w:val="26"/>
        </w:rPr>
        <w:t xml:space="preserve"> to</w:t>
      </w:r>
      <w:r w:rsidR="00461DA3">
        <w:rPr>
          <w:rFonts w:ascii="Times New Roman" w:hAnsi="Times New Roman" w:cs="Times New Roman"/>
          <w:sz w:val="26"/>
          <w:szCs w:val="26"/>
        </w:rPr>
        <w:t xml:space="preserve"> discuss some aspects of John’s outstanding contributions to JR</w:t>
      </w:r>
      <w:r w:rsidR="00107A3F">
        <w:rPr>
          <w:rFonts w:ascii="Times New Roman" w:hAnsi="Times New Roman" w:cs="Times New Roman"/>
          <w:sz w:val="26"/>
          <w:szCs w:val="26"/>
        </w:rPr>
        <w:t xml:space="preserve"> and human rights</w:t>
      </w:r>
      <w:r w:rsidR="00461DA3">
        <w:rPr>
          <w:rFonts w:ascii="Times New Roman" w:hAnsi="Times New Roman" w:cs="Times New Roman"/>
          <w:sz w:val="26"/>
          <w:szCs w:val="26"/>
        </w:rPr>
        <w:t xml:space="preserve"> law, and will then turn to his remarkable</w:t>
      </w:r>
      <w:r w:rsidR="007B601C">
        <w:rPr>
          <w:rFonts w:ascii="Times New Roman" w:hAnsi="Times New Roman" w:cs="Times New Roman"/>
          <w:sz w:val="26"/>
          <w:szCs w:val="26"/>
        </w:rPr>
        <w:t xml:space="preserve"> contributions to</w:t>
      </w:r>
      <w:r w:rsidR="00461DA3">
        <w:rPr>
          <w:rFonts w:ascii="Times New Roman" w:hAnsi="Times New Roman" w:cs="Times New Roman"/>
          <w:sz w:val="26"/>
          <w:szCs w:val="26"/>
        </w:rPr>
        <w:t xml:space="preserve"> constitutional </w:t>
      </w:r>
      <w:r w:rsidR="007B601C">
        <w:rPr>
          <w:rFonts w:ascii="Times New Roman" w:hAnsi="Times New Roman" w:cs="Times New Roman"/>
          <w:sz w:val="26"/>
          <w:szCs w:val="26"/>
        </w:rPr>
        <w:t>law</w:t>
      </w:r>
      <w:r w:rsidR="00461DA3">
        <w:rPr>
          <w:rFonts w:ascii="Times New Roman" w:hAnsi="Times New Roman" w:cs="Times New Roman"/>
          <w:sz w:val="26"/>
          <w:szCs w:val="26"/>
        </w:rPr>
        <w:t xml:space="preserve">. </w:t>
      </w:r>
      <w:r w:rsidR="003D05EF">
        <w:rPr>
          <w:rFonts w:ascii="Times New Roman" w:hAnsi="Times New Roman" w:cs="Times New Roman"/>
          <w:sz w:val="26"/>
          <w:szCs w:val="26"/>
        </w:rPr>
        <w:t>Before I do so, I should mention that, although generally I deprecate including many or longish quotes in lectures – as in judgments</w:t>
      </w:r>
      <w:r w:rsidR="00C475DE">
        <w:rPr>
          <w:rFonts w:ascii="Times New Roman" w:hAnsi="Times New Roman" w:cs="Times New Roman"/>
          <w:sz w:val="26"/>
          <w:szCs w:val="26"/>
        </w:rPr>
        <w:t xml:space="preserve"> -</w:t>
      </w:r>
      <w:r w:rsidR="003D05EF">
        <w:rPr>
          <w:rFonts w:ascii="Times New Roman" w:hAnsi="Times New Roman" w:cs="Times New Roman"/>
          <w:sz w:val="26"/>
          <w:szCs w:val="26"/>
        </w:rPr>
        <w:t xml:space="preserve"> I have broken that rule in this instance. Not only do I think that this is justified because this talk is about John’s contributions, but </w:t>
      </w:r>
      <w:r w:rsidR="00C475DE">
        <w:rPr>
          <w:rFonts w:ascii="Times New Roman" w:hAnsi="Times New Roman" w:cs="Times New Roman"/>
          <w:sz w:val="26"/>
          <w:szCs w:val="26"/>
        </w:rPr>
        <w:t xml:space="preserve">it is </w:t>
      </w:r>
      <w:r w:rsidR="003D05EF">
        <w:rPr>
          <w:rFonts w:ascii="Times New Roman" w:hAnsi="Times New Roman" w:cs="Times New Roman"/>
          <w:sz w:val="26"/>
          <w:szCs w:val="26"/>
        </w:rPr>
        <w:t>also</w:t>
      </w:r>
      <w:r w:rsidR="00C475DE">
        <w:rPr>
          <w:rFonts w:ascii="Times New Roman" w:hAnsi="Times New Roman" w:cs="Times New Roman"/>
          <w:sz w:val="26"/>
          <w:szCs w:val="26"/>
        </w:rPr>
        <w:t xml:space="preserve"> because</w:t>
      </w:r>
      <w:r w:rsidR="003D05EF">
        <w:rPr>
          <w:rFonts w:ascii="Times New Roman" w:hAnsi="Times New Roman" w:cs="Times New Roman"/>
          <w:sz w:val="26"/>
          <w:szCs w:val="26"/>
        </w:rPr>
        <w:t xml:space="preserve"> I cannot match, let alone improve on, his way with words, which managed to be both punchy and elegant.</w:t>
      </w:r>
    </w:p>
    <w:p w14:paraId="7235A943" w14:textId="77777777" w:rsidR="00F524CD" w:rsidRPr="00F524CD" w:rsidRDefault="00F524CD" w:rsidP="00F524CD">
      <w:pPr>
        <w:pStyle w:val="ListParagraph"/>
        <w:rPr>
          <w:rFonts w:ascii="Times New Roman" w:hAnsi="Times New Roman" w:cs="Times New Roman"/>
          <w:sz w:val="26"/>
          <w:szCs w:val="26"/>
        </w:rPr>
      </w:pPr>
    </w:p>
    <w:p w14:paraId="295334A5" w14:textId="3A6D5738" w:rsidR="000E5A1A" w:rsidRDefault="00252E75" w:rsidP="00F524CD">
      <w:pPr>
        <w:pStyle w:val="ListParagraph"/>
        <w:numPr>
          <w:ilvl w:val="0"/>
          <w:numId w:val="1"/>
        </w:numPr>
        <w:spacing w:line="360" w:lineRule="auto"/>
        <w:jc w:val="both"/>
        <w:rPr>
          <w:rFonts w:ascii="Times New Roman" w:hAnsi="Times New Roman" w:cs="Times New Roman"/>
          <w:sz w:val="26"/>
          <w:szCs w:val="26"/>
        </w:rPr>
      </w:pPr>
      <w:r w:rsidRPr="00F524CD">
        <w:rPr>
          <w:rFonts w:ascii="Times New Roman" w:hAnsi="Times New Roman" w:cs="Times New Roman"/>
          <w:sz w:val="26"/>
          <w:szCs w:val="26"/>
        </w:rPr>
        <w:t xml:space="preserve"> </w:t>
      </w:r>
      <w:r w:rsidR="00DB46E3">
        <w:rPr>
          <w:rFonts w:ascii="Times New Roman" w:hAnsi="Times New Roman" w:cs="Times New Roman"/>
          <w:sz w:val="26"/>
          <w:szCs w:val="26"/>
        </w:rPr>
        <w:t>John’s deep understanding of JR is nowhere better illustrated than in his judgment in</w:t>
      </w:r>
      <w:r w:rsidR="000B43C4">
        <w:rPr>
          <w:rFonts w:ascii="Times New Roman" w:hAnsi="Times New Roman" w:cs="Times New Roman"/>
          <w:sz w:val="26"/>
          <w:szCs w:val="26"/>
        </w:rPr>
        <w:t xml:space="preserve"> the</w:t>
      </w:r>
      <w:r w:rsidR="004F1C2A">
        <w:rPr>
          <w:rFonts w:ascii="Times New Roman" w:hAnsi="Times New Roman" w:cs="Times New Roman"/>
          <w:sz w:val="26"/>
          <w:szCs w:val="26"/>
        </w:rPr>
        <w:t xml:space="preserve"> 2010</w:t>
      </w:r>
      <w:r w:rsidR="000B43C4">
        <w:rPr>
          <w:rFonts w:ascii="Times New Roman" w:hAnsi="Times New Roman" w:cs="Times New Roman"/>
          <w:sz w:val="26"/>
          <w:szCs w:val="26"/>
        </w:rPr>
        <w:t xml:space="preserve"> </w:t>
      </w:r>
      <w:r w:rsidR="004F1C2A">
        <w:rPr>
          <w:rFonts w:ascii="Times New Roman" w:hAnsi="Times New Roman" w:cs="Times New Roman"/>
          <w:sz w:val="26"/>
          <w:szCs w:val="26"/>
        </w:rPr>
        <w:t>Divisional Court</w:t>
      </w:r>
      <w:r w:rsidR="00DB46E3">
        <w:rPr>
          <w:rFonts w:ascii="Times New Roman" w:hAnsi="Times New Roman" w:cs="Times New Roman"/>
          <w:sz w:val="26"/>
          <w:szCs w:val="26"/>
        </w:rPr>
        <w:t xml:space="preserve"> </w:t>
      </w:r>
      <w:r w:rsidR="00DB46E3" w:rsidRPr="00C37E39">
        <w:rPr>
          <w:rFonts w:ascii="Times New Roman" w:hAnsi="Times New Roman" w:cs="Times New Roman"/>
          <w:sz w:val="26"/>
          <w:szCs w:val="26"/>
          <w:u w:val="single"/>
        </w:rPr>
        <w:t>Cart</w:t>
      </w:r>
      <w:r w:rsidR="00DB46E3">
        <w:rPr>
          <w:rFonts w:ascii="Times New Roman" w:hAnsi="Times New Roman" w:cs="Times New Roman"/>
          <w:i/>
          <w:iCs/>
          <w:sz w:val="26"/>
          <w:szCs w:val="26"/>
        </w:rPr>
        <w:t xml:space="preserve"> </w:t>
      </w:r>
      <w:r w:rsidR="00DB46E3">
        <w:rPr>
          <w:rFonts w:ascii="Times New Roman" w:hAnsi="Times New Roman" w:cs="Times New Roman"/>
          <w:sz w:val="26"/>
          <w:szCs w:val="26"/>
        </w:rPr>
        <w:t>case</w:t>
      </w:r>
      <w:r w:rsidR="006A022F">
        <w:rPr>
          <w:rStyle w:val="FootnoteReference"/>
          <w:rFonts w:ascii="Times New Roman" w:hAnsi="Times New Roman" w:cs="Times New Roman"/>
          <w:sz w:val="26"/>
          <w:szCs w:val="26"/>
        </w:rPr>
        <w:footnoteReference w:id="6"/>
      </w:r>
      <w:r w:rsidR="006A022F">
        <w:rPr>
          <w:rFonts w:ascii="Times New Roman" w:hAnsi="Times New Roman" w:cs="Times New Roman"/>
          <w:sz w:val="26"/>
          <w:szCs w:val="26"/>
        </w:rPr>
        <w:t xml:space="preserve">, </w:t>
      </w:r>
      <w:r w:rsidR="00DB46E3">
        <w:rPr>
          <w:rFonts w:ascii="Times New Roman" w:hAnsi="Times New Roman" w:cs="Times New Roman"/>
          <w:sz w:val="26"/>
          <w:szCs w:val="26"/>
        </w:rPr>
        <w:t xml:space="preserve"> </w:t>
      </w:r>
      <w:r w:rsidR="006A022F">
        <w:rPr>
          <w:rFonts w:ascii="Times New Roman" w:hAnsi="Times New Roman" w:cs="Times New Roman"/>
          <w:sz w:val="26"/>
          <w:szCs w:val="26"/>
        </w:rPr>
        <w:t xml:space="preserve">which was </w:t>
      </w:r>
      <w:r w:rsidR="00C37E39">
        <w:rPr>
          <w:rFonts w:ascii="Times New Roman" w:hAnsi="Times New Roman" w:cs="Times New Roman"/>
          <w:sz w:val="26"/>
          <w:szCs w:val="26"/>
        </w:rPr>
        <w:t>described</w:t>
      </w:r>
      <w:r w:rsidR="006A022F">
        <w:rPr>
          <w:rFonts w:ascii="Times New Roman" w:hAnsi="Times New Roman" w:cs="Times New Roman"/>
          <w:sz w:val="26"/>
          <w:szCs w:val="26"/>
        </w:rPr>
        <w:t xml:space="preserve"> by Lady Hale in the Supreme Court as “</w:t>
      </w:r>
      <w:r w:rsidR="006A022F" w:rsidRPr="006A022F">
        <w:rPr>
          <w:rFonts w:ascii="Times New Roman" w:hAnsi="Times New Roman" w:cs="Times New Roman"/>
          <w:i/>
          <w:iCs/>
          <w:sz w:val="26"/>
          <w:szCs w:val="26"/>
        </w:rPr>
        <w:t>a typically subtle and erudite judgment</w:t>
      </w:r>
      <w:r w:rsidR="006A022F">
        <w:rPr>
          <w:rFonts w:ascii="Times New Roman" w:hAnsi="Times New Roman" w:cs="Times New Roman"/>
          <w:sz w:val="26"/>
          <w:szCs w:val="26"/>
        </w:rPr>
        <w:t>”</w:t>
      </w:r>
      <w:r w:rsidR="006A022F">
        <w:rPr>
          <w:rStyle w:val="FootnoteReference"/>
          <w:rFonts w:ascii="Times New Roman" w:hAnsi="Times New Roman" w:cs="Times New Roman"/>
          <w:sz w:val="26"/>
          <w:szCs w:val="26"/>
        </w:rPr>
        <w:footnoteReference w:id="7"/>
      </w:r>
      <w:r w:rsidR="00C37E39">
        <w:rPr>
          <w:rFonts w:ascii="Times New Roman" w:hAnsi="Times New Roman" w:cs="Times New Roman"/>
          <w:sz w:val="26"/>
          <w:szCs w:val="26"/>
        </w:rPr>
        <w:t xml:space="preserve"> -</w:t>
      </w:r>
      <w:r w:rsidR="006A022F">
        <w:rPr>
          <w:rFonts w:ascii="Times New Roman" w:hAnsi="Times New Roman" w:cs="Times New Roman"/>
          <w:sz w:val="26"/>
          <w:szCs w:val="26"/>
        </w:rPr>
        <w:t xml:space="preserve"> and</w:t>
      </w:r>
      <w:r w:rsidR="00C475DE">
        <w:rPr>
          <w:rFonts w:ascii="Times New Roman" w:hAnsi="Times New Roman" w:cs="Times New Roman"/>
          <w:sz w:val="26"/>
          <w:szCs w:val="26"/>
        </w:rPr>
        <w:t xml:space="preserve"> she</w:t>
      </w:r>
      <w:r w:rsidR="006A022F">
        <w:rPr>
          <w:rFonts w:ascii="Times New Roman" w:hAnsi="Times New Roman" w:cs="Times New Roman"/>
          <w:sz w:val="26"/>
          <w:szCs w:val="26"/>
        </w:rPr>
        <w:t xml:space="preserve"> </w:t>
      </w:r>
      <w:r w:rsidR="00C37E39">
        <w:rPr>
          <w:rFonts w:ascii="Times New Roman" w:hAnsi="Times New Roman" w:cs="Times New Roman"/>
          <w:sz w:val="26"/>
          <w:szCs w:val="26"/>
        </w:rPr>
        <w:t>also</w:t>
      </w:r>
      <w:r w:rsidR="006A022F">
        <w:rPr>
          <w:rFonts w:ascii="Times New Roman" w:hAnsi="Times New Roman" w:cs="Times New Roman"/>
          <w:sz w:val="26"/>
          <w:szCs w:val="26"/>
        </w:rPr>
        <w:t xml:space="preserve"> referred to John having “</w:t>
      </w:r>
      <w:r w:rsidR="006A022F" w:rsidRPr="000E5A1A">
        <w:rPr>
          <w:rFonts w:ascii="Times New Roman" w:hAnsi="Times New Roman" w:cs="Times New Roman"/>
          <w:i/>
          <w:iCs/>
          <w:sz w:val="26"/>
          <w:szCs w:val="26"/>
        </w:rPr>
        <w:t>killed</w:t>
      </w:r>
      <w:r w:rsidR="006A022F">
        <w:rPr>
          <w:rFonts w:ascii="Times New Roman" w:hAnsi="Times New Roman" w:cs="Times New Roman"/>
          <w:sz w:val="26"/>
          <w:szCs w:val="26"/>
        </w:rPr>
        <w:t>” one particular argument “</w:t>
      </w:r>
      <w:r w:rsidR="006A022F" w:rsidRPr="000E5A1A">
        <w:rPr>
          <w:rFonts w:ascii="Times New Roman" w:hAnsi="Times New Roman" w:cs="Times New Roman"/>
          <w:i/>
          <w:iCs/>
          <w:sz w:val="26"/>
          <w:szCs w:val="26"/>
        </w:rPr>
        <w:t>stone dead</w:t>
      </w:r>
      <w:r w:rsidR="006A022F">
        <w:rPr>
          <w:rFonts w:ascii="Times New Roman" w:hAnsi="Times New Roman" w:cs="Times New Roman"/>
          <w:sz w:val="26"/>
          <w:szCs w:val="26"/>
        </w:rPr>
        <w:t>”</w:t>
      </w:r>
      <w:r w:rsidR="000E5A1A">
        <w:rPr>
          <w:rStyle w:val="FootnoteReference"/>
          <w:rFonts w:ascii="Times New Roman" w:hAnsi="Times New Roman" w:cs="Times New Roman"/>
          <w:sz w:val="26"/>
          <w:szCs w:val="26"/>
        </w:rPr>
        <w:footnoteReference w:id="8"/>
      </w:r>
      <w:r w:rsidR="006A022F">
        <w:rPr>
          <w:rFonts w:ascii="Times New Roman" w:hAnsi="Times New Roman" w:cs="Times New Roman"/>
          <w:sz w:val="26"/>
          <w:szCs w:val="26"/>
        </w:rPr>
        <w:t xml:space="preserve">. And </w:t>
      </w:r>
      <w:r w:rsidR="00C37E39">
        <w:rPr>
          <w:rFonts w:ascii="Times New Roman" w:hAnsi="Times New Roman" w:cs="Times New Roman"/>
          <w:sz w:val="26"/>
          <w:szCs w:val="26"/>
        </w:rPr>
        <w:t xml:space="preserve">his </w:t>
      </w:r>
      <w:r w:rsidR="00C37E39" w:rsidRPr="00C37E39">
        <w:rPr>
          <w:rFonts w:ascii="Times New Roman" w:hAnsi="Times New Roman" w:cs="Times New Roman"/>
          <w:sz w:val="26"/>
          <w:szCs w:val="26"/>
          <w:u w:val="single"/>
        </w:rPr>
        <w:t>Cart</w:t>
      </w:r>
      <w:r w:rsidR="006A022F">
        <w:rPr>
          <w:rFonts w:ascii="Times New Roman" w:hAnsi="Times New Roman" w:cs="Times New Roman"/>
          <w:sz w:val="26"/>
          <w:szCs w:val="26"/>
        </w:rPr>
        <w:t xml:space="preserve"> judgment was </w:t>
      </w:r>
      <w:r w:rsidR="00DB46E3">
        <w:rPr>
          <w:rFonts w:ascii="Times New Roman" w:hAnsi="Times New Roman" w:cs="Times New Roman"/>
          <w:sz w:val="26"/>
          <w:szCs w:val="26"/>
        </w:rPr>
        <w:t xml:space="preserve">described by Lord Carnwath in the </w:t>
      </w:r>
      <w:r w:rsidR="006A022F">
        <w:rPr>
          <w:rFonts w:ascii="Times New Roman" w:hAnsi="Times New Roman" w:cs="Times New Roman"/>
          <w:sz w:val="26"/>
          <w:szCs w:val="26"/>
        </w:rPr>
        <w:t xml:space="preserve">2019 </w:t>
      </w:r>
      <w:r w:rsidR="00DB46E3">
        <w:rPr>
          <w:rFonts w:ascii="Times New Roman" w:hAnsi="Times New Roman" w:cs="Times New Roman"/>
          <w:sz w:val="26"/>
          <w:szCs w:val="26"/>
        </w:rPr>
        <w:t>Supreme Court</w:t>
      </w:r>
      <w:r w:rsidR="006A022F">
        <w:rPr>
          <w:rFonts w:ascii="Times New Roman" w:hAnsi="Times New Roman" w:cs="Times New Roman"/>
          <w:sz w:val="26"/>
          <w:szCs w:val="26"/>
        </w:rPr>
        <w:t xml:space="preserve"> </w:t>
      </w:r>
      <w:r w:rsidR="006A022F">
        <w:rPr>
          <w:rFonts w:ascii="Times New Roman" w:hAnsi="Times New Roman" w:cs="Times New Roman"/>
          <w:sz w:val="26"/>
          <w:szCs w:val="26"/>
          <w:u w:val="single"/>
        </w:rPr>
        <w:t>Privacy International</w:t>
      </w:r>
      <w:r w:rsidR="006A022F">
        <w:rPr>
          <w:rFonts w:ascii="Times New Roman" w:hAnsi="Times New Roman" w:cs="Times New Roman"/>
          <w:sz w:val="26"/>
          <w:szCs w:val="26"/>
        </w:rPr>
        <w:t xml:space="preserve"> case</w:t>
      </w:r>
      <w:r w:rsidR="00DB46E3">
        <w:rPr>
          <w:rStyle w:val="FootnoteReference"/>
          <w:rFonts w:ascii="Times New Roman" w:hAnsi="Times New Roman" w:cs="Times New Roman"/>
          <w:sz w:val="26"/>
          <w:szCs w:val="26"/>
        </w:rPr>
        <w:footnoteReference w:id="9"/>
      </w:r>
      <w:r w:rsidR="00DB46E3">
        <w:rPr>
          <w:rFonts w:ascii="Times New Roman" w:hAnsi="Times New Roman" w:cs="Times New Roman"/>
          <w:sz w:val="26"/>
          <w:szCs w:val="26"/>
        </w:rPr>
        <w:t xml:space="preserve"> as a “</w:t>
      </w:r>
      <w:r w:rsidR="00DB46E3" w:rsidRPr="00DB46E3">
        <w:rPr>
          <w:rFonts w:ascii="Times New Roman" w:hAnsi="Times New Roman" w:cs="Times New Roman"/>
          <w:i/>
          <w:iCs/>
          <w:sz w:val="26"/>
          <w:szCs w:val="26"/>
        </w:rPr>
        <w:t>scholarly account</w:t>
      </w:r>
      <w:r w:rsidR="00DB46E3">
        <w:rPr>
          <w:rFonts w:ascii="Times New Roman" w:hAnsi="Times New Roman" w:cs="Times New Roman"/>
          <w:sz w:val="26"/>
          <w:szCs w:val="26"/>
        </w:rPr>
        <w:t xml:space="preserve">” of  </w:t>
      </w:r>
      <w:r w:rsidR="00DB46E3">
        <w:rPr>
          <w:rFonts w:ascii="Times New Roman" w:hAnsi="Times New Roman" w:cs="Times New Roman"/>
          <w:i/>
          <w:iCs/>
          <w:sz w:val="26"/>
          <w:szCs w:val="26"/>
        </w:rPr>
        <w:t xml:space="preserve"> </w:t>
      </w:r>
      <w:r w:rsidR="00DB46E3">
        <w:rPr>
          <w:rFonts w:ascii="Times New Roman" w:hAnsi="Times New Roman" w:cs="Times New Roman"/>
          <w:sz w:val="26"/>
          <w:szCs w:val="26"/>
        </w:rPr>
        <w:t>the “</w:t>
      </w:r>
      <w:r w:rsidR="00DB46E3" w:rsidRPr="00DB46E3">
        <w:rPr>
          <w:rFonts w:ascii="Times New Roman" w:hAnsi="Times New Roman" w:cs="Times New Roman"/>
          <w:i/>
          <w:iCs/>
          <w:sz w:val="26"/>
          <w:szCs w:val="26"/>
        </w:rPr>
        <w:t>supervisory role of the King’s court (curia regis), or the King’s or Queen’s Bench Division of the High Court as it became… tracing it back to the time of William I</w:t>
      </w:r>
      <w:r w:rsidR="00DB46E3">
        <w:rPr>
          <w:rFonts w:ascii="Times New Roman" w:hAnsi="Times New Roman" w:cs="Times New Roman"/>
          <w:sz w:val="26"/>
          <w:szCs w:val="26"/>
        </w:rPr>
        <w:t>”.</w:t>
      </w:r>
      <w:r w:rsidR="00DB46E3" w:rsidRPr="00DB46E3">
        <w:rPr>
          <w:rFonts w:ascii="Times New Roman" w:hAnsi="Times New Roman" w:cs="Times New Roman"/>
          <w:sz w:val="26"/>
          <w:szCs w:val="26"/>
        </w:rPr>
        <w:t xml:space="preserve"> </w:t>
      </w:r>
      <w:r w:rsidR="007A7083">
        <w:rPr>
          <w:rFonts w:ascii="Times New Roman" w:hAnsi="Times New Roman" w:cs="Times New Roman"/>
          <w:sz w:val="26"/>
          <w:szCs w:val="26"/>
        </w:rPr>
        <w:t xml:space="preserve">Indeed, all the judgments </w:t>
      </w:r>
      <w:r w:rsidR="006A022F">
        <w:rPr>
          <w:rFonts w:ascii="Times New Roman" w:hAnsi="Times New Roman" w:cs="Times New Roman"/>
          <w:sz w:val="26"/>
          <w:szCs w:val="26"/>
        </w:rPr>
        <w:t xml:space="preserve">in </w:t>
      </w:r>
      <w:r w:rsidR="007A7083">
        <w:rPr>
          <w:rFonts w:ascii="Times New Roman" w:hAnsi="Times New Roman" w:cs="Times New Roman"/>
          <w:sz w:val="26"/>
          <w:szCs w:val="26"/>
        </w:rPr>
        <w:t>t</w:t>
      </w:r>
      <w:r w:rsidR="006A022F">
        <w:rPr>
          <w:rFonts w:ascii="Times New Roman" w:hAnsi="Times New Roman" w:cs="Times New Roman"/>
          <w:sz w:val="26"/>
          <w:szCs w:val="26"/>
        </w:rPr>
        <w:t xml:space="preserve">he </w:t>
      </w:r>
      <w:r w:rsidR="006A022F">
        <w:rPr>
          <w:rFonts w:ascii="Times New Roman" w:hAnsi="Times New Roman" w:cs="Times New Roman"/>
          <w:sz w:val="26"/>
          <w:szCs w:val="26"/>
          <w:u w:val="single"/>
        </w:rPr>
        <w:t>Privacy</w:t>
      </w:r>
      <w:r w:rsidR="006A022F" w:rsidRPr="006A022F">
        <w:rPr>
          <w:rFonts w:ascii="Times New Roman" w:hAnsi="Times New Roman" w:cs="Times New Roman"/>
          <w:sz w:val="26"/>
          <w:szCs w:val="26"/>
          <w:u w:val="single"/>
        </w:rPr>
        <w:t xml:space="preserve"> International</w:t>
      </w:r>
      <w:r w:rsidR="006A022F">
        <w:rPr>
          <w:rFonts w:ascii="Times New Roman" w:hAnsi="Times New Roman" w:cs="Times New Roman"/>
          <w:sz w:val="26"/>
          <w:szCs w:val="26"/>
        </w:rPr>
        <w:t xml:space="preserve"> case</w:t>
      </w:r>
      <w:r w:rsidR="007A7083">
        <w:rPr>
          <w:rFonts w:ascii="Times New Roman" w:hAnsi="Times New Roman" w:cs="Times New Roman"/>
          <w:sz w:val="26"/>
          <w:szCs w:val="26"/>
        </w:rPr>
        <w:t xml:space="preserve"> are</w:t>
      </w:r>
      <w:r w:rsidR="006A022F">
        <w:rPr>
          <w:rFonts w:ascii="Times New Roman" w:hAnsi="Times New Roman" w:cs="Times New Roman"/>
          <w:sz w:val="26"/>
          <w:szCs w:val="26"/>
        </w:rPr>
        <w:t xml:space="preserve"> peppered with</w:t>
      </w:r>
      <w:r w:rsidR="007A7083">
        <w:rPr>
          <w:rFonts w:ascii="Times New Roman" w:hAnsi="Times New Roman" w:cs="Times New Roman"/>
          <w:sz w:val="26"/>
          <w:szCs w:val="26"/>
        </w:rPr>
        <w:t xml:space="preserve"> approving</w:t>
      </w:r>
      <w:r w:rsidR="006A022F">
        <w:rPr>
          <w:rFonts w:ascii="Times New Roman" w:hAnsi="Times New Roman" w:cs="Times New Roman"/>
          <w:sz w:val="26"/>
          <w:szCs w:val="26"/>
        </w:rPr>
        <w:t xml:space="preserve"> references to John</w:t>
      </w:r>
      <w:r w:rsidR="000E5A1A">
        <w:rPr>
          <w:rFonts w:ascii="Times New Roman" w:hAnsi="Times New Roman" w:cs="Times New Roman"/>
          <w:sz w:val="26"/>
          <w:szCs w:val="26"/>
        </w:rPr>
        <w:t>’s</w:t>
      </w:r>
      <w:r w:rsidR="006A022F">
        <w:rPr>
          <w:rFonts w:ascii="Times New Roman" w:hAnsi="Times New Roman" w:cs="Times New Roman"/>
          <w:sz w:val="26"/>
          <w:szCs w:val="26"/>
        </w:rPr>
        <w:t xml:space="preserve"> </w:t>
      </w:r>
      <w:r w:rsidR="006A022F">
        <w:rPr>
          <w:rFonts w:ascii="Times New Roman" w:hAnsi="Times New Roman" w:cs="Times New Roman"/>
          <w:sz w:val="26"/>
          <w:szCs w:val="26"/>
          <w:u w:val="single"/>
        </w:rPr>
        <w:t>Cart</w:t>
      </w:r>
      <w:r w:rsidR="006A022F">
        <w:rPr>
          <w:rFonts w:ascii="Times New Roman" w:hAnsi="Times New Roman" w:cs="Times New Roman"/>
          <w:sz w:val="26"/>
          <w:szCs w:val="26"/>
        </w:rPr>
        <w:t xml:space="preserve"> judgmen</w:t>
      </w:r>
      <w:r w:rsidR="007A7083">
        <w:rPr>
          <w:rFonts w:ascii="Times New Roman" w:hAnsi="Times New Roman" w:cs="Times New Roman"/>
          <w:sz w:val="26"/>
          <w:szCs w:val="26"/>
        </w:rPr>
        <w:t>t</w:t>
      </w:r>
      <w:r w:rsidR="004F1C2A">
        <w:rPr>
          <w:rFonts w:ascii="Times New Roman" w:hAnsi="Times New Roman" w:cs="Times New Roman"/>
          <w:sz w:val="26"/>
          <w:szCs w:val="26"/>
        </w:rPr>
        <w:t>.</w:t>
      </w:r>
      <w:r w:rsidR="006A022F">
        <w:rPr>
          <w:rFonts w:ascii="Times New Roman" w:hAnsi="Times New Roman" w:cs="Times New Roman"/>
          <w:sz w:val="26"/>
          <w:szCs w:val="26"/>
        </w:rPr>
        <w:t xml:space="preserve"> </w:t>
      </w:r>
    </w:p>
    <w:p w14:paraId="78175BC1" w14:textId="77777777" w:rsidR="000E5A1A" w:rsidRPr="000E5A1A" w:rsidRDefault="000E5A1A" w:rsidP="000E5A1A">
      <w:pPr>
        <w:pStyle w:val="ListParagraph"/>
        <w:rPr>
          <w:rFonts w:ascii="Times New Roman" w:hAnsi="Times New Roman" w:cs="Times New Roman"/>
          <w:sz w:val="26"/>
          <w:szCs w:val="26"/>
        </w:rPr>
      </w:pPr>
    </w:p>
    <w:p w14:paraId="43C0967F" w14:textId="2C8C1A7C" w:rsidR="00F524CD" w:rsidRPr="008157A7" w:rsidRDefault="00252E75" w:rsidP="00A32E71">
      <w:pPr>
        <w:pStyle w:val="ListParagraph"/>
        <w:numPr>
          <w:ilvl w:val="0"/>
          <w:numId w:val="1"/>
        </w:numPr>
        <w:spacing w:line="360" w:lineRule="auto"/>
        <w:jc w:val="both"/>
        <w:rPr>
          <w:rFonts w:ascii="Times New Roman" w:hAnsi="Times New Roman" w:cs="Times New Roman"/>
          <w:sz w:val="26"/>
          <w:szCs w:val="26"/>
        </w:rPr>
      </w:pPr>
      <w:r w:rsidRPr="008157A7">
        <w:rPr>
          <w:rFonts w:ascii="Times New Roman" w:hAnsi="Times New Roman" w:cs="Times New Roman"/>
          <w:sz w:val="26"/>
          <w:szCs w:val="26"/>
        </w:rPr>
        <w:t>T</w:t>
      </w:r>
      <w:r w:rsidR="00461DA3" w:rsidRPr="008157A7">
        <w:rPr>
          <w:rFonts w:ascii="Times New Roman" w:hAnsi="Times New Roman" w:cs="Times New Roman"/>
          <w:sz w:val="26"/>
          <w:szCs w:val="26"/>
        </w:rPr>
        <w:t>raditionally at least, t</w:t>
      </w:r>
      <w:r w:rsidRPr="008157A7">
        <w:rPr>
          <w:rFonts w:ascii="Times New Roman" w:hAnsi="Times New Roman" w:cs="Times New Roman"/>
          <w:sz w:val="26"/>
          <w:szCs w:val="26"/>
        </w:rPr>
        <w:t>he basic principle</w:t>
      </w:r>
      <w:r w:rsidR="00F524CD" w:rsidRPr="008157A7">
        <w:rPr>
          <w:rFonts w:ascii="Times New Roman" w:hAnsi="Times New Roman" w:cs="Times New Roman"/>
          <w:sz w:val="26"/>
          <w:szCs w:val="26"/>
        </w:rPr>
        <w:t xml:space="preserve"> of JR</w:t>
      </w:r>
      <w:r w:rsidRPr="008157A7">
        <w:rPr>
          <w:rFonts w:ascii="Times New Roman" w:hAnsi="Times New Roman" w:cs="Times New Roman"/>
          <w:sz w:val="26"/>
          <w:szCs w:val="26"/>
        </w:rPr>
        <w:t xml:space="preserve"> </w:t>
      </w:r>
      <w:r w:rsidR="00F524CD" w:rsidRPr="008157A7">
        <w:rPr>
          <w:rFonts w:ascii="Times New Roman" w:hAnsi="Times New Roman" w:cs="Times New Roman"/>
          <w:sz w:val="26"/>
          <w:szCs w:val="26"/>
        </w:rPr>
        <w:t xml:space="preserve">was that judges would only quash a decision if it had not been arrived in accordance with the law, which rarely involved the court enquiring into the merits of a decision. That could only be done if the decision could be shown to be irrational in accordance with the principle laid down in the famous 1947 </w:t>
      </w:r>
      <w:r w:rsidR="00F524CD" w:rsidRPr="008157A7">
        <w:rPr>
          <w:rFonts w:ascii="Times New Roman" w:hAnsi="Times New Roman" w:cs="Times New Roman"/>
          <w:sz w:val="26"/>
          <w:szCs w:val="26"/>
          <w:u w:val="single"/>
        </w:rPr>
        <w:t>Wednesbury</w:t>
      </w:r>
      <w:r w:rsidR="00F524CD" w:rsidRPr="007C2E0D">
        <w:rPr>
          <w:rStyle w:val="FootnoteReference"/>
          <w:rFonts w:ascii="Times New Roman" w:hAnsi="Times New Roman" w:cs="Times New Roman"/>
          <w:sz w:val="26"/>
          <w:szCs w:val="26"/>
        </w:rPr>
        <w:footnoteReference w:id="10"/>
      </w:r>
      <w:r w:rsidR="00F524CD" w:rsidRPr="008157A7">
        <w:rPr>
          <w:rFonts w:ascii="Times New Roman" w:hAnsi="Times New Roman" w:cs="Times New Roman"/>
          <w:sz w:val="26"/>
          <w:szCs w:val="26"/>
        </w:rPr>
        <w:t xml:space="preserve"> case. In 1994, John expressed the point with characteristic elegance and clarity in the</w:t>
      </w:r>
      <w:r w:rsidR="004F1C2A" w:rsidRPr="008157A7">
        <w:rPr>
          <w:rFonts w:ascii="Times New Roman" w:hAnsi="Times New Roman" w:cs="Times New Roman"/>
          <w:sz w:val="26"/>
          <w:szCs w:val="26"/>
        </w:rPr>
        <w:t xml:space="preserve"> High Court</w:t>
      </w:r>
      <w:r w:rsidR="00F524CD" w:rsidRPr="008157A7">
        <w:rPr>
          <w:rFonts w:ascii="Times New Roman" w:hAnsi="Times New Roman" w:cs="Times New Roman"/>
          <w:sz w:val="26"/>
          <w:szCs w:val="26"/>
        </w:rPr>
        <w:t xml:space="preserve"> </w:t>
      </w:r>
      <w:r w:rsidR="00F524CD" w:rsidRPr="008157A7">
        <w:rPr>
          <w:rFonts w:ascii="Times New Roman" w:hAnsi="Times New Roman" w:cs="Times New Roman"/>
          <w:sz w:val="26"/>
          <w:szCs w:val="26"/>
          <w:u w:val="single"/>
        </w:rPr>
        <w:t>Fewings</w:t>
      </w:r>
      <w:r w:rsidR="00F524CD" w:rsidRPr="008157A7">
        <w:rPr>
          <w:rFonts w:ascii="Times New Roman" w:hAnsi="Times New Roman" w:cs="Times New Roman"/>
          <w:sz w:val="26"/>
          <w:szCs w:val="26"/>
        </w:rPr>
        <w:t xml:space="preserve"> case</w:t>
      </w:r>
      <w:r w:rsidR="00F524CD">
        <w:rPr>
          <w:rStyle w:val="FootnoteReference"/>
          <w:rFonts w:ascii="Times New Roman" w:hAnsi="Times New Roman" w:cs="Times New Roman"/>
          <w:sz w:val="26"/>
          <w:szCs w:val="26"/>
        </w:rPr>
        <w:footnoteReference w:id="11"/>
      </w:r>
      <w:r w:rsidR="00F524CD" w:rsidRPr="008157A7">
        <w:rPr>
          <w:rFonts w:ascii="Times New Roman" w:hAnsi="Times New Roman" w:cs="Times New Roman"/>
          <w:sz w:val="26"/>
          <w:szCs w:val="26"/>
        </w:rPr>
        <w:t>:</w:t>
      </w:r>
    </w:p>
    <w:p w14:paraId="49830E18" w14:textId="637F4F0F" w:rsidR="00F524CD" w:rsidRPr="00F524CD" w:rsidRDefault="00F524CD" w:rsidP="00F524CD">
      <w:pPr>
        <w:spacing w:line="276" w:lineRule="auto"/>
        <w:ind w:left="1440"/>
        <w:jc w:val="both"/>
        <w:rPr>
          <w:rFonts w:ascii="Times New Roman" w:hAnsi="Times New Roman" w:cs="Times New Roman"/>
          <w:sz w:val="26"/>
          <w:szCs w:val="26"/>
        </w:rPr>
      </w:pPr>
      <w:r w:rsidRPr="00F524CD">
        <w:rPr>
          <w:rFonts w:ascii="Times New Roman" w:hAnsi="Times New Roman" w:cs="Times New Roman"/>
          <w:sz w:val="26"/>
          <w:szCs w:val="26"/>
        </w:rPr>
        <w:t>“</w:t>
      </w:r>
      <w:r w:rsidRPr="00F524CD">
        <w:rPr>
          <w:rFonts w:ascii="Times New Roman" w:hAnsi="Times New Roman" w:cs="Times New Roman"/>
          <w:i/>
          <w:iCs/>
          <w:sz w:val="26"/>
          <w:szCs w:val="26"/>
        </w:rPr>
        <w:t>Although judicial review is an area of the law which is increasingly, and rightly, exposed to a good deal of media publicity, one of its most important characteristics is not, I think, generally very clearly understood. It is that, in most cases, the judicial review court is not concerned with the merits of the decision under review. The court does not ask itself the question, ‘Is this decision right or wrong?’ ….</w:t>
      </w:r>
      <w:r w:rsidR="007A7083">
        <w:rPr>
          <w:rFonts w:ascii="Times New Roman" w:hAnsi="Times New Roman" w:cs="Times New Roman"/>
          <w:i/>
          <w:iCs/>
          <w:sz w:val="26"/>
          <w:szCs w:val="26"/>
        </w:rPr>
        <w:t xml:space="preserve"> [I]</w:t>
      </w:r>
      <w:r w:rsidRPr="00F524CD">
        <w:rPr>
          <w:rFonts w:ascii="Times New Roman" w:hAnsi="Times New Roman" w:cs="Times New Roman"/>
          <w:i/>
          <w:iCs/>
          <w:sz w:val="26"/>
          <w:szCs w:val="26"/>
        </w:rPr>
        <w:t>t is essential that those who espouse either side of the argument should understand beyond any possibility of doubt that the task of the court, and the judgment at which it arrives, have nothing to do with the question, ‘Which view is the better one?’. Otherwise, justice would not be seen to be done…</w:t>
      </w:r>
      <w:r w:rsidRPr="00F524CD">
        <w:rPr>
          <w:rFonts w:ascii="Times New Roman" w:hAnsi="Times New Roman" w:cs="Times New Roman"/>
          <w:sz w:val="26"/>
          <w:szCs w:val="26"/>
        </w:rPr>
        <w:t>”</w:t>
      </w:r>
      <w:r>
        <w:rPr>
          <w:rFonts w:ascii="Times New Roman" w:hAnsi="Times New Roman" w:cs="Times New Roman"/>
          <w:sz w:val="26"/>
          <w:szCs w:val="26"/>
        </w:rPr>
        <w:t>.</w:t>
      </w:r>
    </w:p>
    <w:p w14:paraId="0058B019" w14:textId="77777777" w:rsidR="004128F8" w:rsidRPr="004128F8" w:rsidRDefault="004128F8" w:rsidP="004128F8">
      <w:pPr>
        <w:pStyle w:val="ListParagraph"/>
        <w:rPr>
          <w:rFonts w:ascii="Times New Roman" w:hAnsi="Times New Roman" w:cs="Times New Roman"/>
          <w:sz w:val="26"/>
          <w:szCs w:val="26"/>
        </w:rPr>
      </w:pPr>
    </w:p>
    <w:p w14:paraId="7D96B395" w14:textId="66FB4B70" w:rsidR="004128F8" w:rsidRDefault="00453ABE" w:rsidP="00C87744">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An important aspect of </w:t>
      </w:r>
      <w:r w:rsidR="007A7083">
        <w:rPr>
          <w:rFonts w:ascii="Times New Roman" w:hAnsi="Times New Roman" w:cs="Times New Roman"/>
          <w:sz w:val="26"/>
          <w:szCs w:val="26"/>
        </w:rPr>
        <w:t>JR</w:t>
      </w:r>
      <w:r>
        <w:rPr>
          <w:rFonts w:ascii="Times New Roman" w:hAnsi="Times New Roman" w:cs="Times New Roman"/>
          <w:sz w:val="26"/>
          <w:szCs w:val="26"/>
        </w:rPr>
        <w:t xml:space="preserve"> developed in the 1980s was the principle of legitimate expectation – the public law equivalent of estoppel. W</w:t>
      </w:r>
      <w:r w:rsidRPr="0030772B">
        <w:rPr>
          <w:rFonts w:ascii="Times New Roman" w:hAnsi="Times New Roman" w:cs="Times New Roman"/>
          <w:sz w:val="26"/>
          <w:szCs w:val="26"/>
        </w:rPr>
        <w:t xml:space="preserve">hen he was Treasury Devil, </w:t>
      </w:r>
      <w:r>
        <w:rPr>
          <w:rFonts w:ascii="Times New Roman" w:hAnsi="Times New Roman" w:cs="Times New Roman"/>
          <w:sz w:val="26"/>
          <w:szCs w:val="26"/>
        </w:rPr>
        <w:t>John as an advocate representing the Government,</w:t>
      </w:r>
      <w:r w:rsidRPr="0030772B">
        <w:rPr>
          <w:rFonts w:ascii="Times New Roman" w:hAnsi="Times New Roman" w:cs="Times New Roman"/>
          <w:sz w:val="26"/>
          <w:szCs w:val="26"/>
        </w:rPr>
        <w:t xml:space="preserve"> opposed the idea that the courts should develop that principle as part of English law</w:t>
      </w:r>
      <w:r>
        <w:rPr>
          <w:rFonts w:ascii="Times New Roman" w:hAnsi="Times New Roman" w:cs="Times New Roman"/>
          <w:sz w:val="26"/>
          <w:szCs w:val="26"/>
        </w:rPr>
        <w:t xml:space="preserve"> – for instance the House of Lords </w:t>
      </w:r>
      <w:r>
        <w:rPr>
          <w:rFonts w:ascii="Times New Roman" w:hAnsi="Times New Roman" w:cs="Times New Roman"/>
          <w:sz w:val="26"/>
          <w:szCs w:val="26"/>
          <w:u w:val="single"/>
        </w:rPr>
        <w:t>Findlay</w:t>
      </w:r>
      <w:r>
        <w:rPr>
          <w:rFonts w:ascii="Times New Roman" w:hAnsi="Times New Roman" w:cs="Times New Roman"/>
          <w:sz w:val="26"/>
          <w:szCs w:val="26"/>
        </w:rPr>
        <w:t xml:space="preserve"> case</w:t>
      </w:r>
      <w:r>
        <w:rPr>
          <w:rStyle w:val="FootnoteReference"/>
          <w:rFonts w:ascii="Times New Roman" w:hAnsi="Times New Roman" w:cs="Times New Roman"/>
          <w:sz w:val="26"/>
          <w:szCs w:val="26"/>
        </w:rPr>
        <w:footnoteReference w:id="12"/>
      </w:r>
      <w:r w:rsidRPr="0030772B">
        <w:rPr>
          <w:rFonts w:ascii="Times New Roman" w:hAnsi="Times New Roman" w:cs="Times New Roman"/>
          <w:sz w:val="26"/>
          <w:szCs w:val="26"/>
        </w:rPr>
        <w:t>.</w:t>
      </w:r>
      <w:r>
        <w:rPr>
          <w:rFonts w:ascii="Times New Roman" w:hAnsi="Times New Roman" w:cs="Times New Roman"/>
          <w:sz w:val="26"/>
          <w:szCs w:val="26"/>
        </w:rPr>
        <w:t xml:space="preserve"> And, early on in his judicial career in 1994, as Laws J in the </w:t>
      </w:r>
      <w:r w:rsidRPr="0030772B">
        <w:rPr>
          <w:rFonts w:ascii="Times New Roman" w:hAnsi="Times New Roman" w:cs="Times New Roman"/>
          <w:sz w:val="26"/>
          <w:szCs w:val="26"/>
          <w:u w:val="single"/>
        </w:rPr>
        <w:t>Richmond-upon-Thames</w:t>
      </w:r>
      <w:r>
        <w:rPr>
          <w:rFonts w:ascii="Times New Roman" w:hAnsi="Times New Roman" w:cs="Times New Roman"/>
          <w:sz w:val="26"/>
          <w:szCs w:val="26"/>
        </w:rPr>
        <w:t xml:space="preserve"> case</w:t>
      </w:r>
      <w:r>
        <w:rPr>
          <w:rStyle w:val="FootnoteReference"/>
          <w:rFonts w:ascii="Times New Roman" w:hAnsi="Times New Roman" w:cs="Times New Roman"/>
          <w:sz w:val="26"/>
          <w:szCs w:val="26"/>
        </w:rPr>
        <w:footnoteReference w:id="13"/>
      </w:r>
      <w:r>
        <w:rPr>
          <w:rFonts w:ascii="Times New Roman" w:hAnsi="Times New Roman" w:cs="Times New Roman"/>
          <w:sz w:val="26"/>
          <w:szCs w:val="26"/>
        </w:rPr>
        <w:t>, he rejected the notion that “</w:t>
      </w:r>
      <w:r w:rsidRPr="00436EB7">
        <w:rPr>
          <w:rFonts w:ascii="Times New Roman" w:hAnsi="Times New Roman" w:cs="Times New Roman"/>
          <w:i/>
          <w:iCs/>
          <w:sz w:val="26"/>
          <w:szCs w:val="26"/>
        </w:rPr>
        <w:t>the law as it has developed will encompass and enforce not only procedural but also substantive legitimate expectations</w:t>
      </w:r>
      <w:r>
        <w:rPr>
          <w:rFonts w:ascii="Times New Roman" w:hAnsi="Times New Roman" w:cs="Times New Roman"/>
          <w:sz w:val="26"/>
          <w:szCs w:val="26"/>
        </w:rPr>
        <w:t xml:space="preserve">”, and said that </w:t>
      </w:r>
      <w:r w:rsidR="005724FC">
        <w:rPr>
          <w:rFonts w:ascii="Times New Roman" w:hAnsi="Times New Roman" w:cs="Times New Roman"/>
          <w:sz w:val="26"/>
          <w:szCs w:val="26"/>
        </w:rPr>
        <w:t>“</w:t>
      </w:r>
      <w:r w:rsidR="005724FC" w:rsidRPr="005724FC">
        <w:rPr>
          <w:rFonts w:ascii="Times New Roman" w:hAnsi="Times New Roman" w:cs="Times New Roman"/>
          <w:i/>
          <w:iCs/>
          <w:sz w:val="26"/>
          <w:szCs w:val="26"/>
        </w:rPr>
        <w:t>the law of legitimate expectation, where it is invoked in situations other than one where the expectation relied on is distinctly one of consultation, only goes so far as to say that there may arise conditions in which, if policy is to be changed, a specific person or class of persons affected must first be notified and given the right to be heard</w:t>
      </w:r>
      <w:r w:rsidR="005724FC">
        <w:rPr>
          <w:rFonts w:ascii="Times New Roman" w:hAnsi="Times New Roman" w:cs="Times New Roman"/>
          <w:sz w:val="26"/>
          <w:szCs w:val="26"/>
        </w:rPr>
        <w:t>”</w:t>
      </w:r>
      <w:r>
        <w:rPr>
          <w:rFonts w:ascii="Times New Roman" w:hAnsi="Times New Roman" w:cs="Times New Roman"/>
          <w:sz w:val="26"/>
          <w:szCs w:val="26"/>
        </w:rPr>
        <w:t>.</w:t>
      </w:r>
    </w:p>
    <w:p w14:paraId="19745364" w14:textId="77777777" w:rsidR="004128F8" w:rsidRPr="004128F8" w:rsidRDefault="004128F8" w:rsidP="004128F8">
      <w:pPr>
        <w:pStyle w:val="ListParagraph"/>
        <w:rPr>
          <w:rFonts w:ascii="Times New Roman" w:hAnsi="Times New Roman" w:cs="Times New Roman"/>
          <w:sz w:val="26"/>
          <w:szCs w:val="26"/>
        </w:rPr>
      </w:pPr>
    </w:p>
    <w:p w14:paraId="7272A8FE" w14:textId="32A1B883" w:rsidR="004F1C2A" w:rsidRPr="004F1C2A" w:rsidRDefault="00390772" w:rsidP="00C87744">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However, a</w:t>
      </w:r>
      <w:r w:rsidR="005724FC">
        <w:rPr>
          <w:rFonts w:ascii="Times New Roman" w:hAnsi="Times New Roman" w:cs="Times New Roman"/>
          <w:sz w:val="26"/>
          <w:szCs w:val="26"/>
        </w:rPr>
        <w:t xml:space="preserve"> broader approach to l</w:t>
      </w:r>
      <w:r w:rsidR="00D37E6C">
        <w:rPr>
          <w:rFonts w:ascii="Times New Roman" w:hAnsi="Times New Roman" w:cs="Times New Roman"/>
          <w:sz w:val="26"/>
          <w:szCs w:val="26"/>
        </w:rPr>
        <w:t xml:space="preserve">egitimate expectation </w:t>
      </w:r>
      <w:r w:rsidR="005724FC">
        <w:rPr>
          <w:rFonts w:ascii="Times New Roman" w:hAnsi="Times New Roman" w:cs="Times New Roman"/>
          <w:sz w:val="26"/>
          <w:szCs w:val="26"/>
        </w:rPr>
        <w:t xml:space="preserve">was </w:t>
      </w:r>
      <w:r w:rsidR="00D37E6C">
        <w:rPr>
          <w:rFonts w:ascii="Times New Roman" w:hAnsi="Times New Roman" w:cs="Times New Roman"/>
          <w:sz w:val="26"/>
          <w:szCs w:val="26"/>
        </w:rPr>
        <w:t xml:space="preserve">articulated by the Court of Appeal in the 1999 </w:t>
      </w:r>
      <w:r w:rsidR="00D37E6C" w:rsidRPr="000714DA">
        <w:rPr>
          <w:rFonts w:ascii="Times New Roman" w:hAnsi="Times New Roman" w:cs="Times New Roman"/>
          <w:sz w:val="26"/>
          <w:szCs w:val="26"/>
          <w:u w:val="single"/>
        </w:rPr>
        <w:t>Coughlan</w:t>
      </w:r>
      <w:r w:rsidR="00D37E6C">
        <w:rPr>
          <w:rFonts w:ascii="Times New Roman" w:hAnsi="Times New Roman" w:cs="Times New Roman"/>
          <w:i/>
          <w:iCs/>
          <w:sz w:val="26"/>
          <w:szCs w:val="26"/>
        </w:rPr>
        <w:t xml:space="preserve"> </w:t>
      </w:r>
      <w:r w:rsidR="00D37E6C">
        <w:rPr>
          <w:rFonts w:ascii="Times New Roman" w:hAnsi="Times New Roman" w:cs="Times New Roman"/>
          <w:sz w:val="26"/>
          <w:szCs w:val="26"/>
        </w:rPr>
        <w:t>case</w:t>
      </w:r>
      <w:r w:rsidR="00D37E6C">
        <w:rPr>
          <w:rStyle w:val="FootnoteReference"/>
          <w:rFonts w:ascii="Times New Roman" w:hAnsi="Times New Roman" w:cs="Times New Roman"/>
          <w:sz w:val="26"/>
          <w:szCs w:val="26"/>
        </w:rPr>
        <w:footnoteReference w:id="14"/>
      </w:r>
      <w:r w:rsidR="00D37E6C">
        <w:rPr>
          <w:rFonts w:ascii="Times New Roman" w:hAnsi="Times New Roman" w:cs="Times New Roman"/>
          <w:sz w:val="26"/>
          <w:szCs w:val="26"/>
        </w:rPr>
        <w:t xml:space="preserve">. John had </w:t>
      </w:r>
      <w:r w:rsidR="000714DA">
        <w:rPr>
          <w:rFonts w:ascii="Times New Roman" w:hAnsi="Times New Roman" w:cs="Times New Roman"/>
          <w:sz w:val="26"/>
          <w:szCs w:val="26"/>
        </w:rPr>
        <w:t xml:space="preserve">a peripheral involvement in that case </w:t>
      </w:r>
      <w:r w:rsidR="007A7083">
        <w:rPr>
          <w:rFonts w:ascii="Times New Roman" w:hAnsi="Times New Roman" w:cs="Times New Roman"/>
          <w:sz w:val="26"/>
          <w:szCs w:val="26"/>
        </w:rPr>
        <w:t xml:space="preserve">having </w:t>
      </w:r>
      <w:r w:rsidR="000714DA">
        <w:rPr>
          <w:rFonts w:ascii="Times New Roman" w:hAnsi="Times New Roman" w:cs="Times New Roman"/>
          <w:sz w:val="26"/>
          <w:szCs w:val="26"/>
        </w:rPr>
        <w:t>giv</w:t>
      </w:r>
      <w:r w:rsidR="007A7083">
        <w:rPr>
          <w:rFonts w:ascii="Times New Roman" w:hAnsi="Times New Roman" w:cs="Times New Roman"/>
          <w:sz w:val="26"/>
          <w:szCs w:val="26"/>
        </w:rPr>
        <w:t>en</w:t>
      </w:r>
      <w:r w:rsidR="000714DA">
        <w:rPr>
          <w:rFonts w:ascii="Times New Roman" w:hAnsi="Times New Roman" w:cs="Times New Roman"/>
          <w:sz w:val="26"/>
          <w:szCs w:val="26"/>
        </w:rPr>
        <w:t xml:space="preserve"> permission to bring earlier proceedings</w:t>
      </w:r>
      <w:r w:rsidR="000714DA">
        <w:rPr>
          <w:rStyle w:val="FootnoteReference"/>
          <w:rFonts w:ascii="Times New Roman" w:hAnsi="Times New Roman" w:cs="Times New Roman"/>
          <w:sz w:val="26"/>
          <w:szCs w:val="26"/>
        </w:rPr>
        <w:footnoteReference w:id="15"/>
      </w:r>
      <w:r w:rsidR="000714DA">
        <w:rPr>
          <w:rFonts w:ascii="Times New Roman" w:hAnsi="Times New Roman" w:cs="Times New Roman"/>
          <w:sz w:val="26"/>
          <w:szCs w:val="26"/>
        </w:rPr>
        <w:t>.</w:t>
      </w:r>
      <w:r w:rsidR="00D37E6C">
        <w:rPr>
          <w:rFonts w:ascii="Times New Roman" w:hAnsi="Times New Roman" w:cs="Times New Roman"/>
          <w:i/>
          <w:iCs/>
          <w:sz w:val="26"/>
          <w:szCs w:val="26"/>
        </w:rPr>
        <w:t xml:space="preserve"> </w:t>
      </w:r>
    </w:p>
    <w:p w14:paraId="33CA1568" w14:textId="77777777" w:rsidR="004F1C2A" w:rsidRPr="004F1C2A" w:rsidRDefault="004F1C2A" w:rsidP="004F1C2A">
      <w:pPr>
        <w:pStyle w:val="ListParagraph"/>
        <w:rPr>
          <w:rFonts w:ascii="Times New Roman" w:hAnsi="Times New Roman" w:cs="Times New Roman"/>
          <w:sz w:val="26"/>
          <w:szCs w:val="26"/>
        </w:rPr>
      </w:pPr>
    </w:p>
    <w:p w14:paraId="5B35BB68" w14:textId="48D1AAC9" w:rsidR="00974BD3" w:rsidRDefault="00BB655E" w:rsidP="00C87744">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Much more importantly, in a</w:t>
      </w:r>
      <w:r w:rsidR="00894F34">
        <w:rPr>
          <w:rFonts w:ascii="Times New Roman" w:hAnsi="Times New Roman" w:cs="Times New Roman"/>
          <w:sz w:val="26"/>
          <w:szCs w:val="26"/>
        </w:rPr>
        <w:t xml:space="preserve"> </w:t>
      </w:r>
      <w:r>
        <w:rPr>
          <w:rFonts w:ascii="Times New Roman" w:hAnsi="Times New Roman" w:cs="Times New Roman"/>
          <w:sz w:val="26"/>
          <w:szCs w:val="26"/>
        </w:rPr>
        <w:t xml:space="preserve">pithy concurring judgment in the </w:t>
      </w:r>
      <w:r>
        <w:rPr>
          <w:rFonts w:ascii="Times New Roman" w:hAnsi="Times New Roman" w:cs="Times New Roman"/>
          <w:sz w:val="26"/>
          <w:szCs w:val="26"/>
          <w:u w:val="single"/>
        </w:rPr>
        <w:t xml:space="preserve">Begbie </w:t>
      </w:r>
      <w:r>
        <w:rPr>
          <w:rFonts w:ascii="Times New Roman" w:hAnsi="Times New Roman" w:cs="Times New Roman"/>
          <w:sz w:val="26"/>
          <w:szCs w:val="26"/>
        </w:rPr>
        <w:t>case</w:t>
      </w:r>
      <w:r>
        <w:rPr>
          <w:rStyle w:val="FootnoteReference"/>
          <w:rFonts w:ascii="Times New Roman" w:hAnsi="Times New Roman" w:cs="Times New Roman"/>
          <w:sz w:val="26"/>
          <w:szCs w:val="26"/>
        </w:rPr>
        <w:footnoteReference w:id="16"/>
      </w:r>
      <w:r>
        <w:rPr>
          <w:rFonts w:ascii="Times New Roman" w:hAnsi="Times New Roman" w:cs="Times New Roman"/>
          <w:sz w:val="26"/>
          <w:szCs w:val="26"/>
        </w:rPr>
        <w:t>, John</w:t>
      </w:r>
      <w:r w:rsidR="007A7083">
        <w:rPr>
          <w:rFonts w:ascii="Times New Roman" w:hAnsi="Times New Roman" w:cs="Times New Roman"/>
          <w:sz w:val="26"/>
          <w:szCs w:val="26"/>
        </w:rPr>
        <w:t xml:space="preserve"> considered</w:t>
      </w:r>
      <w:r>
        <w:rPr>
          <w:rFonts w:ascii="Times New Roman" w:hAnsi="Times New Roman" w:cs="Times New Roman"/>
          <w:sz w:val="26"/>
          <w:szCs w:val="26"/>
        </w:rPr>
        <w:t xml:space="preserve"> </w:t>
      </w:r>
      <w:r w:rsidR="007A7083">
        <w:rPr>
          <w:rFonts w:ascii="Times New Roman" w:hAnsi="Times New Roman" w:cs="Times New Roman"/>
          <w:sz w:val="26"/>
          <w:szCs w:val="26"/>
        </w:rPr>
        <w:t>the</w:t>
      </w:r>
      <w:r w:rsidRPr="00BB655E">
        <w:rPr>
          <w:rFonts w:ascii="Times New Roman" w:hAnsi="Times New Roman" w:cs="Times New Roman"/>
          <w:sz w:val="26"/>
          <w:szCs w:val="26"/>
        </w:rPr>
        <w:t xml:space="preserve"> doctrinal basis for substantive legitimate expectation</w:t>
      </w:r>
      <w:r w:rsidR="007A7083">
        <w:rPr>
          <w:rFonts w:ascii="Times New Roman" w:hAnsi="Times New Roman" w:cs="Times New Roman"/>
          <w:sz w:val="26"/>
          <w:szCs w:val="26"/>
        </w:rPr>
        <w:t xml:space="preserve"> following </w:t>
      </w:r>
      <w:r w:rsidR="007A7083" w:rsidRPr="007A7083">
        <w:rPr>
          <w:rFonts w:ascii="Times New Roman" w:hAnsi="Times New Roman" w:cs="Times New Roman"/>
          <w:sz w:val="26"/>
          <w:szCs w:val="26"/>
          <w:u w:val="single"/>
        </w:rPr>
        <w:t>Coughlan</w:t>
      </w:r>
      <w:r w:rsidR="004F1C2A">
        <w:rPr>
          <w:rFonts w:ascii="Times New Roman" w:hAnsi="Times New Roman" w:cs="Times New Roman"/>
          <w:sz w:val="26"/>
          <w:szCs w:val="26"/>
        </w:rPr>
        <w:t>. It was an important first salvo of his proposed and ambitious re-formulation of the law of legitimate expectation and indeed of the law of JR more generally, both</w:t>
      </w:r>
      <w:r w:rsidR="00FE6CBA">
        <w:rPr>
          <w:rFonts w:ascii="Times New Roman" w:hAnsi="Times New Roman" w:cs="Times New Roman"/>
          <w:sz w:val="26"/>
          <w:szCs w:val="26"/>
        </w:rPr>
        <w:t xml:space="preserve"> in</w:t>
      </w:r>
      <w:r w:rsidR="004F1C2A">
        <w:rPr>
          <w:rFonts w:ascii="Times New Roman" w:hAnsi="Times New Roman" w:cs="Times New Roman"/>
          <w:sz w:val="26"/>
          <w:szCs w:val="26"/>
        </w:rPr>
        <w:t xml:space="preserve"> conceptual terms</w:t>
      </w:r>
      <w:r w:rsidR="00FE6CBA">
        <w:rPr>
          <w:rFonts w:ascii="Times New Roman" w:hAnsi="Times New Roman" w:cs="Times New Roman"/>
          <w:sz w:val="26"/>
          <w:szCs w:val="26"/>
        </w:rPr>
        <w:t xml:space="preserve"> and in terms of the judicial function.</w:t>
      </w:r>
      <w:r w:rsidR="004539FE">
        <w:rPr>
          <w:rFonts w:ascii="Times New Roman" w:hAnsi="Times New Roman" w:cs="Times New Roman"/>
          <w:sz w:val="26"/>
          <w:szCs w:val="26"/>
        </w:rPr>
        <w:t xml:space="preserve"> He</w:t>
      </w:r>
      <w:r w:rsidRPr="00BB655E">
        <w:rPr>
          <w:rFonts w:ascii="Times New Roman" w:hAnsi="Times New Roman" w:cs="Times New Roman"/>
          <w:sz w:val="26"/>
          <w:szCs w:val="26"/>
        </w:rPr>
        <w:t xml:space="preserve"> observ</w:t>
      </w:r>
      <w:r w:rsidR="004539FE">
        <w:rPr>
          <w:rFonts w:ascii="Times New Roman" w:hAnsi="Times New Roman" w:cs="Times New Roman"/>
          <w:sz w:val="26"/>
          <w:szCs w:val="26"/>
        </w:rPr>
        <w:t xml:space="preserve">ed </w:t>
      </w:r>
      <w:r w:rsidRPr="00BB655E">
        <w:rPr>
          <w:rFonts w:ascii="Times New Roman" w:hAnsi="Times New Roman" w:cs="Times New Roman"/>
          <w:sz w:val="26"/>
          <w:szCs w:val="26"/>
        </w:rPr>
        <w:t>that “</w:t>
      </w:r>
      <w:r w:rsidRPr="00BB655E">
        <w:rPr>
          <w:rFonts w:ascii="Times New Roman" w:hAnsi="Times New Roman" w:cs="Times New Roman"/>
          <w:i/>
          <w:iCs/>
          <w:sz w:val="26"/>
          <w:szCs w:val="26"/>
        </w:rPr>
        <w:t>abuse of power has become, or is fast becoming a root concept which governs and conditions our general principle of public law”</w:t>
      </w:r>
      <w:r w:rsidRPr="00BB655E">
        <w:rPr>
          <w:rFonts w:ascii="Times New Roman" w:hAnsi="Times New Roman" w:cs="Times New Roman"/>
          <w:sz w:val="26"/>
          <w:szCs w:val="26"/>
        </w:rPr>
        <w:t xml:space="preserve">, </w:t>
      </w:r>
      <w:r w:rsidR="00FE6CBA">
        <w:rPr>
          <w:rFonts w:ascii="Times New Roman" w:hAnsi="Times New Roman" w:cs="Times New Roman"/>
          <w:sz w:val="26"/>
          <w:szCs w:val="26"/>
        </w:rPr>
        <w:t xml:space="preserve">and </w:t>
      </w:r>
      <w:r w:rsidRPr="00BB655E">
        <w:rPr>
          <w:rFonts w:ascii="Times New Roman" w:hAnsi="Times New Roman" w:cs="Times New Roman"/>
          <w:sz w:val="26"/>
          <w:szCs w:val="26"/>
        </w:rPr>
        <w:t>which</w:t>
      </w:r>
      <w:r w:rsidR="00FE6CBA">
        <w:rPr>
          <w:rFonts w:ascii="Times New Roman" w:hAnsi="Times New Roman" w:cs="Times New Roman"/>
          <w:sz w:val="26"/>
          <w:szCs w:val="26"/>
        </w:rPr>
        <w:t>, he said, was</w:t>
      </w:r>
      <w:r w:rsidRPr="00BB655E">
        <w:rPr>
          <w:rFonts w:ascii="Times New Roman" w:hAnsi="Times New Roman" w:cs="Times New Roman"/>
          <w:sz w:val="26"/>
          <w:szCs w:val="26"/>
        </w:rPr>
        <w:t xml:space="preserve"> the rationale for </w:t>
      </w:r>
      <w:r w:rsidRPr="00A24CF3">
        <w:rPr>
          <w:rFonts w:ascii="Times New Roman" w:hAnsi="Times New Roman" w:cs="Times New Roman"/>
          <w:sz w:val="26"/>
          <w:szCs w:val="26"/>
          <w:u w:val="single"/>
        </w:rPr>
        <w:t>Wednesbury</w:t>
      </w:r>
      <w:r w:rsidR="00A24CF3" w:rsidRPr="007C2E0D">
        <w:rPr>
          <w:rStyle w:val="FootnoteReference"/>
          <w:rFonts w:ascii="Times New Roman" w:hAnsi="Times New Roman" w:cs="Times New Roman"/>
          <w:sz w:val="26"/>
          <w:szCs w:val="26"/>
        </w:rPr>
        <w:footnoteReference w:id="17"/>
      </w:r>
      <w:r w:rsidRPr="00BB655E">
        <w:rPr>
          <w:rFonts w:ascii="Times New Roman" w:hAnsi="Times New Roman" w:cs="Times New Roman"/>
          <w:sz w:val="26"/>
          <w:szCs w:val="26"/>
        </w:rPr>
        <w:t xml:space="preserve"> irrationality, the requirement of proportionality, and the Court’s insistence on procedural fairness</w:t>
      </w:r>
      <w:r>
        <w:rPr>
          <w:rStyle w:val="FootnoteReference"/>
          <w:rFonts w:ascii="Times New Roman" w:hAnsi="Times New Roman" w:cs="Times New Roman"/>
          <w:sz w:val="26"/>
          <w:szCs w:val="26"/>
        </w:rPr>
        <w:footnoteReference w:id="18"/>
      </w:r>
      <w:r w:rsidR="00974BD3">
        <w:rPr>
          <w:rFonts w:ascii="Times New Roman" w:hAnsi="Times New Roman" w:cs="Times New Roman"/>
          <w:sz w:val="26"/>
          <w:szCs w:val="26"/>
        </w:rPr>
        <w:t xml:space="preserve">. </w:t>
      </w:r>
    </w:p>
    <w:p w14:paraId="37636C2F" w14:textId="77777777" w:rsidR="00974BD3" w:rsidRPr="00974BD3" w:rsidRDefault="00974BD3" w:rsidP="00974BD3">
      <w:pPr>
        <w:pStyle w:val="ListParagraph"/>
        <w:rPr>
          <w:rFonts w:ascii="Times New Roman" w:hAnsi="Times New Roman" w:cs="Times New Roman"/>
          <w:sz w:val="26"/>
          <w:szCs w:val="26"/>
        </w:rPr>
      </w:pPr>
    </w:p>
    <w:p w14:paraId="558A058F" w14:textId="44B76EDA" w:rsidR="00974BD3" w:rsidRPr="00974BD3" w:rsidRDefault="00974BD3" w:rsidP="00974BD3">
      <w:pPr>
        <w:pStyle w:val="ListParagraph"/>
        <w:numPr>
          <w:ilvl w:val="0"/>
          <w:numId w:val="1"/>
        </w:numPr>
        <w:spacing w:line="360" w:lineRule="auto"/>
        <w:jc w:val="both"/>
        <w:rPr>
          <w:rFonts w:ascii="Times New Roman" w:hAnsi="Times New Roman" w:cs="Times New Roman"/>
          <w:sz w:val="26"/>
          <w:szCs w:val="26"/>
        </w:rPr>
      </w:pPr>
      <w:r w:rsidRPr="00974BD3">
        <w:rPr>
          <w:rFonts w:ascii="Times New Roman" w:hAnsi="Times New Roman" w:cs="Times New Roman"/>
          <w:sz w:val="26"/>
          <w:szCs w:val="26"/>
        </w:rPr>
        <w:t>In considering the standard of review</w:t>
      </w:r>
      <w:r w:rsidR="004539FE">
        <w:rPr>
          <w:rFonts w:ascii="Times New Roman" w:hAnsi="Times New Roman" w:cs="Times New Roman"/>
          <w:sz w:val="26"/>
          <w:szCs w:val="26"/>
        </w:rPr>
        <w:t xml:space="preserve"> which</w:t>
      </w:r>
      <w:r w:rsidRPr="00974BD3">
        <w:rPr>
          <w:rFonts w:ascii="Times New Roman" w:hAnsi="Times New Roman" w:cs="Times New Roman"/>
          <w:sz w:val="26"/>
          <w:szCs w:val="26"/>
        </w:rPr>
        <w:t xml:space="preserve"> the Court should apply when weighing the requirements of fairness against the public interest, </w:t>
      </w:r>
      <w:r w:rsidR="00A24CF3">
        <w:rPr>
          <w:rFonts w:ascii="Times New Roman" w:hAnsi="Times New Roman" w:cs="Times New Roman"/>
          <w:sz w:val="26"/>
          <w:szCs w:val="26"/>
        </w:rPr>
        <w:t>John</w:t>
      </w:r>
      <w:r w:rsidRPr="00974BD3">
        <w:rPr>
          <w:rFonts w:ascii="Times New Roman" w:hAnsi="Times New Roman" w:cs="Times New Roman"/>
          <w:sz w:val="26"/>
          <w:szCs w:val="26"/>
        </w:rPr>
        <w:t xml:space="preserve"> expressed doubt on the distinction set out in </w:t>
      </w:r>
      <w:r w:rsidRPr="00A24CF3">
        <w:rPr>
          <w:rFonts w:ascii="Times New Roman" w:hAnsi="Times New Roman" w:cs="Times New Roman"/>
          <w:sz w:val="26"/>
          <w:szCs w:val="26"/>
          <w:u w:val="single"/>
        </w:rPr>
        <w:t>Coughlan</w:t>
      </w:r>
      <w:r w:rsidRPr="00974BD3">
        <w:rPr>
          <w:rFonts w:ascii="Times New Roman" w:hAnsi="Times New Roman" w:cs="Times New Roman"/>
          <w:sz w:val="26"/>
          <w:szCs w:val="26"/>
        </w:rPr>
        <w:t xml:space="preserve">, in which </w:t>
      </w:r>
      <w:r w:rsidR="005E29B2">
        <w:rPr>
          <w:rFonts w:ascii="Times New Roman" w:hAnsi="Times New Roman" w:cs="Times New Roman"/>
          <w:sz w:val="26"/>
          <w:szCs w:val="26"/>
        </w:rPr>
        <w:t>procedural</w:t>
      </w:r>
      <w:r w:rsidRPr="00974BD3">
        <w:rPr>
          <w:rFonts w:ascii="Times New Roman" w:hAnsi="Times New Roman" w:cs="Times New Roman"/>
          <w:sz w:val="26"/>
          <w:szCs w:val="26"/>
        </w:rPr>
        <w:t xml:space="preserve"> expectations were </w:t>
      </w:r>
      <w:r w:rsidR="007A7083">
        <w:rPr>
          <w:rFonts w:ascii="Times New Roman" w:hAnsi="Times New Roman" w:cs="Times New Roman"/>
          <w:sz w:val="26"/>
          <w:szCs w:val="26"/>
        </w:rPr>
        <w:t>said to</w:t>
      </w:r>
      <w:r w:rsidR="005E29B2">
        <w:rPr>
          <w:rFonts w:ascii="Times New Roman" w:hAnsi="Times New Roman" w:cs="Times New Roman"/>
          <w:sz w:val="26"/>
          <w:szCs w:val="26"/>
        </w:rPr>
        <w:t xml:space="preserve"> be</w:t>
      </w:r>
      <w:r w:rsidRPr="00974BD3">
        <w:rPr>
          <w:rFonts w:ascii="Times New Roman" w:hAnsi="Times New Roman" w:cs="Times New Roman"/>
          <w:sz w:val="26"/>
          <w:szCs w:val="26"/>
        </w:rPr>
        <w:t xml:space="preserve"> review</w:t>
      </w:r>
      <w:r w:rsidR="005E29B2">
        <w:rPr>
          <w:rFonts w:ascii="Times New Roman" w:hAnsi="Times New Roman" w:cs="Times New Roman"/>
          <w:sz w:val="26"/>
          <w:szCs w:val="26"/>
        </w:rPr>
        <w:t>able</w:t>
      </w:r>
      <w:r w:rsidRPr="00974BD3">
        <w:rPr>
          <w:rFonts w:ascii="Times New Roman" w:hAnsi="Times New Roman" w:cs="Times New Roman"/>
          <w:sz w:val="26"/>
          <w:szCs w:val="26"/>
        </w:rPr>
        <w:t xml:space="preserve"> according to the </w:t>
      </w:r>
      <w:r w:rsidRPr="00A24CF3">
        <w:rPr>
          <w:rFonts w:ascii="Times New Roman" w:hAnsi="Times New Roman" w:cs="Times New Roman"/>
          <w:sz w:val="26"/>
          <w:szCs w:val="26"/>
          <w:u w:val="single"/>
        </w:rPr>
        <w:t>Wednesbury</w:t>
      </w:r>
      <w:r w:rsidRPr="00974BD3">
        <w:rPr>
          <w:rFonts w:ascii="Times New Roman" w:hAnsi="Times New Roman" w:cs="Times New Roman"/>
          <w:sz w:val="26"/>
          <w:szCs w:val="26"/>
        </w:rPr>
        <w:t xml:space="preserve"> principle, </w:t>
      </w:r>
      <w:r w:rsidR="005E29B2">
        <w:rPr>
          <w:rFonts w:ascii="Times New Roman" w:hAnsi="Times New Roman" w:cs="Times New Roman"/>
          <w:sz w:val="26"/>
          <w:szCs w:val="26"/>
        </w:rPr>
        <w:t>whereas</w:t>
      </w:r>
      <w:r w:rsidRPr="00974BD3">
        <w:rPr>
          <w:rFonts w:ascii="Times New Roman" w:hAnsi="Times New Roman" w:cs="Times New Roman"/>
          <w:sz w:val="26"/>
          <w:szCs w:val="26"/>
        </w:rPr>
        <w:t xml:space="preserve"> substantive expectation</w:t>
      </w:r>
      <w:r w:rsidR="005E29B2">
        <w:rPr>
          <w:rFonts w:ascii="Times New Roman" w:hAnsi="Times New Roman" w:cs="Times New Roman"/>
          <w:sz w:val="26"/>
          <w:szCs w:val="26"/>
        </w:rPr>
        <w:t xml:space="preserve">s were said to be assessed </w:t>
      </w:r>
      <w:r w:rsidRPr="00974BD3">
        <w:rPr>
          <w:rFonts w:ascii="Times New Roman" w:hAnsi="Times New Roman" w:cs="Times New Roman"/>
          <w:sz w:val="26"/>
          <w:szCs w:val="26"/>
        </w:rPr>
        <w:t>by recourse to abuse of process and fairness</w:t>
      </w:r>
      <w:r w:rsidR="004539FE">
        <w:rPr>
          <w:rFonts w:ascii="Times New Roman" w:hAnsi="Times New Roman" w:cs="Times New Roman"/>
          <w:sz w:val="26"/>
          <w:szCs w:val="26"/>
        </w:rPr>
        <w:t>. He</w:t>
      </w:r>
      <w:r w:rsidRPr="00974BD3">
        <w:rPr>
          <w:rFonts w:ascii="Times New Roman" w:hAnsi="Times New Roman" w:cs="Times New Roman"/>
          <w:sz w:val="26"/>
          <w:szCs w:val="26"/>
        </w:rPr>
        <w:t xml:space="preserve"> suggest</w:t>
      </w:r>
      <w:r w:rsidR="004539FE">
        <w:rPr>
          <w:rFonts w:ascii="Times New Roman" w:hAnsi="Times New Roman" w:cs="Times New Roman"/>
          <w:sz w:val="26"/>
          <w:szCs w:val="26"/>
        </w:rPr>
        <w:t>ed</w:t>
      </w:r>
      <w:r w:rsidRPr="00974BD3">
        <w:rPr>
          <w:rFonts w:ascii="Times New Roman" w:hAnsi="Times New Roman" w:cs="Times New Roman"/>
          <w:sz w:val="26"/>
          <w:szCs w:val="26"/>
        </w:rPr>
        <w:t xml:space="preserve"> that</w:t>
      </w:r>
      <w:r w:rsidR="004539FE">
        <w:rPr>
          <w:rFonts w:ascii="Times New Roman" w:hAnsi="Times New Roman" w:cs="Times New Roman"/>
          <w:sz w:val="26"/>
          <w:szCs w:val="26"/>
        </w:rPr>
        <w:t>,</w:t>
      </w:r>
      <w:r w:rsidRPr="00974BD3">
        <w:rPr>
          <w:rFonts w:ascii="Times New Roman" w:hAnsi="Times New Roman" w:cs="Times New Roman"/>
          <w:sz w:val="26"/>
          <w:szCs w:val="26"/>
        </w:rPr>
        <w:t xml:space="preserve"> rather than viewing </w:t>
      </w:r>
      <w:r w:rsidRPr="00A24CF3">
        <w:rPr>
          <w:rFonts w:ascii="Times New Roman" w:hAnsi="Times New Roman" w:cs="Times New Roman"/>
          <w:sz w:val="26"/>
          <w:szCs w:val="26"/>
          <w:u w:val="single"/>
        </w:rPr>
        <w:t>Wednesbury</w:t>
      </w:r>
      <w:r w:rsidRPr="00974BD3">
        <w:rPr>
          <w:rFonts w:ascii="Times New Roman" w:hAnsi="Times New Roman" w:cs="Times New Roman"/>
          <w:sz w:val="26"/>
          <w:szCs w:val="26"/>
        </w:rPr>
        <w:t xml:space="preserve"> and </w:t>
      </w:r>
      <w:r w:rsidRPr="00A24CF3">
        <w:rPr>
          <w:rFonts w:ascii="Times New Roman" w:hAnsi="Times New Roman" w:cs="Times New Roman"/>
          <w:sz w:val="26"/>
          <w:szCs w:val="26"/>
          <w:u w:val="single"/>
        </w:rPr>
        <w:t>Coughlan</w:t>
      </w:r>
      <w:r w:rsidRPr="00974BD3">
        <w:rPr>
          <w:rFonts w:ascii="Times New Roman" w:hAnsi="Times New Roman" w:cs="Times New Roman"/>
          <w:sz w:val="26"/>
          <w:szCs w:val="26"/>
        </w:rPr>
        <w:t xml:space="preserve"> standards as a dichotomy, the court should see them and as</w:t>
      </w:r>
      <w:r w:rsidR="004539FE">
        <w:rPr>
          <w:rFonts w:ascii="Times New Roman" w:hAnsi="Times New Roman" w:cs="Times New Roman"/>
          <w:sz w:val="26"/>
          <w:szCs w:val="26"/>
        </w:rPr>
        <w:t xml:space="preserve"> being on</w:t>
      </w:r>
      <w:r w:rsidRPr="00974BD3">
        <w:rPr>
          <w:rFonts w:ascii="Times New Roman" w:hAnsi="Times New Roman" w:cs="Times New Roman"/>
          <w:sz w:val="26"/>
          <w:szCs w:val="26"/>
        </w:rPr>
        <w:t xml:space="preserve"> a sliding scale of review. </w:t>
      </w:r>
      <w:r w:rsidR="005A45BC">
        <w:rPr>
          <w:rFonts w:ascii="Times New Roman" w:hAnsi="Times New Roman" w:cs="Times New Roman"/>
          <w:sz w:val="26"/>
          <w:szCs w:val="26"/>
        </w:rPr>
        <w:t>John said this</w:t>
      </w:r>
      <w:r w:rsidRPr="00974BD3">
        <w:rPr>
          <w:rFonts w:ascii="Times New Roman" w:hAnsi="Times New Roman" w:cs="Times New Roman"/>
          <w:sz w:val="26"/>
          <w:szCs w:val="26"/>
        </w:rPr>
        <w:t>:</w:t>
      </w:r>
    </w:p>
    <w:p w14:paraId="3E0A5A25" w14:textId="0A0D6F3A" w:rsidR="00974BD3" w:rsidRPr="00974BD3" w:rsidRDefault="00974BD3" w:rsidP="00974BD3">
      <w:pPr>
        <w:spacing w:line="276" w:lineRule="auto"/>
        <w:ind w:left="1440"/>
        <w:jc w:val="both"/>
        <w:rPr>
          <w:rFonts w:ascii="Times New Roman" w:hAnsi="Times New Roman" w:cs="Times New Roman"/>
          <w:sz w:val="26"/>
          <w:szCs w:val="26"/>
        </w:rPr>
      </w:pPr>
      <w:r w:rsidRPr="00974BD3">
        <w:rPr>
          <w:rFonts w:ascii="Times New Roman" w:hAnsi="Times New Roman" w:cs="Times New Roman"/>
          <w:sz w:val="26"/>
          <w:szCs w:val="26"/>
        </w:rPr>
        <w:t>“</w:t>
      </w:r>
      <w:r w:rsidRPr="00A24CF3">
        <w:rPr>
          <w:rFonts w:ascii="Times New Roman" w:hAnsi="Times New Roman" w:cs="Times New Roman"/>
          <w:i/>
          <w:iCs/>
          <w:sz w:val="26"/>
          <w:szCs w:val="26"/>
        </w:rPr>
        <w:t>Fairness and reasonableness (and their contraries) are objective concepts; otherwise there would be no public law, or if there were it would be palm tree justice. But each is a spectrum, not a single point, and they shade into one another. It is now</w:t>
      </w:r>
      <w:r w:rsidRPr="00A24CF3">
        <w:rPr>
          <w:i/>
          <w:iCs/>
        </w:rPr>
        <w:t xml:space="preserve"> </w:t>
      </w:r>
      <w:r w:rsidRPr="00A24CF3">
        <w:rPr>
          <w:rFonts w:ascii="Times New Roman" w:hAnsi="Times New Roman" w:cs="Times New Roman"/>
          <w:i/>
          <w:iCs/>
          <w:sz w:val="26"/>
          <w:szCs w:val="26"/>
        </w:rPr>
        <w:t xml:space="preserve">established that the </w:t>
      </w:r>
      <w:r w:rsidRPr="005A45BC">
        <w:rPr>
          <w:rFonts w:ascii="Times New Roman" w:hAnsi="Times New Roman" w:cs="Times New Roman"/>
          <w:i/>
          <w:iCs/>
          <w:sz w:val="26"/>
          <w:szCs w:val="26"/>
          <w:u w:val="single"/>
        </w:rPr>
        <w:t>Wednesbury</w:t>
      </w:r>
      <w:r w:rsidRPr="00A24CF3">
        <w:rPr>
          <w:rFonts w:ascii="Times New Roman" w:hAnsi="Times New Roman" w:cs="Times New Roman"/>
          <w:i/>
          <w:iCs/>
          <w:sz w:val="26"/>
          <w:szCs w:val="26"/>
        </w:rPr>
        <w:t xml:space="preserve"> principle itself constitutes a sliding scale of review, more or less intrusive according to the nature and gravity of what is at stake…</w:t>
      </w:r>
      <w:r w:rsidRPr="00A24CF3">
        <w:rPr>
          <w:rFonts w:ascii="Times New Roman" w:hAnsi="Times New Roman" w:cs="Times New Roman"/>
          <w:sz w:val="26"/>
          <w:szCs w:val="26"/>
        </w:rPr>
        <w:t>”</w:t>
      </w:r>
      <w:r w:rsidR="00A41693">
        <w:rPr>
          <w:rFonts w:ascii="Times New Roman" w:hAnsi="Times New Roman" w:cs="Times New Roman"/>
          <w:sz w:val="26"/>
          <w:szCs w:val="26"/>
        </w:rPr>
        <w:t>.</w:t>
      </w:r>
      <w:r w:rsidR="005A45BC">
        <w:rPr>
          <w:rStyle w:val="FootnoteReference"/>
          <w:rFonts w:ascii="Times New Roman" w:hAnsi="Times New Roman" w:cs="Times New Roman"/>
          <w:sz w:val="26"/>
          <w:szCs w:val="26"/>
        </w:rPr>
        <w:footnoteReference w:id="19"/>
      </w:r>
    </w:p>
    <w:p w14:paraId="2E310A65" w14:textId="46D269D2" w:rsidR="00974BD3" w:rsidRPr="00974BD3" w:rsidRDefault="00894F34" w:rsidP="00974BD3">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He then explained the effect of his analysis</w:t>
      </w:r>
      <w:r w:rsidR="00FE6CBA">
        <w:rPr>
          <w:rFonts w:ascii="Times New Roman" w:hAnsi="Times New Roman" w:cs="Times New Roman"/>
          <w:sz w:val="26"/>
          <w:szCs w:val="26"/>
        </w:rPr>
        <w:t xml:space="preserve"> in these terms</w:t>
      </w:r>
      <w:r w:rsidR="00974BD3">
        <w:rPr>
          <w:rFonts w:ascii="Times New Roman" w:hAnsi="Times New Roman" w:cs="Times New Roman"/>
          <w:sz w:val="26"/>
          <w:szCs w:val="26"/>
        </w:rPr>
        <w:t>:</w:t>
      </w:r>
    </w:p>
    <w:p w14:paraId="2A688D13" w14:textId="7F01FE6D" w:rsidR="00974BD3" w:rsidRPr="00A24CF3" w:rsidRDefault="00974BD3" w:rsidP="00974BD3">
      <w:pPr>
        <w:spacing w:line="276" w:lineRule="auto"/>
        <w:ind w:left="1440"/>
        <w:jc w:val="both"/>
        <w:rPr>
          <w:rFonts w:ascii="Times New Roman" w:hAnsi="Times New Roman" w:cs="Times New Roman"/>
          <w:i/>
          <w:iCs/>
          <w:sz w:val="26"/>
          <w:szCs w:val="26"/>
        </w:rPr>
      </w:pPr>
      <w:r w:rsidRPr="00974BD3">
        <w:rPr>
          <w:rFonts w:ascii="Times New Roman" w:hAnsi="Times New Roman" w:cs="Times New Roman"/>
          <w:sz w:val="26"/>
          <w:szCs w:val="26"/>
        </w:rPr>
        <w:t>“…</w:t>
      </w:r>
      <w:r w:rsidRPr="00A24CF3">
        <w:rPr>
          <w:rFonts w:ascii="Times New Roman" w:hAnsi="Times New Roman" w:cs="Times New Roman"/>
          <w:i/>
          <w:iCs/>
          <w:sz w:val="26"/>
          <w:szCs w:val="26"/>
        </w:rPr>
        <w:t xml:space="preserve">The facts of the case, viewed always in their statutory context, will steer the court to a more or less intrusive quality of review. In some cases a change of tack by a public authority, though unfair from the applicant’s stance, may involve questions of general policy affecting the public at large or a significant section of it (including interests not represented before the court); here the judges may well be in no position to adjudicate save at most on a bare </w:t>
      </w:r>
      <w:r w:rsidRPr="005A45BC">
        <w:rPr>
          <w:rFonts w:ascii="Times New Roman" w:hAnsi="Times New Roman" w:cs="Times New Roman"/>
          <w:i/>
          <w:iCs/>
          <w:sz w:val="26"/>
          <w:szCs w:val="26"/>
          <w:u w:val="single"/>
        </w:rPr>
        <w:t>Wednesbury</w:t>
      </w:r>
      <w:r w:rsidRPr="00A24CF3">
        <w:rPr>
          <w:rFonts w:ascii="Times New Roman" w:hAnsi="Times New Roman" w:cs="Times New Roman"/>
          <w:i/>
          <w:iCs/>
          <w:sz w:val="26"/>
          <w:szCs w:val="26"/>
        </w:rPr>
        <w:t xml:space="preserve"> basis</w:t>
      </w:r>
      <w:r w:rsidR="0050045F" w:rsidRPr="00A24CF3">
        <w:rPr>
          <w:rFonts w:ascii="Times New Roman" w:hAnsi="Times New Roman" w:cs="Times New Roman"/>
          <w:i/>
          <w:iCs/>
          <w:sz w:val="26"/>
          <w:szCs w:val="26"/>
        </w:rPr>
        <w:t xml:space="preserve"> </w:t>
      </w:r>
      <w:r w:rsidRPr="00A24CF3">
        <w:rPr>
          <w:rFonts w:ascii="Times New Roman" w:hAnsi="Times New Roman" w:cs="Times New Roman"/>
          <w:i/>
          <w:iCs/>
          <w:sz w:val="26"/>
          <w:szCs w:val="26"/>
        </w:rPr>
        <w:t>…</w:t>
      </w:r>
    </w:p>
    <w:p w14:paraId="07F8D737" w14:textId="5900B365" w:rsidR="00974BD3" w:rsidRPr="00A24CF3" w:rsidRDefault="00974BD3" w:rsidP="00974BD3">
      <w:pPr>
        <w:spacing w:line="276" w:lineRule="auto"/>
        <w:ind w:left="1440"/>
        <w:jc w:val="both"/>
        <w:rPr>
          <w:rFonts w:ascii="Times New Roman" w:hAnsi="Times New Roman" w:cs="Times New Roman"/>
          <w:i/>
          <w:iCs/>
          <w:sz w:val="26"/>
          <w:szCs w:val="26"/>
        </w:rPr>
      </w:pPr>
      <w:r w:rsidRPr="00A24CF3">
        <w:rPr>
          <w:rFonts w:ascii="Times New Roman" w:hAnsi="Times New Roman" w:cs="Times New Roman"/>
          <w:i/>
          <w:iCs/>
          <w:sz w:val="26"/>
          <w:szCs w:val="26"/>
        </w:rPr>
        <w:t xml:space="preserve">In other cases the act or omission complained of may take place on a much smaller stage, with far fewer players… In such a case the court’s condemnation of what is done as an abuse of power, justifiable </w:t>
      </w:r>
      <w:r w:rsidR="00FE6CBA">
        <w:rPr>
          <w:rFonts w:ascii="Times New Roman" w:hAnsi="Times New Roman" w:cs="Times New Roman"/>
          <w:i/>
          <w:iCs/>
          <w:sz w:val="26"/>
          <w:szCs w:val="26"/>
        </w:rPr>
        <w:t>…</w:t>
      </w:r>
      <w:r w:rsidRPr="00A24CF3">
        <w:rPr>
          <w:rFonts w:ascii="Times New Roman" w:hAnsi="Times New Roman" w:cs="Times New Roman"/>
          <w:i/>
          <w:iCs/>
          <w:sz w:val="26"/>
          <w:szCs w:val="26"/>
        </w:rPr>
        <w:t xml:space="preserve"> only if an overriding public interest is shown of which the court is the judge, offers no offence to the claims of democratic power.</w:t>
      </w:r>
    </w:p>
    <w:p w14:paraId="263CEAEE" w14:textId="085CCA6B" w:rsidR="00A41693" w:rsidRPr="00974BD3" w:rsidRDefault="00974BD3" w:rsidP="00974BD3">
      <w:pPr>
        <w:spacing w:line="276" w:lineRule="auto"/>
        <w:ind w:left="1440"/>
        <w:jc w:val="both"/>
        <w:rPr>
          <w:rFonts w:ascii="Times New Roman" w:hAnsi="Times New Roman" w:cs="Times New Roman"/>
          <w:sz w:val="26"/>
          <w:szCs w:val="26"/>
        </w:rPr>
      </w:pPr>
      <w:r w:rsidRPr="00A24CF3">
        <w:rPr>
          <w:rFonts w:ascii="Times New Roman" w:hAnsi="Times New Roman" w:cs="Times New Roman"/>
          <w:i/>
          <w:iCs/>
          <w:sz w:val="26"/>
          <w:szCs w:val="26"/>
        </w:rPr>
        <w:t xml:space="preserve">There will of course be a multitude of cases falling within these extremes, or sharing the characteristics of one or other. The more the decision challenged lies in what may inelegantly be called the macro-political field, the less intrusive will be the court’s supervision. </w:t>
      </w:r>
      <w:r w:rsidR="0050045F">
        <w:rPr>
          <w:rFonts w:ascii="Times New Roman" w:hAnsi="Times New Roman" w:cs="Times New Roman"/>
          <w:i/>
          <w:iCs/>
          <w:sz w:val="26"/>
          <w:szCs w:val="26"/>
        </w:rPr>
        <w:t xml:space="preserve">…. </w:t>
      </w:r>
      <w:r w:rsidRPr="00974BD3">
        <w:rPr>
          <w:rFonts w:ascii="Times New Roman" w:hAnsi="Times New Roman" w:cs="Times New Roman"/>
          <w:sz w:val="26"/>
          <w:szCs w:val="26"/>
        </w:rPr>
        <w:t>.”</w:t>
      </w:r>
      <w:r w:rsidR="005A45BC">
        <w:rPr>
          <w:rStyle w:val="FootnoteReference"/>
          <w:rFonts w:ascii="Times New Roman" w:hAnsi="Times New Roman" w:cs="Times New Roman"/>
          <w:sz w:val="26"/>
          <w:szCs w:val="26"/>
        </w:rPr>
        <w:footnoteReference w:id="20"/>
      </w:r>
    </w:p>
    <w:p w14:paraId="0076454B" w14:textId="5A961FE1" w:rsidR="00A41693" w:rsidRDefault="00974BD3" w:rsidP="00A41693">
      <w:pPr>
        <w:pStyle w:val="ListParagraph"/>
        <w:numPr>
          <w:ilvl w:val="0"/>
          <w:numId w:val="1"/>
        </w:numPr>
        <w:spacing w:line="360" w:lineRule="auto"/>
        <w:jc w:val="both"/>
        <w:rPr>
          <w:rFonts w:ascii="Times New Roman" w:hAnsi="Times New Roman" w:cs="Times New Roman"/>
          <w:sz w:val="26"/>
          <w:szCs w:val="26"/>
        </w:rPr>
      </w:pPr>
      <w:r w:rsidRPr="007C2E0D">
        <w:rPr>
          <w:rFonts w:ascii="Times New Roman" w:hAnsi="Times New Roman" w:cs="Times New Roman"/>
          <w:sz w:val="26"/>
          <w:szCs w:val="26"/>
        </w:rPr>
        <w:t>The contribution of this judgment to public law lay</w:t>
      </w:r>
      <w:r w:rsidR="005E7674" w:rsidRPr="007C2E0D">
        <w:rPr>
          <w:rFonts w:ascii="Times New Roman" w:hAnsi="Times New Roman" w:cs="Times New Roman"/>
          <w:sz w:val="26"/>
          <w:szCs w:val="26"/>
        </w:rPr>
        <w:t xml:space="preserve"> both in the high quality of the intellectual analysis and in the practical</w:t>
      </w:r>
      <w:r w:rsidR="00FE6CBA">
        <w:rPr>
          <w:rFonts w:ascii="Times New Roman" w:hAnsi="Times New Roman" w:cs="Times New Roman"/>
          <w:sz w:val="26"/>
          <w:szCs w:val="26"/>
        </w:rPr>
        <w:t>, albeit not over-prescriptive,</w:t>
      </w:r>
      <w:r w:rsidR="005E7674" w:rsidRPr="007C2E0D">
        <w:rPr>
          <w:rFonts w:ascii="Times New Roman" w:hAnsi="Times New Roman" w:cs="Times New Roman"/>
          <w:sz w:val="26"/>
          <w:szCs w:val="26"/>
        </w:rPr>
        <w:t xml:space="preserve"> guidance given for judges trying future cases. The soundness of John’s </w:t>
      </w:r>
      <w:r w:rsidRPr="007C2E0D">
        <w:rPr>
          <w:rFonts w:ascii="Times New Roman" w:hAnsi="Times New Roman" w:cs="Times New Roman"/>
          <w:sz w:val="26"/>
          <w:szCs w:val="26"/>
        </w:rPr>
        <w:t>refinement of the doctrine of legitimate expectation</w:t>
      </w:r>
      <w:r w:rsidR="005E7674" w:rsidRPr="007C2E0D">
        <w:rPr>
          <w:rFonts w:ascii="Times New Roman" w:hAnsi="Times New Roman" w:cs="Times New Roman"/>
          <w:sz w:val="26"/>
          <w:szCs w:val="26"/>
        </w:rPr>
        <w:t xml:space="preserve"> over the analysis in </w:t>
      </w:r>
      <w:r w:rsidR="005E7674" w:rsidRPr="007C2E0D">
        <w:rPr>
          <w:rFonts w:ascii="Times New Roman" w:hAnsi="Times New Roman" w:cs="Times New Roman"/>
          <w:sz w:val="26"/>
          <w:szCs w:val="26"/>
          <w:u w:val="single"/>
        </w:rPr>
        <w:t>Coughlan</w:t>
      </w:r>
      <w:r w:rsidR="005E7674" w:rsidRPr="007C2E0D">
        <w:rPr>
          <w:rFonts w:ascii="Times New Roman" w:hAnsi="Times New Roman" w:cs="Times New Roman"/>
          <w:sz w:val="26"/>
          <w:szCs w:val="26"/>
        </w:rPr>
        <w:t xml:space="preserve"> is</w:t>
      </w:r>
      <w:r w:rsidR="00A41693" w:rsidRPr="007C2E0D">
        <w:rPr>
          <w:rFonts w:ascii="Times New Roman" w:hAnsi="Times New Roman" w:cs="Times New Roman"/>
          <w:sz w:val="26"/>
          <w:szCs w:val="26"/>
        </w:rPr>
        <w:t xml:space="preserve"> highlighted by the fact that </w:t>
      </w:r>
      <w:r w:rsidR="00390772">
        <w:rPr>
          <w:rFonts w:ascii="Times New Roman" w:hAnsi="Times New Roman" w:cs="Times New Roman"/>
          <w:sz w:val="26"/>
          <w:szCs w:val="26"/>
        </w:rPr>
        <w:t>Stephen</w:t>
      </w:r>
      <w:r w:rsidR="00A41693" w:rsidRPr="007C2E0D">
        <w:rPr>
          <w:rFonts w:ascii="Times New Roman" w:hAnsi="Times New Roman" w:cs="Times New Roman"/>
          <w:sz w:val="26"/>
          <w:szCs w:val="26"/>
        </w:rPr>
        <w:t xml:space="preserve"> Sedley, who had been party to the</w:t>
      </w:r>
      <w:r w:rsidR="005E7674" w:rsidRPr="007C2E0D">
        <w:rPr>
          <w:rFonts w:ascii="Times New Roman" w:hAnsi="Times New Roman" w:cs="Times New Roman"/>
          <w:sz w:val="26"/>
          <w:szCs w:val="26"/>
        </w:rPr>
        <w:t xml:space="preserve"> earlier</w:t>
      </w:r>
      <w:r w:rsidR="00A41693" w:rsidRPr="007C2E0D">
        <w:rPr>
          <w:rFonts w:ascii="Times New Roman" w:hAnsi="Times New Roman" w:cs="Times New Roman"/>
          <w:sz w:val="26"/>
          <w:szCs w:val="26"/>
        </w:rPr>
        <w:t xml:space="preserve"> decision, expressly agreed with it</w:t>
      </w:r>
      <w:r w:rsidR="00A41693">
        <w:rPr>
          <w:rStyle w:val="FootnoteReference"/>
          <w:rFonts w:ascii="Times New Roman" w:hAnsi="Times New Roman" w:cs="Times New Roman"/>
          <w:sz w:val="26"/>
          <w:szCs w:val="26"/>
        </w:rPr>
        <w:footnoteReference w:id="21"/>
      </w:r>
      <w:r w:rsidRPr="007C2E0D">
        <w:rPr>
          <w:rFonts w:ascii="Times New Roman" w:hAnsi="Times New Roman" w:cs="Times New Roman"/>
          <w:sz w:val="26"/>
          <w:szCs w:val="26"/>
        </w:rPr>
        <w:t xml:space="preserve">. </w:t>
      </w:r>
    </w:p>
    <w:p w14:paraId="6F35B90F" w14:textId="77777777" w:rsidR="007C2E0D" w:rsidRPr="007C2E0D" w:rsidRDefault="007C2E0D" w:rsidP="007C2E0D">
      <w:pPr>
        <w:pStyle w:val="ListParagraph"/>
        <w:spacing w:line="360" w:lineRule="auto"/>
        <w:jc w:val="both"/>
        <w:rPr>
          <w:rFonts w:ascii="Times New Roman" w:hAnsi="Times New Roman" w:cs="Times New Roman"/>
          <w:sz w:val="26"/>
          <w:szCs w:val="26"/>
        </w:rPr>
      </w:pPr>
    </w:p>
    <w:p w14:paraId="45CDE03B" w14:textId="19653318" w:rsidR="00E95CB9" w:rsidRPr="00C628B1" w:rsidRDefault="00A41693" w:rsidP="00457734">
      <w:pPr>
        <w:pStyle w:val="ListParagraph"/>
        <w:numPr>
          <w:ilvl w:val="0"/>
          <w:numId w:val="1"/>
        </w:numPr>
        <w:spacing w:line="360" w:lineRule="auto"/>
        <w:jc w:val="both"/>
        <w:rPr>
          <w:rFonts w:ascii="Times New Roman" w:hAnsi="Times New Roman" w:cs="Times New Roman"/>
          <w:sz w:val="26"/>
          <w:szCs w:val="26"/>
        </w:rPr>
      </w:pPr>
      <w:r w:rsidRPr="00C628B1">
        <w:rPr>
          <w:rFonts w:ascii="Times New Roman" w:hAnsi="Times New Roman" w:cs="Times New Roman"/>
          <w:sz w:val="26"/>
          <w:szCs w:val="26"/>
        </w:rPr>
        <w:t>John</w:t>
      </w:r>
      <w:r w:rsidR="00974BD3" w:rsidRPr="00C628B1">
        <w:rPr>
          <w:rFonts w:ascii="Times New Roman" w:hAnsi="Times New Roman" w:cs="Times New Roman"/>
          <w:sz w:val="26"/>
          <w:szCs w:val="26"/>
        </w:rPr>
        <w:t xml:space="preserve"> </w:t>
      </w:r>
      <w:r w:rsidR="00FE6CBA">
        <w:rPr>
          <w:rFonts w:ascii="Times New Roman" w:hAnsi="Times New Roman" w:cs="Times New Roman"/>
          <w:sz w:val="26"/>
          <w:szCs w:val="26"/>
        </w:rPr>
        <w:t>developed his thoughts</w:t>
      </w:r>
      <w:r w:rsidR="005E29B2">
        <w:rPr>
          <w:rFonts w:ascii="Times New Roman" w:hAnsi="Times New Roman" w:cs="Times New Roman"/>
          <w:sz w:val="26"/>
          <w:szCs w:val="26"/>
        </w:rPr>
        <w:t xml:space="preserve"> further</w:t>
      </w:r>
      <w:r w:rsidR="00FE6CBA">
        <w:rPr>
          <w:rFonts w:ascii="Times New Roman" w:hAnsi="Times New Roman" w:cs="Times New Roman"/>
          <w:sz w:val="26"/>
          <w:szCs w:val="26"/>
        </w:rPr>
        <w:t xml:space="preserve"> </w:t>
      </w:r>
      <w:r w:rsidR="005E7674" w:rsidRPr="00C628B1">
        <w:rPr>
          <w:rFonts w:ascii="Times New Roman" w:hAnsi="Times New Roman" w:cs="Times New Roman"/>
          <w:sz w:val="26"/>
          <w:szCs w:val="26"/>
        </w:rPr>
        <w:t xml:space="preserve">in </w:t>
      </w:r>
      <w:r w:rsidR="00D7592F" w:rsidRPr="00C628B1">
        <w:rPr>
          <w:rFonts w:ascii="Times New Roman" w:hAnsi="Times New Roman" w:cs="Times New Roman"/>
          <w:sz w:val="26"/>
          <w:szCs w:val="26"/>
          <w:u w:val="single"/>
        </w:rPr>
        <w:t>Abdi and Nadarajah</w:t>
      </w:r>
      <w:r w:rsidR="005E7674" w:rsidRPr="00C628B1">
        <w:rPr>
          <w:rFonts w:ascii="Times New Roman" w:hAnsi="Times New Roman" w:cs="Times New Roman"/>
          <w:sz w:val="26"/>
          <w:szCs w:val="26"/>
        </w:rPr>
        <w:t xml:space="preserve">, </w:t>
      </w:r>
      <w:r w:rsidR="00F8369B" w:rsidRPr="00C628B1">
        <w:rPr>
          <w:rFonts w:ascii="Times New Roman" w:hAnsi="Times New Roman" w:cs="Times New Roman"/>
          <w:sz w:val="26"/>
          <w:szCs w:val="26"/>
        </w:rPr>
        <w:t>where</w:t>
      </w:r>
      <w:r w:rsidR="005E29B2">
        <w:rPr>
          <w:rFonts w:ascii="Times New Roman" w:hAnsi="Times New Roman" w:cs="Times New Roman"/>
          <w:sz w:val="26"/>
          <w:szCs w:val="26"/>
        </w:rPr>
        <w:t xml:space="preserve"> he</w:t>
      </w:r>
      <w:r w:rsidR="00C628B1" w:rsidRPr="00C628B1">
        <w:rPr>
          <w:rFonts w:ascii="Times New Roman" w:hAnsi="Times New Roman" w:cs="Times New Roman"/>
          <w:sz w:val="26"/>
          <w:szCs w:val="26"/>
        </w:rPr>
        <w:t xml:space="preserve"> </w:t>
      </w:r>
      <w:r w:rsidR="00B319AB" w:rsidRPr="00C628B1">
        <w:rPr>
          <w:rFonts w:ascii="Times New Roman" w:hAnsi="Times New Roman" w:cs="Times New Roman"/>
          <w:sz w:val="26"/>
          <w:szCs w:val="26"/>
        </w:rPr>
        <w:t>said</w:t>
      </w:r>
      <w:r w:rsidR="00B319AB">
        <w:rPr>
          <w:rStyle w:val="FootnoteReference"/>
          <w:rFonts w:ascii="Times New Roman" w:hAnsi="Times New Roman" w:cs="Times New Roman"/>
          <w:sz w:val="26"/>
          <w:szCs w:val="26"/>
        </w:rPr>
        <w:footnoteReference w:id="22"/>
      </w:r>
      <w:r w:rsidR="00B319AB" w:rsidRPr="00C628B1">
        <w:rPr>
          <w:rFonts w:ascii="Times New Roman" w:hAnsi="Times New Roman" w:cs="Times New Roman"/>
          <w:sz w:val="26"/>
          <w:szCs w:val="26"/>
        </w:rPr>
        <w:t xml:space="preserve"> in a characteristic passage, that it was “</w:t>
      </w:r>
      <w:r w:rsidR="00DB52CC" w:rsidRPr="00C628B1">
        <w:rPr>
          <w:rFonts w:ascii="Times New Roman" w:hAnsi="Times New Roman" w:cs="Times New Roman"/>
          <w:i/>
          <w:iCs/>
          <w:sz w:val="26"/>
          <w:szCs w:val="26"/>
        </w:rPr>
        <w:t>superficial</w:t>
      </w:r>
      <w:r w:rsidR="00B319AB" w:rsidRPr="00C628B1">
        <w:rPr>
          <w:rFonts w:ascii="Times New Roman" w:hAnsi="Times New Roman" w:cs="Times New Roman"/>
          <w:sz w:val="26"/>
          <w:szCs w:val="26"/>
        </w:rPr>
        <w:t>” to suggest that “</w:t>
      </w:r>
      <w:r w:rsidR="00B319AB" w:rsidRPr="00C628B1">
        <w:rPr>
          <w:rFonts w:ascii="Times New Roman" w:hAnsi="Times New Roman" w:cs="Times New Roman"/>
          <w:i/>
          <w:iCs/>
          <w:sz w:val="26"/>
          <w:szCs w:val="26"/>
        </w:rPr>
        <w:t>for a legitimate expectation to bite there must be something more than failure to honour the promise in question, and then to list a range of possible additional factors which might make the difference</w:t>
      </w:r>
      <w:r w:rsidR="00B319AB" w:rsidRPr="00C628B1">
        <w:rPr>
          <w:rFonts w:ascii="Times New Roman" w:hAnsi="Times New Roman" w:cs="Times New Roman"/>
          <w:sz w:val="26"/>
          <w:szCs w:val="26"/>
        </w:rPr>
        <w:t>”, explaining that it was “</w:t>
      </w:r>
      <w:r w:rsidR="00B319AB" w:rsidRPr="00C628B1">
        <w:rPr>
          <w:rFonts w:ascii="Times New Roman" w:hAnsi="Times New Roman" w:cs="Times New Roman"/>
          <w:i/>
          <w:iCs/>
          <w:sz w:val="26"/>
          <w:szCs w:val="26"/>
        </w:rPr>
        <w:t>superficial because in truth it reveals no principle</w:t>
      </w:r>
      <w:r w:rsidR="00B319AB" w:rsidRPr="00C628B1">
        <w:rPr>
          <w:rFonts w:ascii="Times New Roman" w:hAnsi="Times New Roman" w:cs="Times New Roman"/>
          <w:sz w:val="26"/>
          <w:szCs w:val="26"/>
        </w:rPr>
        <w:t>”.</w:t>
      </w:r>
      <w:r w:rsidR="00E95CB9" w:rsidRPr="00C628B1">
        <w:rPr>
          <w:rFonts w:ascii="Times New Roman" w:hAnsi="Times New Roman" w:cs="Times New Roman"/>
          <w:sz w:val="26"/>
          <w:szCs w:val="26"/>
        </w:rPr>
        <w:t xml:space="preserve"> </w:t>
      </w:r>
      <w:r w:rsidR="00277320">
        <w:rPr>
          <w:rFonts w:ascii="Times New Roman" w:hAnsi="Times New Roman" w:cs="Times New Roman"/>
          <w:sz w:val="26"/>
          <w:szCs w:val="26"/>
        </w:rPr>
        <w:t>He then went on to say</w:t>
      </w:r>
      <w:r w:rsidR="00E95CB9" w:rsidRPr="00C628B1">
        <w:rPr>
          <w:rFonts w:ascii="Times New Roman" w:hAnsi="Times New Roman" w:cs="Times New Roman"/>
          <w:sz w:val="26"/>
          <w:szCs w:val="26"/>
        </w:rPr>
        <w:t xml:space="preserve"> </w:t>
      </w:r>
      <w:r w:rsidR="00DB52CC" w:rsidRPr="00C628B1">
        <w:rPr>
          <w:rFonts w:ascii="Times New Roman" w:hAnsi="Times New Roman" w:cs="Times New Roman"/>
          <w:sz w:val="26"/>
          <w:szCs w:val="26"/>
        </w:rPr>
        <w:t>that, although abuse of power may be the root concept governing principles of public law, it does not tell you “</w:t>
      </w:r>
      <w:r w:rsidR="00DB52CC" w:rsidRPr="00C628B1">
        <w:rPr>
          <w:rFonts w:ascii="Times New Roman" w:hAnsi="Times New Roman" w:cs="Times New Roman"/>
          <w:i/>
          <w:iCs/>
          <w:sz w:val="26"/>
          <w:szCs w:val="26"/>
        </w:rPr>
        <w:t>what is lawful and what is not</w:t>
      </w:r>
      <w:r w:rsidR="00DB52CC" w:rsidRPr="00C628B1">
        <w:rPr>
          <w:rFonts w:ascii="Times New Roman" w:hAnsi="Times New Roman" w:cs="Times New Roman"/>
          <w:sz w:val="26"/>
          <w:szCs w:val="26"/>
        </w:rPr>
        <w:t xml:space="preserve">”. </w:t>
      </w:r>
    </w:p>
    <w:p w14:paraId="06200E5B" w14:textId="77777777" w:rsidR="00E95CB9" w:rsidRPr="00E95CB9" w:rsidRDefault="00E95CB9" w:rsidP="00E95CB9">
      <w:pPr>
        <w:pStyle w:val="ListParagraph"/>
        <w:rPr>
          <w:rFonts w:ascii="Times New Roman" w:hAnsi="Times New Roman" w:cs="Times New Roman"/>
          <w:sz w:val="26"/>
          <w:szCs w:val="26"/>
        </w:rPr>
      </w:pPr>
    </w:p>
    <w:p w14:paraId="63F37C16" w14:textId="0240B124" w:rsidR="00DB52CC" w:rsidRDefault="00E95CB9" w:rsidP="00DB52CC">
      <w:pPr>
        <w:pStyle w:val="ListParagraph"/>
        <w:numPr>
          <w:ilvl w:val="0"/>
          <w:numId w:val="1"/>
        </w:numPr>
        <w:spacing w:line="360" w:lineRule="auto"/>
        <w:jc w:val="both"/>
        <w:rPr>
          <w:rFonts w:ascii="Times New Roman" w:hAnsi="Times New Roman" w:cs="Times New Roman"/>
          <w:sz w:val="26"/>
          <w:szCs w:val="26"/>
        </w:rPr>
      </w:pPr>
      <w:r w:rsidRPr="00007184">
        <w:rPr>
          <w:rFonts w:ascii="Times New Roman" w:hAnsi="Times New Roman" w:cs="Times New Roman"/>
          <w:sz w:val="26"/>
          <w:szCs w:val="26"/>
        </w:rPr>
        <w:t xml:space="preserve">John </w:t>
      </w:r>
      <w:r w:rsidR="00894F34">
        <w:rPr>
          <w:rFonts w:ascii="Times New Roman" w:hAnsi="Times New Roman" w:cs="Times New Roman"/>
          <w:sz w:val="26"/>
          <w:szCs w:val="26"/>
        </w:rPr>
        <w:t>then</w:t>
      </w:r>
      <w:r w:rsidRPr="00007184">
        <w:rPr>
          <w:rFonts w:ascii="Times New Roman" w:hAnsi="Times New Roman" w:cs="Times New Roman"/>
          <w:sz w:val="26"/>
          <w:szCs w:val="26"/>
        </w:rPr>
        <w:t xml:space="preserve"> ex</w:t>
      </w:r>
      <w:r w:rsidR="00007184" w:rsidRPr="00007184">
        <w:rPr>
          <w:rFonts w:ascii="Times New Roman" w:hAnsi="Times New Roman" w:cs="Times New Roman"/>
          <w:sz w:val="26"/>
          <w:szCs w:val="26"/>
        </w:rPr>
        <w:t>amine</w:t>
      </w:r>
      <w:r w:rsidR="00894F34">
        <w:rPr>
          <w:rFonts w:ascii="Times New Roman" w:hAnsi="Times New Roman" w:cs="Times New Roman"/>
          <w:sz w:val="26"/>
          <w:szCs w:val="26"/>
        </w:rPr>
        <w:t>d</w:t>
      </w:r>
      <w:r w:rsidRPr="00007184">
        <w:rPr>
          <w:rFonts w:ascii="Times New Roman" w:hAnsi="Times New Roman" w:cs="Times New Roman"/>
          <w:sz w:val="26"/>
          <w:szCs w:val="26"/>
        </w:rPr>
        <w:t xml:space="preserve"> </w:t>
      </w:r>
      <w:r w:rsidR="00DB52CC" w:rsidRPr="00007184">
        <w:rPr>
          <w:rFonts w:ascii="Times New Roman" w:hAnsi="Times New Roman" w:cs="Times New Roman"/>
          <w:sz w:val="26"/>
          <w:szCs w:val="26"/>
        </w:rPr>
        <w:t xml:space="preserve">legitimate expectation  </w:t>
      </w:r>
      <w:r w:rsidR="002864CD">
        <w:rPr>
          <w:rFonts w:ascii="Times New Roman" w:hAnsi="Times New Roman" w:cs="Times New Roman"/>
          <w:sz w:val="26"/>
          <w:szCs w:val="26"/>
        </w:rPr>
        <w:t>in  the context</w:t>
      </w:r>
      <w:r w:rsidR="00DB52CC" w:rsidRPr="00007184">
        <w:rPr>
          <w:rFonts w:ascii="Times New Roman" w:hAnsi="Times New Roman" w:cs="Times New Roman"/>
          <w:sz w:val="26"/>
          <w:szCs w:val="26"/>
        </w:rPr>
        <w:t xml:space="preserve"> of public law</w:t>
      </w:r>
      <w:r w:rsidRPr="00007184">
        <w:rPr>
          <w:rFonts w:ascii="Times New Roman" w:hAnsi="Times New Roman" w:cs="Times New Roman"/>
          <w:sz w:val="26"/>
          <w:szCs w:val="26"/>
        </w:rPr>
        <w:t xml:space="preserve">, </w:t>
      </w:r>
      <w:r w:rsidR="00007184" w:rsidRPr="00007184">
        <w:rPr>
          <w:rFonts w:ascii="Times New Roman" w:hAnsi="Times New Roman" w:cs="Times New Roman"/>
          <w:sz w:val="26"/>
          <w:szCs w:val="26"/>
        </w:rPr>
        <w:t xml:space="preserve">proposing </w:t>
      </w:r>
      <w:r w:rsidR="00DB52CC" w:rsidRPr="00007184">
        <w:rPr>
          <w:rFonts w:ascii="Times New Roman" w:hAnsi="Times New Roman" w:cs="Times New Roman"/>
          <w:sz w:val="26"/>
          <w:szCs w:val="26"/>
        </w:rPr>
        <w:t>a “</w:t>
      </w:r>
      <w:r w:rsidR="00DB52CC" w:rsidRPr="00007184">
        <w:rPr>
          <w:rFonts w:ascii="Times New Roman" w:hAnsi="Times New Roman" w:cs="Times New Roman"/>
          <w:i/>
          <w:iCs/>
          <w:sz w:val="26"/>
          <w:szCs w:val="26"/>
        </w:rPr>
        <w:t>good administration</w:t>
      </w:r>
      <w:r w:rsidR="00DB52CC" w:rsidRPr="00007184">
        <w:rPr>
          <w:rFonts w:ascii="Times New Roman" w:hAnsi="Times New Roman" w:cs="Times New Roman"/>
          <w:sz w:val="26"/>
          <w:szCs w:val="26"/>
        </w:rPr>
        <w:t>” justification for the protection of legitimate expectation</w:t>
      </w:r>
      <w:r w:rsidR="002864CD">
        <w:rPr>
          <w:rFonts w:ascii="Times New Roman" w:hAnsi="Times New Roman" w:cs="Times New Roman"/>
          <w:sz w:val="26"/>
          <w:szCs w:val="26"/>
        </w:rPr>
        <w:t>.</w:t>
      </w:r>
      <w:r w:rsidR="00F8369B">
        <w:rPr>
          <w:rStyle w:val="FootnoteReference"/>
          <w:rFonts w:ascii="Times New Roman" w:hAnsi="Times New Roman" w:cs="Times New Roman"/>
          <w:sz w:val="26"/>
          <w:szCs w:val="26"/>
        </w:rPr>
        <w:footnoteReference w:id="23"/>
      </w:r>
      <w:r w:rsidR="00F8369B" w:rsidRPr="00050E22">
        <w:rPr>
          <w:rFonts w:ascii="Times New Roman" w:hAnsi="Times New Roman" w:cs="Times New Roman"/>
          <w:sz w:val="26"/>
          <w:szCs w:val="26"/>
        </w:rPr>
        <w:t>.</w:t>
      </w:r>
      <w:r w:rsidR="00007184">
        <w:rPr>
          <w:rFonts w:ascii="Times New Roman" w:hAnsi="Times New Roman" w:cs="Times New Roman"/>
          <w:sz w:val="26"/>
          <w:szCs w:val="26"/>
        </w:rPr>
        <w:t xml:space="preserve"> </w:t>
      </w:r>
      <w:r w:rsidR="005E29B2">
        <w:rPr>
          <w:rFonts w:ascii="Times New Roman" w:hAnsi="Times New Roman" w:cs="Times New Roman"/>
          <w:sz w:val="26"/>
          <w:szCs w:val="26"/>
        </w:rPr>
        <w:t>He observed that “</w:t>
      </w:r>
      <w:r w:rsidR="00DB52CC" w:rsidRPr="00050E22">
        <w:rPr>
          <w:rFonts w:ascii="Times New Roman" w:hAnsi="Times New Roman" w:cs="Times New Roman"/>
          <w:i/>
          <w:iCs/>
          <w:sz w:val="26"/>
          <w:szCs w:val="26"/>
        </w:rPr>
        <w:t>the principle behind this proposition?</w:t>
      </w:r>
      <w:r w:rsidR="00007184" w:rsidRPr="00050E22">
        <w:rPr>
          <w:rFonts w:ascii="Times New Roman" w:hAnsi="Times New Roman" w:cs="Times New Roman"/>
          <w:i/>
          <w:iCs/>
          <w:sz w:val="26"/>
          <w:szCs w:val="26"/>
        </w:rPr>
        <w:t>”</w:t>
      </w:r>
      <w:r w:rsidR="00007184">
        <w:rPr>
          <w:rFonts w:ascii="Times New Roman" w:hAnsi="Times New Roman" w:cs="Times New Roman"/>
          <w:sz w:val="26"/>
          <w:szCs w:val="26"/>
        </w:rPr>
        <w:t xml:space="preserve"> </w:t>
      </w:r>
      <w:r w:rsidR="005E29B2">
        <w:rPr>
          <w:rFonts w:ascii="Times New Roman" w:hAnsi="Times New Roman" w:cs="Times New Roman"/>
          <w:sz w:val="26"/>
          <w:szCs w:val="26"/>
        </w:rPr>
        <w:t xml:space="preserve">was </w:t>
      </w:r>
      <w:r w:rsidR="00007184">
        <w:rPr>
          <w:rFonts w:ascii="Times New Roman" w:hAnsi="Times New Roman" w:cs="Times New Roman"/>
          <w:sz w:val="26"/>
          <w:szCs w:val="26"/>
        </w:rPr>
        <w:t>“</w:t>
      </w:r>
      <w:r w:rsidR="00DB52CC" w:rsidRPr="00050E22">
        <w:rPr>
          <w:rFonts w:ascii="Times New Roman" w:hAnsi="Times New Roman" w:cs="Times New Roman"/>
          <w:i/>
          <w:iCs/>
          <w:sz w:val="26"/>
          <w:szCs w:val="26"/>
        </w:rPr>
        <w:t>said to be grounded in fairness, and no doubt in general terms that is so</w:t>
      </w:r>
      <w:r w:rsidR="005E29B2">
        <w:rPr>
          <w:rFonts w:ascii="Times New Roman" w:hAnsi="Times New Roman" w:cs="Times New Roman"/>
          <w:sz w:val="26"/>
          <w:szCs w:val="26"/>
        </w:rPr>
        <w:t>”. However, he said that he “</w:t>
      </w:r>
      <w:r w:rsidR="00DB52CC" w:rsidRPr="00050E22">
        <w:rPr>
          <w:rFonts w:ascii="Times New Roman" w:hAnsi="Times New Roman" w:cs="Times New Roman"/>
          <w:i/>
          <w:iCs/>
          <w:sz w:val="26"/>
          <w:szCs w:val="26"/>
        </w:rPr>
        <w:t>would prefer to express it rather more broadly as a requirement of good administration, by which public bodies ought to deal straightforwardly and consistently with the public</w:t>
      </w:r>
      <w:r w:rsidR="00DB52CC" w:rsidRPr="00007184">
        <w:rPr>
          <w:rFonts w:ascii="Times New Roman" w:hAnsi="Times New Roman" w:cs="Times New Roman"/>
          <w:sz w:val="26"/>
          <w:szCs w:val="26"/>
        </w:rPr>
        <w:t>.</w:t>
      </w:r>
      <w:r w:rsidR="00050E22">
        <w:rPr>
          <w:rFonts w:ascii="Times New Roman" w:hAnsi="Times New Roman" w:cs="Times New Roman"/>
          <w:sz w:val="26"/>
          <w:szCs w:val="26"/>
        </w:rPr>
        <w:t>”, which he described as “</w:t>
      </w:r>
      <w:r w:rsidR="00DB52CC" w:rsidRPr="00050E22">
        <w:rPr>
          <w:rFonts w:ascii="Times New Roman" w:hAnsi="Times New Roman" w:cs="Times New Roman"/>
          <w:i/>
          <w:iCs/>
          <w:sz w:val="26"/>
          <w:szCs w:val="26"/>
        </w:rPr>
        <w:t>a legal standard which</w:t>
      </w:r>
      <w:r w:rsidR="00050E22" w:rsidRPr="00050E22">
        <w:rPr>
          <w:rFonts w:ascii="Times New Roman" w:hAnsi="Times New Roman" w:cs="Times New Roman"/>
          <w:i/>
          <w:iCs/>
          <w:sz w:val="26"/>
          <w:szCs w:val="26"/>
        </w:rPr>
        <w:t xml:space="preserve"> …</w:t>
      </w:r>
      <w:r w:rsidR="00DB52CC" w:rsidRPr="00050E22">
        <w:rPr>
          <w:rFonts w:ascii="Times New Roman" w:hAnsi="Times New Roman" w:cs="Times New Roman"/>
          <w:i/>
          <w:iCs/>
          <w:sz w:val="26"/>
          <w:szCs w:val="26"/>
        </w:rPr>
        <w:t xml:space="preserve"> takes its place alongside such rights as fair trial, and no punishment without law.</w:t>
      </w:r>
      <w:r w:rsidR="00050E22">
        <w:rPr>
          <w:rFonts w:ascii="Times New Roman" w:hAnsi="Times New Roman" w:cs="Times New Roman"/>
          <w:sz w:val="26"/>
          <w:szCs w:val="26"/>
        </w:rPr>
        <w:t>”</w:t>
      </w:r>
      <w:r w:rsidR="00DB52CC" w:rsidRPr="00007184">
        <w:rPr>
          <w:rFonts w:ascii="Times New Roman" w:hAnsi="Times New Roman" w:cs="Times New Roman"/>
          <w:sz w:val="26"/>
          <w:szCs w:val="26"/>
        </w:rPr>
        <w:t xml:space="preserve"> </w:t>
      </w:r>
      <w:r w:rsidR="00050E22">
        <w:rPr>
          <w:rFonts w:ascii="Times New Roman" w:hAnsi="Times New Roman" w:cs="Times New Roman"/>
          <w:sz w:val="26"/>
          <w:szCs w:val="26"/>
        </w:rPr>
        <w:t>And he explained that “</w:t>
      </w:r>
      <w:r w:rsidR="00DB52CC" w:rsidRPr="00050E22">
        <w:rPr>
          <w:rFonts w:ascii="Times New Roman" w:hAnsi="Times New Roman" w:cs="Times New Roman"/>
          <w:i/>
          <w:iCs/>
          <w:sz w:val="26"/>
          <w:szCs w:val="26"/>
        </w:rPr>
        <w:t>the standard I have expressed may only be departed from, in circumstances where to do so is the public body's legal duty, or is otherwise, to use a now familiar vocabulary, a proportionate response</w:t>
      </w:r>
      <w:r w:rsidR="00050E22" w:rsidRPr="00050E22">
        <w:rPr>
          <w:rFonts w:ascii="Times New Roman" w:hAnsi="Times New Roman" w:cs="Times New Roman"/>
          <w:i/>
          <w:iCs/>
          <w:sz w:val="26"/>
          <w:szCs w:val="26"/>
        </w:rPr>
        <w:t xml:space="preserve"> …</w:t>
      </w:r>
      <w:r w:rsidR="00DB52CC" w:rsidRPr="00050E22">
        <w:rPr>
          <w:rFonts w:ascii="Times New Roman" w:hAnsi="Times New Roman" w:cs="Times New Roman"/>
          <w:i/>
          <w:iCs/>
          <w:sz w:val="26"/>
          <w:szCs w:val="26"/>
        </w:rPr>
        <w:t xml:space="preserve"> having regard to a legitimate aim pursued by the public body in the public interest</w:t>
      </w:r>
      <w:r w:rsidR="00DB52CC" w:rsidRPr="00007184">
        <w:rPr>
          <w:rFonts w:ascii="Times New Roman" w:hAnsi="Times New Roman" w:cs="Times New Roman"/>
          <w:sz w:val="26"/>
          <w:szCs w:val="26"/>
        </w:rPr>
        <w:t>.</w:t>
      </w:r>
      <w:r w:rsidR="00050E22">
        <w:rPr>
          <w:rFonts w:ascii="Times New Roman" w:hAnsi="Times New Roman" w:cs="Times New Roman"/>
          <w:sz w:val="26"/>
          <w:szCs w:val="26"/>
        </w:rPr>
        <w:t>”</w:t>
      </w:r>
      <w:r w:rsidR="0022125A" w:rsidRPr="0022125A">
        <w:rPr>
          <w:rStyle w:val="FootnoteReference"/>
          <w:rFonts w:ascii="Times New Roman" w:hAnsi="Times New Roman" w:cs="Times New Roman"/>
          <w:sz w:val="26"/>
          <w:szCs w:val="26"/>
        </w:rPr>
        <w:t xml:space="preserve"> </w:t>
      </w:r>
    </w:p>
    <w:p w14:paraId="63D2767B" w14:textId="77777777" w:rsidR="004F3EF8" w:rsidRPr="00007184" w:rsidRDefault="004F3EF8" w:rsidP="004F3EF8">
      <w:pPr>
        <w:pStyle w:val="ListParagraph"/>
        <w:spacing w:line="360" w:lineRule="auto"/>
        <w:jc w:val="both"/>
        <w:rPr>
          <w:rFonts w:ascii="Times New Roman" w:hAnsi="Times New Roman" w:cs="Times New Roman"/>
          <w:sz w:val="26"/>
          <w:szCs w:val="26"/>
        </w:rPr>
      </w:pPr>
    </w:p>
    <w:p w14:paraId="6221D9F7" w14:textId="6589766C" w:rsidR="007C2E0D" w:rsidRDefault="00C628B1" w:rsidP="00894F34">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In these words</w:t>
      </w:r>
      <w:r w:rsidR="00DB52CC" w:rsidRPr="00DB52CC">
        <w:rPr>
          <w:rFonts w:ascii="Times New Roman" w:hAnsi="Times New Roman" w:cs="Times New Roman"/>
          <w:sz w:val="26"/>
          <w:szCs w:val="26"/>
        </w:rPr>
        <w:t>,</w:t>
      </w:r>
      <w:r w:rsidR="005E7674">
        <w:rPr>
          <w:rFonts w:ascii="Times New Roman" w:hAnsi="Times New Roman" w:cs="Times New Roman"/>
          <w:sz w:val="26"/>
          <w:szCs w:val="26"/>
        </w:rPr>
        <w:t xml:space="preserve"> John</w:t>
      </w:r>
      <w:r w:rsidR="00DB52CC" w:rsidRPr="00DB52CC">
        <w:rPr>
          <w:rFonts w:ascii="Times New Roman" w:hAnsi="Times New Roman" w:cs="Times New Roman"/>
          <w:sz w:val="26"/>
          <w:szCs w:val="26"/>
        </w:rPr>
        <w:t xml:space="preserve"> introduced the notion of “proportionality” which </w:t>
      </w:r>
      <w:r w:rsidR="005E7674">
        <w:rPr>
          <w:rFonts w:ascii="Times New Roman" w:hAnsi="Times New Roman" w:cs="Times New Roman"/>
          <w:sz w:val="26"/>
          <w:szCs w:val="26"/>
        </w:rPr>
        <w:t xml:space="preserve">had </w:t>
      </w:r>
      <w:r w:rsidR="00DB52CC" w:rsidRPr="00DB52CC">
        <w:rPr>
          <w:rFonts w:ascii="Times New Roman" w:hAnsi="Times New Roman" w:cs="Times New Roman"/>
          <w:sz w:val="26"/>
          <w:szCs w:val="26"/>
        </w:rPr>
        <w:t xml:space="preserve">previously </w:t>
      </w:r>
      <w:r w:rsidR="005E7674">
        <w:rPr>
          <w:rFonts w:ascii="Times New Roman" w:hAnsi="Times New Roman" w:cs="Times New Roman"/>
          <w:sz w:val="26"/>
          <w:szCs w:val="26"/>
        </w:rPr>
        <w:t>n</w:t>
      </w:r>
      <w:r w:rsidR="00DB52CC" w:rsidRPr="00DB52CC">
        <w:rPr>
          <w:rFonts w:ascii="Times New Roman" w:hAnsi="Times New Roman" w:cs="Times New Roman"/>
          <w:sz w:val="26"/>
          <w:szCs w:val="26"/>
        </w:rPr>
        <w:t>ot</w:t>
      </w:r>
      <w:r w:rsidR="005E7674">
        <w:rPr>
          <w:rFonts w:ascii="Times New Roman" w:hAnsi="Times New Roman" w:cs="Times New Roman"/>
          <w:sz w:val="26"/>
          <w:szCs w:val="26"/>
        </w:rPr>
        <w:t xml:space="preserve"> been</w:t>
      </w:r>
      <w:r w:rsidR="00DB52CC" w:rsidRPr="00DB52CC">
        <w:rPr>
          <w:rFonts w:ascii="Times New Roman" w:hAnsi="Times New Roman" w:cs="Times New Roman"/>
          <w:sz w:val="26"/>
          <w:szCs w:val="26"/>
        </w:rPr>
        <w:t xml:space="preserve"> an established test within </w:t>
      </w:r>
      <w:r w:rsidR="005E7674">
        <w:rPr>
          <w:rFonts w:ascii="Times New Roman" w:hAnsi="Times New Roman" w:cs="Times New Roman"/>
          <w:sz w:val="26"/>
          <w:szCs w:val="26"/>
        </w:rPr>
        <w:t xml:space="preserve">English </w:t>
      </w:r>
      <w:r w:rsidR="00DB52CC" w:rsidRPr="00DB52CC">
        <w:rPr>
          <w:rFonts w:ascii="Times New Roman" w:hAnsi="Times New Roman" w:cs="Times New Roman"/>
          <w:sz w:val="26"/>
          <w:szCs w:val="26"/>
        </w:rPr>
        <w:t>public law, suggesting that it was the appropriate test to protect the values</w:t>
      </w:r>
      <w:r w:rsidR="005E7674">
        <w:rPr>
          <w:rFonts w:ascii="Times New Roman" w:hAnsi="Times New Roman" w:cs="Times New Roman"/>
          <w:sz w:val="26"/>
          <w:szCs w:val="26"/>
        </w:rPr>
        <w:t xml:space="preserve"> which</w:t>
      </w:r>
      <w:r w:rsidR="00DB52CC" w:rsidRPr="00DB52CC">
        <w:rPr>
          <w:rFonts w:ascii="Times New Roman" w:hAnsi="Times New Roman" w:cs="Times New Roman"/>
          <w:sz w:val="26"/>
          <w:szCs w:val="26"/>
        </w:rPr>
        <w:t xml:space="preserve"> he said lay at the centre of legitimate expectation.</w:t>
      </w:r>
      <w:r w:rsidR="007C2E0D">
        <w:rPr>
          <w:rFonts w:ascii="Times New Roman" w:hAnsi="Times New Roman" w:cs="Times New Roman"/>
          <w:sz w:val="26"/>
          <w:szCs w:val="26"/>
        </w:rPr>
        <w:t xml:space="preserve"> Proportionality had formally entered English law with the enactment of the H</w:t>
      </w:r>
      <w:r w:rsidR="00F07DCE">
        <w:rPr>
          <w:rFonts w:ascii="Times New Roman" w:hAnsi="Times New Roman" w:cs="Times New Roman"/>
          <w:sz w:val="26"/>
          <w:szCs w:val="26"/>
        </w:rPr>
        <w:t>RA</w:t>
      </w:r>
      <w:r w:rsidR="007C2E0D">
        <w:rPr>
          <w:rFonts w:ascii="Times New Roman" w:hAnsi="Times New Roman" w:cs="Times New Roman"/>
          <w:sz w:val="26"/>
          <w:szCs w:val="26"/>
        </w:rPr>
        <w:t xml:space="preserve">, as </w:t>
      </w:r>
      <w:r w:rsidR="00BC49C1">
        <w:rPr>
          <w:rFonts w:ascii="Times New Roman" w:hAnsi="Times New Roman" w:cs="Times New Roman"/>
          <w:sz w:val="26"/>
          <w:szCs w:val="26"/>
        </w:rPr>
        <w:t>it</w:t>
      </w:r>
      <w:r w:rsidR="007C2E0D">
        <w:rPr>
          <w:rFonts w:ascii="Times New Roman" w:hAnsi="Times New Roman" w:cs="Times New Roman"/>
          <w:sz w:val="26"/>
          <w:szCs w:val="26"/>
        </w:rPr>
        <w:t xml:space="preserve"> was</w:t>
      </w:r>
      <w:r w:rsidR="00BC49C1">
        <w:rPr>
          <w:rFonts w:ascii="Times New Roman" w:hAnsi="Times New Roman" w:cs="Times New Roman"/>
          <w:sz w:val="26"/>
          <w:szCs w:val="26"/>
        </w:rPr>
        <w:t xml:space="preserve"> (and remains)</w:t>
      </w:r>
      <w:r w:rsidR="007C2E0D">
        <w:rPr>
          <w:rFonts w:ascii="Times New Roman" w:hAnsi="Times New Roman" w:cs="Times New Roman"/>
          <w:sz w:val="26"/>
          <w:szCs w:val="26"/>
        </w:rPr>
        <w:t xml:space="preserve"> one of the fundamental yardsticks, perhaps </w:t>
      </w:r>
      <w:r w:rsidR="007C2E0D" w:rsidRPr="007C2E0D">
        <w:rPr>
          <w:rFonts w:ascii="Times New Roman" w:hAnsi="Times New Roman" w:cs="Times New Roman"/>
          <w:sz w:val="26"/>
          <w:szCs w:val="26"/>
          <w:u w:val="single"/>
        </w:rPr>
        <w:t>the</w:t>
      </w:r>
      <w:r w:rsidR="007C2E0D">
        <w:rPr>
          <w:rFonts w:ascii="Times New Roman" w:hAnsi="Times New Roman" w:cs="Times New Roman"/>
          <w:sz w:val="26"/>
          <w:szCs w:val="26"/>
        </w:rPr>
        <w:t xml:space="preserve"> fundamental yardstick, by reference to which the justifiability of a measure impinging on human rights is to be assessed</w:t>
      </w:r>
      <w:r w:rsidR="00BC49C1">
        <w:rPr>
          <w:rFonts w:ascii="Times New Roman" w:hAnsi="Times New Roman" w:cs="Times New Roman"/>
          <w:sz w:val="26"/>
          <w:szCs w:val="26"/>
        </w:rPr>
        <w:t xml:space="preserve"> according to constant Strasbourg court jurisprudence</w:t>
      </w:r>
      <w:r w:rsidR="007C2E0D">
        <w:rPr>
          <w:rFonts w:ascii="Times New Roman" w:hAnsi="Times New Roman" w:cs="Times New Roman"/>
          <w:sz w:val="26"/>
          <w:szCs w:val="26"/>
        </w:rPr>
        <w:t xml:space="preserve">. There had been </w:t>
      </w:r>
      <w:r w:rsidR="00BC49C1">
        <w:rPr>
          <w:rFonts w:ascii="Times New Roman" w:hAnsi="Times New Roman" w:cs="Times New Roman"/>
          <w:sz w:val="26"/>
          <w:szCs w:val="26"/>
        </w:rPr>
        <w:t>a number</w:t>
      </w:r>
      <w:r w:rsidR="007C2E0D">
        <w:rPr>
          <w:rFonts w:ascii="Times New Roman" w:hAnsi="Times New Roman" w:cs="Times New Roman"/>
          <w:sz w:val="26"/>
          <w:szCs w:val="26"/>
        </w:rPr>
        <w:t xml:space="preserve"> of cases</w:t>
      </w:r>
      <w:r w:rsidR="00BC49C1">
        <w:rPr>
          <w:rFonts w:ascii="Times New Roman" w:hAnsi="Times New Roman" w:cs="Times New Roman"/>
          <w:sz w:val="26"/>
          <w:szCs w:val="26"/>
        </w:rPr>
        <w:t xml:space="preserve"> in the UK courts</w:t>
      </w:r>
      <w:r w:rsidR="007C2E0D">
        <w:rPr>
          <w:rFonts w:ascii="Times New Roman" w:hAnsi="Times New Roman" w:cs="Times New Roman"/>
          <w:sz w:val="26"/>
          <w:szCs w:val="26"/>
        </w:rPr>
        <w:t xml:space="preserve"> where the difference between the </w:t>
      </w:r>
      <w:r w:rsidR="00894F34">
        <w:rPr>
          <w:rFonts w:ascii="Times New Roman" w:hAnsi="Times New Roman" w:cs="Times New Roman"/>
          <w:sz w:val="26"/>
          <w:szCs w:val="26"/>
        </w:rPr>
        <w:t>Convention</w:t>
      </w:r>
      <w:r w:rsidR="007C2E0D">
        <w:rPr>
          <w:rFonts w:ascii="Times New Roman" w:hAnsi="Times New Roman" w:cs="Times New Roman"/>
          <w:sz w:val="26"/>
          <w:szCs w:val="26"/>
        </w:rPr>
        <w:t xml:space="preserve"> test of proportionality and the traditional JR test of </w:t>
      </w:r>
      <w:r w:rsidR="005E29B2">
        <w:rPr>
          <w:rFonts w:ascii="Times New Roman" w:hAnsi="Times New Roman" w:cs="Times New Roman"/>
          <w:sz w:val="26"/>
          <w:szCs w:val="26"/>
          <w:u w:val="single"/>
        </w:rPr>
        <w:t xml:space="preserve">Wednesbury </w:t>
      </w:r>
      <w:r w:rsidR="007C2E0D">
        <w:rPr>
          <w:rFonts w:ascii="Times New Roman" w:hAnsi="Times New Roman" w:cs="Times New Roman"/>
          <w:sz w:val="26"/>
          <w:szCs w:val="26"/>
        </w:rPr>
        <w:t>rationality had been judicially discussed</w:t>
      </w:r>
      <w:r w:rsidR="005916EB">
        <w:rPr>
          <w:rStyle w:val="FootnoteReference"/>
          <w:rFonts w:ascii="Times New Roman" w:hAnsi="Times New Roman" w:cs="Times New Roman"/>
          <w:sz w:val="26"/>
          <w:szCs w:val="26"/>
        </w:rPr>
        <w:footnoteReference w:id="24"/>
      </w:r>
      <w:r w:rsidR="007C2E0D">
        <w:rPr>
          <w:rFonts w:ascii="Times New Roman" w:hAnsi="Times New Roman" w:cs="Times New Roman"/>
          <w:sz w:val="26"/>
          <w:szCs w:val="26"/>
        </w:rPr>
        <w:t>, but this was</w:t>
      </w:r>
      <w:r w:rsidR="004539FE">
        <w:rPr>
          <w:rFonts w:ascii="Times New Roman" w:hAnsi="Times New Roman" w:cs="Times New Roman"/>
          <w:sz w:val="26"/>
          <w:szCs w:val="26"/>
        </w:rPr>
        <w:t xml:space="preserve"> perhaps</w:t>
      </w:r>
      <w:r w:rsidR="007C2E0D">
        <w:rPr>
          <w:rFonts w:ascii="Times New Roman" w:hAnsi="Times New Roman" w:cs="Times New Roman"/>
          <w:sz w:val="26"/>
          <w:szCs w:val="26"/>
        </w:rPr>
        <w:t xml:space="preserve"> the first time that a judge had </w:t>
      </w:r>
      <w:r w:rsidR="005916EB">
        <w:rPr>
          <w:rFonts w:ascii="Times New Roman" w:hAnsi="Times New Roman" w:cs="Times New Roman"/>
          <w:sz w:val="26"/>
          <w:szCs w:val="26"/>
        </w:rPr>
        <w:t>held in terms</w:t>
      </w:r>
      <w:r w:rsidR="007C2E0D">
        <w:rPr>
          <w:rFonts w:ascii="Times New Roman" w:hAnsi="Times New Roman" w:cs="Times New Roman"/>
          <w:sz w:val="26"/>
          <w:szCs w:val="26"/>
        </w:rPr>
        <w:t xml:space="preserve"> that proportionality</w:t>
      </w:r>
      <w:r w:rsidR="00BC49C1">
        <w:rPr>
          <w:rFonts w:ascii="Times New Roman" w:hAnsi="Times New Roman" w:cs="Times New Roman"/>
          <w:sz w:val="26"/>
          <w:szCs w:val="26"/>
        </w:rPr>
        <w:t xml:space="preserve"> should</w:t>
      </w:r>
      <w:r w:rsidR="007C2E0D">
        <w:rPr>
          <w:rFonts w:ascii="Times New Roman" w:hAnsi="Times New Roman" w:cs="Times New Roman"/>
          <w:sz w:val="26"/>
          <w:szCs w:val="26"/>
        </w:rPr>
        <w:t xml:space="preserve"> be introduced into the field of domestic </w:t>
      </w:r>
      <w:r w:rsidR="005E29B2">
        <w:rPr>
          <w:rFonts w:ascii="Times New Roman" w:hAnsi="Times New Roman" w:cs="Times New Roman"/>
          <w:sz w:val="26"/>
          <w:szCs w:val="26"/>
        </w:rPr>
        <w:t>JR</w:t>
      </w:r>
      <w:r w:rsidR="007C2E0D">
        <w:rPr>
          <w:rFonts w:ascii="Times New Roman" w:hAnsi="Times New Roman" w:cs="Times New Roman"/>
          <w:sz w:val="26"/>
          <w:szCs w:val="26"/>
        </w:rPr>
        <w:t xml:space="preserve">. </w:t>
      </w:r>
    </w:p>
    <w:p w14:paraId="47B3BF88" w14:textId="77777777" w:rsidR="007C2E0D" w:rsidRPr="007C2E0D" w:rsidRDefault="007C2E0D" w:rsidP="007C2E0D">
      <w:pPr>
        <w:pStyle w:val="ListParagraph"/>
        <w:rPr>
          <w:rFonts w:ascii="Times New Roman" w:hAnsi="Times New Roman" w:cs="Times New Roman"/>
          <w:sz w:val="26"/>
          <w:szCs w:val="26"/>
        </w:rPr>
      </w:pPr>
    </w:p>
    <w:p w14:paraId="47C33661" w14:textId="18AABCB1" w:rsidR="005916EB" w:rsidRDefault="007C2E0D" w:rsidP="004F3EF8">
      <w:pPr>
        <w:pStyle w:val="ListParagraph"/>
        <w:numPr>
          <w:ilvl w:val="0"/>
          <w:numId w:val="1"/>
        </w:numPr>
        <w:spacing w:line="360" w:lineRule="auto"/>
        <w:jc w:val="both"/>
        <w:rPr>
          <w:rFonts w:ascii="Times New Roman" w:hAnsi="Times New Roman" w:cs="Times New Roman"/>
          <w:sz w:val="26"/>
          <w:szCs w:val="26"/>
        </w:rPr>
      </w:pPr>
      <w:r w:rsidRPr="007C2E0D">
        <w:rPr>
          <w:rFonts w:ascii="Times New Roman" w:hAnsi="Times New Roman" w:cs="Times New Roman"/>
          <w:sz w:val="26"/>
          <w:szCs w:val="26"/>
        </w:rPr>
        <w:t xml:space="preserve">And the implications were </w:t>
      </w:r>
      <w:r w:rsidR="00C53172" w:rsidRPr="007C2E0D">
        <w:rPr>
          <w:rFonts w:ascii="Times New Roman" w:hAnsi="Times New Roman" w:cs="Times New Roman"/>
          <w:sz w:val="26"/>
          <w:szCs w:val="26"/>
        </w:rPr>
        <w:t xml:space="preserve">revolutionary. </w:t>
      </w:r>
      <w:r w:rsidR="005E7674" w:rsidRPr="007C2E0D">
        <w:rPr>
          <w:rFonts w:ascii="Times New Roman" w:hAnsi="Times New Roman" w:cs="Times New Roman"/>
          <w:sz w:val="26"/>
          <w:szCs w:val="26"/>
        </w:rPr>
        <w:t>John was apparently suggesting that proportionality may form a single basis for all instances of legitimate expectation</w:t>
      </w:r>
      <w:r w:rsidR="004539FE">
        <w:rPr>
          <w:rFonts w:ascii="Times New Roman" w:hAnsi="Times New Roman" w:cs="Times New Roman"/>
          <w:sz w:val="26"/>
          <w:szCs w:val="26"/>
        </w:rPr>
        <w:t xml:space="preserve"> claim</w:t>
      </w:r>
      <w:r w:rsidR="005E7674" w:rsidRPr="007C2E0D">
        <w:rPr>
          <w:rFonts w:ascii="Times New Roman" w:hAnsi="Times New Roman" w:cs="Times New Roman"/>
          <w:sz w:val="26"/>
          <w:szCs w:val="26"/>
        </w:rPr>
        <w:t xml:space="preserve">s, regardless of whether such expectation </w:t>
      </w:r>
      <w:r w:rsidR="004539FE">
        <w:rPr>
          <w:rFonts w:ascii="Times New Roman" w:hAnsi="Times New Roman" w:cs="Times New Roman"/>
          <w:sz w:val="26"/>
          <w:szCs w:val="26"/>
        </w:rPr>
        <w:t>was</w:t>
      </w:r>
      <w:r w:rsidR="005E7674" w:rsidRPr="007C2E0D">
        <w:rPr>
          <w:rFonts w:ascii="Times New Roman" w:hAnsi="Times New Roman" w:cs="Times New Roman"/>
          <w:sz w:val="26"/>
          <w:szCs w:val="26"/>
        </w:rPr>
        <w:t xml:space="preserve"> procedural or substantive. </w:t>
      </w:r>
      <w:r w:rsidR="00C53172" w:rsidRPr="007C2E0D">
        <w:rPr>
          <w:rFonts w:ascii="Times New Roman" w:hAnsi="Times New Roman" w:cs="Times New Roman"/>
          <w:sz w:val="26"/>
          <w:szCs w:val="26"/>
        </w:rPr>
        <w:t xml:space="preserve">Carried to its logical conclusion, it could be said to </w:t>
      </w:r>
      <w:r w:rsidR="005E7674" w:rsidRPr="007C2E0D">
        <w:rPr>
          <w:rFonts w:ascii="Times New Roman" w:hAnsi="Times New Roman" w:cs="Times New Roman"/>
          <w:sz w:val="26"/>
          <w:szCs w:val="26"/>
        </w:rPr>
        <w:t xml:space="preserve">lead to the </w:t>
      </w:r>
      <w:r w:rsidR="00C53172" w:rsidRPr="007C2E0D">
        <w:rPr>
          <w:rFonts w:ascii="Times New Roman" w:hAnsi="Times New Roman" w:cs="Times New Roman"/>
          <w:sz w:val="26"/>
          <w:szCs w:val="26"/>
        </w:rPr>
        <w:t>replac</w:t>
      </w:r>
      <w:r w:rsidR="005E7674" w:rsidRPr="007C2E0D">
        <w:rPr>
          <w:rFonts w:ascii="Times New Roman" w:hAnsi="Times New Roman" w:cs="Times New Roman"/>
          <w:sz w:val="26"/>
          <w:szCs w:val="26"/>
        </w:rPr>
        <w:t>ement of</w:t>
      </w:r>
      <w:r w:rsidR="00C53172" w:rsidRPr="007C2E0D">
        <w:rPr>
          <w:rFonts w:ascii="Times New Roman" w:hAnsi="Times New Roman" w:cs="Times New Roman"/>
          <w:sz w:val="26"/>
          <w:szCs w:val="26"/>
        </w:rPr>
        <w:t xml:space="preserve"> </w:t>
      </w:r>
      <w:r w:rsidR="00C53172" w:rsidRPr="005916EB">
        <w:rPr>
          <w:rFonts w:ascii="Times New Roman" w:hAnsi="Times New Roman" w:cs="Times New Roman"/>
          <w:sz w:val="26"/>
          <w:szCs w:val="26"/>
          <w:u w:val="single"/>
        </w:rPr>
        <w:t>Wednesbury</w:t>
      </w:r>
      <w:r w:rsidR="00C53172" w:rsidRPr="007C2E0D">
        <w:rPr>
          <w:rFonts w:ascii="Times New Roman" w:hAnsi="Times New Roman" w:cs="Times New Roman"/>
          <w:i/>
          <w:iCs/>
          <w:sz w:val="26"/>
          <w:szCs w:val="26"/>
        </w:rPr>
        <w:t xml:space="preserve"> </w:t>
      </w:r>
      <w:r w:rsidR="00C53172" w:rsidRPr="007C2E0D">
        <w:rPr>
          <w:rFonts w:ascii="Times New Roman" w:hAnsi="Times New Roman" w:cs="Times New Roman"/>
          <w:sz w:val="26"/>
          <w:szCs w:val="26"/>
        </w:rPr>
        <w:t>unreasonableness, irrationality, Lord Greene’s tablet of stone which has stood since before 1950, with new</w:t>
      </w:r>
      <w:r w:rsidR="004539FE">
        <w:rPr>
          <w:rFonts w:ascii="Times New Roman" w:hAnsi="Times New Roman" w:cs="Times New Roman"/>
          <w:sz w:val="26"/>
          <w:szCs w:val="26"/>
        </w:rPr>
        <w:t xml:space="preserve"> the new</w:t>
      </w:r>
      <w:r w:rsidR="00C53172" w:rsidRPr="007C2E0D">
        <w:rPr>
          <w:rFonts w:ascii="Times New Roman" w:hAnsi="Times New Roman" w:cs="Times New Roman"/>
          <w:sz w:val="26"/>
          <w:szCs w:val="26"/>
        </w:rPr>
        <w:t xml:space="preserve">, </w:t>
      </w:r>
      <w:r w:rsidR="005E29B2">
        <w:rPr>
          <w:rFonts w:ascii="Times New Roman" w:hAnsi="Times New Roman" w:cs="Times New Roman"/>
          <w:sz w:val="26"/>
          <w:szCs w:val="26"/>
        </w:rPr>
        <w:t>human rights</w:t>
      </w:r>
      <w:r w:rsidR="004539FE">
        <w:rPr>
          <w:rFonts w:ascii="Times New Roman" w:hAnsi="Times New Roman" w:cs="Times New Roman"/>
          <w:sz w:val="26"/>
          <w:szCs w:val="26"/>
        </w:rPr>
        <w:t>-based notion of</w:t>
      </w:r>
      <w:r w:rsidR="00C53172" w:rsidRPr="007C2E0D">
        <w:rPr>
          <w:rFonts w:ascii="Times New Roman" w:hAnsi="Times New Roman" w:cs="Times New Roman"/>
          <w:sz w:val="26"/>
          <w:szCs w:val="26"/>
        </w:rPr>
        <w:t xml:space="preserve"> proportionality. </w:t>
      </w:r>
      <w:r w:rsidR="00BC49C1">
        <w:rPr>
          <w:rFonts w:ascii="Times New Roman" w:hAnsi="Times New Roman" w:cs="Times New Roman"/>
          <w:sz w:val="26"/>
          <w:szCs w:val="26"/>
        </w:rPr>
        <w:t>Not only is proportionality a different and less rigid and formalistic test than irrationality, but it involves the court</w:t>
      </w:r>
      <w:r w:rsidR="0022125A">
        <w:rPr>
          <w:rFonts w:ascii="Times New Roman" w:hAnsi="Times New Roman" w:cs="Times New Roman"/>
          <w:sz w:val="26"/>
          <w:szCs w:val="26"/>
        </w:rPr>
        <w:t xml:space="preserve"> often</w:t>
      </w:r>
      <w:r w:rsidR="00BC49C1">
        <w:rPr>
          <w:rFonts w:ascii="Times New Roman" w:hAnsi="Times New Roman" w:cs="Times New Roman"/>
          <w:sz w:val="26"/>
          <w:szCs w:val="26"/>
        </w:rPr>
        <w:t xml:space="preserve"> investigati</w:t>
      </w:r>
      <w:r w:rsidR="0022125A">
        <w:rPr>
          <w:rFonts w:ascii="Times New Roman" w:hAnsi="Times New Roman" w:cs="Times New Roman"/>
          <w:sz w:val="26"/>
          <w:szCs w:val="26"/>
        </w:rPr>
        <w:t>ng</w:t>
      </w:r>
      <w:r w:rsidR="00BC49C1">
        <w:rPr>
          <w:rFonts w:ascii="Times New Roman" w:hAnsi="Times New Roman" w:cs="Times New Roman"/>
          <w:sz w:val="26"/>
          <w:szCs w:val="26"/>
        </w:rPr>
        <w:t xml:space="preserve"> the merits of a decision or action of the executive</w:t>
      </w:r>
      <w:r w:rsidR="0022125A">
        <w:rPr>
          <w:rFonts w:ascii="Times New Roman" w:hAnsi="Times New Roman" w:cs="Times New Roman"/>
          <w:sz w:val="26"/>
          <w:szCs w:val="26"/>
        </w:rPr>
        <w:t>, indeed often carrying out a balancing exercise</w:t>
      </w:r>
      <w:r w:rsidR="00BC49C1">
        <w:rPr>
          <w:rFonts w:ascii="Times New Roman" w:hAnsi="Times New Roman" w:cs="Times New Roman"/>
          <w:sz w:val="26"/>
          <w:szCs w:val="26"/>
        </w:rPr>
        <w:t xml:space="preserve"> – contrary to the proposition which John </w:t>
      </w:r>
      <w:r w:rsidR="00694FCA">
        <w:rPr>
          <w:rFonts w:ascii="Times New Roman" w:hAnsi="Times New Roman" w:cs="Times New Roman"/>
          <w:sz w:val="26"/>
          <w:szCs w:val="26"/>
        </w:rPr>
        <w:t xml:space="preserve">had </w:t>
      </w:r>
      <w:r w:rsidR="00BC49C1">
        <w:rPr>
          <w:rFonts w:ascii="Times New Roman" w:hAnsi="Times New Roman" w:cs="Times New Roman"/>
          <w:sz w:val="26"/>
          <w:szCs w:val="26"/>
        </w:rPr>
        <w:t xml:space="preserve">expressed in the </w:t>
      </w:r>
      <w:r w:rsidR="00BC49C1" w:rsidRPr="00694FCA">
        <w:rPr>
          <w:rFonts w:ascii="Times New Roman" w:hAnsi="Times New Roman" w:cs="Times New Roman"/>
          <w:sz w:val="26"/>
          <w:szCs w:val="26"/>
          <w:u w:val="single"/>
        </w:rPr>
        <w:t>Fewings</w:t>
      </w:r>
      <w:r w:rsidR="00BC49C1">
        <w:rPr>
          <w:rFonts w:ascii="Times New Roman" w:hAnsi="Times New Roman" w:cs="Times New Roman"/>
          <w:sz w:val="26"/>
          <w:szCs w:val="26"/>
        </w:rPr>
        <w:t xml:space="preserve"> case</w:t>
      </w:r>
      <w:r w:rsidR="005E29B2">
        <w:rPr>
          <w:rStyle w:val="FootnoteReference"/>
          <w:rFonts w:ascii="Times New Roman" w:hAnsi="Times New Roman" w:cs="Times New Roman"/>
          <w:sz w:val="26"/>
          <w:szCs w:val="26"/>
        </w:rPr>
        <w:footnoteReference w:id="25"/>
      </w:r>
      <w:r w:rsidR="00BC49C1">
        <w:rPr>
          <w:rFonts w:ascii="Times New Roman" w:hAnsi="Times New Roman" w:cs="Times New Roman"/>
          <w:sz w:val="26"/>
          <w:szCs w:val="26"/>
        </w:rPr>
        <w:t xml:space="preserve"> five years earlier. </w:t>
      </w:r>
      <w:r w:rsidR="00C53172" w:rsidRPr="00BC49C1">
        <w:rPr>
          <w:rFonts w:ascii="Times New Roman" w:hAnsi="Times New Roman" w:cs="Times New Roman"/>
          <w:sz w:val="26"/>
          <w:szCs w:val="26"/>
        </w:rPr>
        <w:t>So</w:t>
      </w:r>
      <w:r w:rsidR="00C53172" w:rsidRPr="007C2E0D">
        <w:rPr>
          <w:rFonts w:ascii="Times New Roman" w:hAnsi="Times New Roman" w:cs="Times New Roman"/>
          <w:sz w:val="26"/>
          <w:szCs w:val="26"/>
        </w:rPr>
        <w:t xml:space="preserve"> far, the Supreme Court has flirted with this idea, admitting its attractions</w:t>
      </w:r>
      <w:r w:rsidR="00BC49C1">
        <w:rPr>
          <w:rFonts w:ascii="Times New Roman" w:hAnsi="Times New Roman" w:cs="Times New Roman"/>
          <w:sz w:val="26"/>
          <w:szCs w:val="26"/>
        </w:rPr>
        <w:t xml:space="preserve"> and accepting that it at least justifies saying that irrationality is more flexible than had been previously thought; however</w:t>
      </w:r>
      <w:r w:rsidR="004539FE">
        <w:rPr>
          <w:rFonts w:ascii="Times New Roman" w:hAnsi="Times New Roman" w:cs="Times New Roman"/>
          <w:sz w:val="26"/>
          <w:szCs w:val="26"/>
        </w:rPr>
        <w:t>,</w:t>
      </w:r>
      <w:r w:rsidR="00BC49C1">
        <w:rPr>
          <w:rFonts w:ascii="Times New Roman" w:hAnsi="Times New Roman" w:cs="Times New Roman"/>
          <w:sz w:val="26"/>
          <w:szCs w:val="26"/>
        </w:rPr>
        <w:t xml:space="preserve"> the Supreme Court has not </w:t>
      </w:r>
      <w:r w:rsidR="0022125A">
        <w:rPr>
          <w:rFonts w:ascii="Times New Roman" w:hAnsi="Times New Roman" w:cs="Times New Roman"/>
          <w:sz w:val="26"/>
          <w:szCs w:val="26"/>
        </w:rPr>
        <w:t xml:space="preserve">formally </w:t>
      </w:r>
      <w:r w:rsidR="00BC49C1">
        <w:rPr>
          <w:rFonts w:ascii="Times New Roman" w:hAnsi="Times New Roman" w:cs="Times New Roman"/>
          <w:sz w:val="26"/>
          <w:szCs w:val="26"/>
        </w:rPr>
        <w:t>changed the law</w:t>
      </w:r>
      <w:r w:rsidR="004539FE">
        <w:rPr>
          <w:rFonts w:ascii="Times New Roman" w:hAnsi="Times New Roman" w:cs="Times New Roman"/>
          <w:sz w:val="26"/>
          <w:szCs w:val="26"/>
        </w:rPr>
        <w:t xml:space="preserve"> – at least not yet</w:t>
      </w:r>
      <w:r w:rsidR="001551FD">
        <w:rPr>
          <w:rStyle w:val="FootnoteReference"/>
          <w:rFonts w:ascii="Times New Roman" w:hAnsi="Times New Roman" w:cs="Times New Roman"/>
          <w:sz w:val="26"/>
          <w:szCs w:val="26"/>
        </w:rPr>
        <w:footnoteReference w:id="26"/>
      </w:r>
      <w:r w:rsidR="00BC49C1">
        <w:rPr>
          <w:rFonts w:ascii="Times New Roman" w:hAnsi="Times New Roman" w:cs="Times New Roman"/>
          <w:sz w:val="26"/>
          <w:szCs w:val="26"/>
        </w:rPr>
        <w:t xml:space="preserve">. </w:t>
      </w:r>
      <w:r w:rsidR="005E29B2">
        <w:rPr>
          <w:rFonts w:ascii="Times New Roman" w:hAnsi="Times New Roman" w:cs="Times New Roman"/>
          <w:sz w:val="26"/>
          <w:szCs w:val="26"/>
        </w:rPr>
        <w:t>Nonetheless</w:t>
      </w:r>
      <w:r w:rsidR="00BC49C1">
        <w:rPr>
          <w:rFonts w:ascii="Times New Roman" w:hAnsi="Times New Roman" w:cs="Times New Roman"/>
          <w:sz w:val="26"/>
          <w:szCs w:val="26"/>
        </w:rPr>
        <w:t>, I think there is considerable f</w:t>
      </w:r>
      <w:r w:rsidR="00C53172" w:rsidRPr="007C2E0D">
        <w:rPr>
          <w:rFonts w:ascii="Times New Roman" w:hAnsi="Times New Roman" w:cs="Times New Roman"/>
          <w:sz w:val="26"/>
          <w:szCs w:val="26"/>
        </w:rPr>
        <w:t xml:space="preserve">orce </w:t>
      </w:r>
      <w:r w:rsidR="00BC49C1">
        <w:rPr>
          <w:rFonts w:ascii="Times New Roman" w:hAnsi="Times New Roman" w:cs="Times New Roman"/>
          <w:sz w:val="26"/>
          <w:szCs w:val="26"/>
        </w:rPr>
        <w:t xml:space="preserve">in the notion </w:t>
      </w:r>
      <w:r w:rsidR="00C53172" w:rsidRPr="007C2E0D">
        <w:rPr>
          <w:rFonts w:ascii="Times New Roman" w:hAnsi="Times New Roman" w:cs="Times New Roman"/>
          <w:sz w:val="26"/>
          <w:szCs w:val="26"/>
        </w:rPr>
        <w:t>that the tides are moving in the John Law</w:t>
      </w:r>
      <w:r w:rsidR="001551FD" w:rsidRPr="007C2E0D">
        <w:rPr>
          <w:rFonts w:ascii="Times New Roman" w:hAnsi="Times New Roman" w:cs="Times New Roman"/>
          <w:sz w:val="26"/>
          <w:szCs w:val="26"/>
        </w:rPr>
        <w:t>s</w:t>
      </w:r>
      <w:r w:rsidR="00C53172" w:rsidRPr="007C2E0D">
        <w:rPr>
          <w:rFonts w:ascii="Times New Roman" w:hAnsi="Times New Roman" w:cs="Times New Roman"/>
          <w:sz w:val="26"/>
          <w:szCs w:val="26"/>
        </w:rPr>
        <w:t xml:space="preserve"> direction, and by 2025, it </w:t>
      </w:r>
      <w:r w:rsidR="004539FE">
        <w:rPr>
          <w:rFonts w:ascii="Times New Roman" w:hAnsi="Times New Roman" w:cs="Times New Roman"/>
          <w:sz w:val="26"/>
          <w:szCs w:val="26"/>
        </w:rPr>
        <w:t>may very well transpire</w:t>
      </w:r>
      <w:r w:rsidR="00C53172" w:rsidRPr="007C2E0D">
        <w:rPr>
          <w:rFonts w:ascii="Times New Roman" w:hAnsi="Times New Roman" w:cs="Times New Roman"/>
          <w:sz w:val="26"/>
          <w:szCs w:val="26"/>
        </w:rPr>
        <w:t xml:space="preserve"> that John was twenty years ahead of his time.</w:t>
      </w:r>
      <w:r w:rsidR="005916EB">
        <w:rPr>
          <w:rFonts w:ascii="Times New Roman" w:hAnsi="Times New Roman" w:cs="Times New Roman"/>
          <w:sz w:val="26"/>
          <w:szCs w:val="26"/>
        </w:rPr>
        <w:t xml:space="preserve"> </w:t>
      </w:r>
    </w:p>
    <w:p w14:paraId="2709FAF0" w14:textId="77777777" w:rsidR="005916EB" w:rsidRPr="005916EB" w:rsidRDefault="005916EB" w:rsidP="005916EB">
      <w:pPr>
        <w:pStyle w:val="ListParagraph"/>
        <w:rPr>
          <w:rFonts w:ascii="Times New Roman" w:hAnsi="Times New Roman" w:cs="Times New Roman"/>
          <w:sz w:val="26"/>
          <w:szCs w:val="26"/>
        </w:rPr>
      </w:pPr>
    </w:p>
    <w:p w14:paraId="3840E519" w14:textId="66C6DD72" w:rsidR="00F952C8" w:rsidRPr="00F952C8" w:rsidRDefault="005916EB" w:rsidP="00F952C8">
      <w:pPr>
        <w:pStyle w:val="ListParagraph"/>
        <w:numPr>
          <w:ilvl w:val="0"/>
          <w:numId w:val="1"/>
        </w:numPr>
        <w:spacing w:line="360" w:lineRule="auto"/>
        <w:jc w:val="both"/>
        <w:rPr>
          <w:rFonts w:ascii="Times New Roman" w:hAnsi="Times New Roman" w:cs="Times New Roman"/>
          <w:sz w:val="26"/>
          <w:szCs w:val="26"/>
        </w:rPr>
      </w:pPr>
      <w:r w:rsidRPr="003057F0">
        <w:rPr>
          <w:rFonts w:ascii="Times New Roman" w:hAnsi="Times New Roman" w:cs="Times New Roman"/>
          <w:sz w:val="26"/>
          <w:szCs w:val="26"/>
        </w:rPr>
        <w:t>In taking this course, John was doing something which was characteristically typical and inspired. I have already described it as revolutionary, but it was also, paradoxically, in the best traditions of the common law</w:t>
      </w:r>
      <w:r w:rsidR="00461DA3">
        <w:rPr>
          <w:rFonts w:ascii="Times New Roman" w:hAnsi="Times New Roman" w:cs="Times New Roman"/>
          <w:sz w:val="26"/>
          <w:szCs w:val="26"/>
        </w:rPr>
        <w:t xml:space="preserve">, whose unique combination of practicality, adaptability and principle has ensured that it continues to flourish in many jurisdictions as well as dominating the international commercial world. </w:t>
      </w:r>
      <w:r w:rsidR="00601888">
        <w:rPr>
          <w:rFonts w:ascii="Times New Roman" w:hAnsi="Times New Roman" w:cs="Times New Roman"/>
          <w:sz w:val="26"/>
          <w:szCs w:val="26"/>
        </w:rPr>
        <w:t>One</w:t>
      </w:r>
      <w:r w:rsidR="00360113" w:rsidRPr="003057F0">
        <w:rPr>
          <w:rFonts w:ascii="Times New Roman" w:hAnsi="Times New Roman" w:cs="Times New Roman"/>
          <w:sz w:val="26"/>
          <w:szCs w:val="26"/>
        </w:rPr>
        <w:t xml:space="preserve"> does not have to go back to the </w:t>
      </w:r>
      <w:r w:rsidR="005E29B2">
        <w:rPr>
          <w:rFonts w:ascii="Times New Roman" w:hAnsi="Times New Roman" w:cs="Times New Roman"/>
          <w:sz w:val="26"/>
          <w:szCs w:val="26"/>
        </w:rPr>
        <w:t xml:space="preserve">Norman Conquest or the Ecclesiastic </w:t>
      </w:r>
      <w:r w:rsidR="000C13AE">
        <w:rPr>
          <w:rFonts w:ascii="Times New Roman" w:hAnsi="Times New Roman" w:cs="Times New Roman"/>
          <w:sz w:val="26"/>
          <w:szCs w:val="26"/>
        </w:rPr>
        <w:t>Courts</w:t>
      </w:r>
      <w:r w:rsidR="00360113" w:rsidRPr="003057F0">
        <w:rPr>
          <w:rFonts w:ascii="Times New Roman" w:hAnsi="Times New Roman" w:cs="Times New Roman"/>
          <w:sz w:val="26"/>
          <w:szCs w:val="26"/>
        </w:rPr>
        <w:t xml:space="preserve"> to see</w:t>
      </w:r>
      <w:r w:rsidR="003057F0">
        <w:rPr>
          <w:rFonts w:ascii="Times New Roman" w:hAnsi="Times New Roman" w:cs="Times New Roman"/>
          <w:sz w:val="26"/>
          <w:szCs w:val="26"/>
        </w:rPr>
        <w:t xml:space="preserve"> how the common law adopted ideas and concepts from other systems. </w:t>
      </w:r>
      <w:r w:rsidR="00360113" w:rsidRPr="003057F0">
        <w:rPr>
          <w:rFonts w:ascii="Times New Roman" w:hAnsi="Times New Roman" w:cs="Times New Roman"/>
          <w:sz w:val="26"/>
          <w:szCs w:val="26"/>
        </w:rPr>
        <w:t xml:space="preserve">Many of the innovations which served to justify the great Lord Mansfield’s reputation as </w:t>
      </w:r>
      <w:r w:rsidR="00360113" w:rsidRPr="003057F0">
        <w:rPr>
          <w:rFonts w:ascii="Times New Roman" w:hAnsi="Times New Roman" w:cs="Times New Roman"/>
          <w:i/>
          <w:iCs/>
          <w:sz w:val="26"/>
          <w:szCs w:val="26"/>
        </w:rPr>
        <w:t>“the founder of commercial law of this country</w:t>
      </w:r>
      <w:r w:rsidR="00360113" w:rsidRPr="003057F0">
        <w:rPr>
          <w:rFonts w:ascii="Times New Roman" w:hAnsi="Times New Roman" w:cs="Times New Roman"/>
          <w:sz w:val="26"/>
          <w:szCs w:val="26"/>
        </w:rPr>
        <w:t>”</w:t>
      </w:r>
      <w:r w:rsidR="00360113">
        <w:rPr>
          <w:rStyle w:val="FootnoteReference"/>
          <w:rFonts w:ascii="Times New Roman" w:hAnsi="Times New Roman" w:cs="Times New Roman"/>
          <w:sz w:val="26"/>
          <w:szCs w:val="26"/>
        </w:rPr>
        <w:footnoteReference w:id="27"/>
      </w:r>
      <w:r w:rsidR="00360113" w:rsidRPr="003057F0">
        <w:rPr>
          <w:rFonts w:ascii="Times New Roman" w:hAnsi="Times New Roman" w:cs="Times New Roman"/>
          <w:sz w:val="26"/>
          <w:szCs w:val="26"/>
        </w:rPr>
        <w:t>, were based on mainland European civilian law, the lex mercatoria</w:t>
      </w:r>
      <w:r w:rsidR="00360113">
        <w:rPr>
          <w:rStyle w:val="FootnoteReference"/>
          <w:rFonts w:ascii="Times New Roman" w:hAnsi="Times New Roman" w:cs="Times New Roman"/>
          <w:sz w:val="26"/>
          <w:szCs w:val="26"/>
        </w:rPr>
        <w:footnoteReference w:id="28"/>
      </w:r>
      <w:r w:rsidR="00360113">
        <w:t>.</w:t>
      </w:r>
    </w:p>
    <w:p w14:paraId="2CA1BCF6" w14:textId="77777777" w:rsidR="00F952C8" w:rsidRPr="00F952C8" w:rsidRDefault="00F952C8" w:rsidP="00F952C8">
      <w:pPr>
        <w:pStyle w:val="ListParagraph"/>
        <w:rPr>
          <w:rFonts w:ascii="Times New Roman" w:hAnsi="Times New Roman" w:cs="Times New Roman"/>
          <w:sz w:val="26"/>
          <w:szCs w:val="26"/>
        </w:rPr>
      </w:pPr>
    </w:p>
    <w:p w14:paraId="6FAD1B26" w14:textId="63A053C3" w:rsidR="00757116" w:rsidRPr="008157A7" w:rsidRDefault="00750EDE" w:rsidP="00314C37">
      <w:pPr>
        <w:pStyle w:val="ListParagraph"/>
        <w:numPr>
          <w:ilvl w:val="0"/>
          <w:numId w:val="1"/>
        </w:numPr>
        <w:spacing w:line="360" w:lineRule="auto"/>
        <w:jc w:val="both"/>
        <w:rPr>
          <w:rFonts w:ascii="Times New Roman" w:hAnsi="Times New Roman" w:cs="Times New Roman"/>
          <w:sz w:val="26"/>
          <w:szCs w:val="26"/>
        </w:rPr>
      </w:pPr>
      <w:r w:rsidRPr="008157A7">
        <w:rPr>
          <w:rFonts w:ascii="Times New Roman" w:hAnsi="Times New Roman" w:cs="Times New Roman"/>
          <w:sz w:val="26"/>
          <w:szCs w:val="26"/>
        </w:rPr>
        <w:t>In th</w:t>
      </w:r>
      <w:r w:rsidR="003057F0" w:rsidRPr="008157A7">
        <w:rPr>
          <w:rFonts w:ascii="Times New Roman" w:hAnsi="Times New Roman" w:cs="Times New Roman"/>
          <w:sz w:val="26"/>
          <w:szCs w:val="26"/>
        </w:rPr>
        <w:t xml:space="preserve">e 2008 </w:t>
      </w:r>
      <w:r w:rsidR="003057F0" w:rsidRPr="008157A7">
        <w:rPr>
          <w:rFonts w:ascii="Times New Roman" w:hAnsi="Times New Roman" w:cs="Times New Roman"/>
          <w:sz w:val="26"/>
          <w:szCs w:val="26"/>
          <w:u w:val="single"/>
        </w:rPr>
        <w:t xml:space="preserve">Bhatt </w:t>
      </w:r>
      <w:r w:rsidR="00F952C8" w:rsidRPr="008157A7">
        <w:rPr>
          <w:rFonts w:ascii="Times New Roman" w:hAnsi="Times New Roman" w:cs="Times New Roman"/>
          <w:sz w:val="26"/>
          <w:szCs w:val="26"/>
          <w:u w:val="single"/>
        </w:rPr>
        <w:t>M</w:t>
      </w:r>
      <w:r w:rsidR="003057F0" w:rsidRPr="008157A7">
        <w:rPr>
          <w:rFonts w:ascii="Times New Roman" w:hAnsi="Times New Roman" w:cs="Times New Roman"/>
          <w:sz w:val="26"/>
          <w:szCs w:val="26"/>
          <w:u w:val="single"/>
        </w:rPr>
        <w:t>urph</w:t>
      </w:r>
      <w:r w:rsidR="00F952C8" w:rsidRPr="008157A7">
        <w:rPr>
          <w:rFonts w:ascii="Times New Roman" w:hAnsi="Times New Roman" w:cs="Times New Roman"/>
          <w:sz w:val="26"/>
          <w:szCs w:val="26"/>
          <w:u w:val="single"/>
        </w:rPr>
        <w:t>y</w:t>
      </w:r>
      <w:r w:rsidR="00F952C8" w:rsidRPr="008157A7">
        <w:rPr>
          <w:rFonts w:ascii="Times New Roman" w:hAnsi="Times New Roman" w:cs="Times New Roman"/>
          <w:sz w:val="26"/>
          <w:szCs w:val="26"/>
        </w:rPr>
        <w:t xml:space="preserve"> case</w:t>
      </w:r>
      <w:r w:rsidRPr="008157A7">
        <w:rPr>
          <w:rFonts w:ascii="Times New Roman" w:hAnsi="Times New Roman" w:cs="Times New Roman"/>
          <w:sz w:val="26"/>
          <w:szCs w:val="26"/>
        </w:rPr>
        <w:t>, having</w:t>
      </w:r>
      <w:r w:rsidR="00F952C8" w:rsidRPr="008157A7">
        <w:rPr>
          <w:rFonts w:ascii="Times New Roman" w:hAnsi="Times New Roman" w:cs="Times New Roman"/>
          <w:sz w:val="26"/>
          <w:szCs w:val="26"/>
        </w:rPr>
        <w:t xml:space="preserve"> </w:t>
      </w:r>
      <w:r w:rsidR="009433BA" w:rsidRPr="008157A7">
        <w:rPr>
          <w:rFonts w:ascii="Times New Roman" w:hAnsi="Times New Roman" w:cs="Times New Roman"/>
          <w:sz w:val="26"/>
          <w:szCs w:val="26"/>
        </w:rPr>
        <w:t>re</w:t>
      </w:r>
      <w:r w:rsidRPr="008157A7">
        <w:rPr>
          <w:rFonts w:ascii="Times New Roman" w:hAnsi="Times New Roman" w:cs="Times New Roman"/>
          <w:sz w:val="26"/>
          <w:szCs w:val="26"/>
        </w:rPr>
        <w:t>iterated</w:t>
      </w:r>
      <w:r w:rsidR="0050045F" w:rsidRPr="008157A7">
        <w:rPr>
          <w:rFonts w:ascii="Times New Roman" w:hAnsi="Times New Roman" w:cs="Times New Roman"/>
          <w:sz w:val="26"/>
          <w:szCs w:val="26"/>
        </w:rPr>
        <w:t xml:space="preserve"> the important </w:t>
      </w:r>
      <w:r w:rsidR="009433BA" w:rsidRPr="008157A7">
        <w:rPr>
          <w:rFonts w:ascii="Times New Roman" w:hAnsi="Times New Roman" w:cs="Times New Roman"/>
          <w:sz w:val="26"/>
          <w:szCs w:val="26"/>
        </w:rPr>
        <w:t>role of proportionality in legitimate expectation cases</w:t>
      </w:r>
      <w:r w:rsidR="009433BA">
        <w:rPr>
          <w:rStyle w:val="FootnoteReference"/>
          <w:rFonts w:ascii="Times New Roman" w:hAnsi="Times New Roman" w:cs="Times New Roman"/>
          <w:sz w:val="26"/>
          <w:szCs w:val="26"/>
        </w:rPr>
        <w:footnoteReference w:id="29"/>
      </w:r>
      <w:r w:rsidRPr="008157A7">
        <w:rPr>
          <w:rFonts w:ascii="Times New Roman" w:hAnsi="Times New Roman" w:cs="Times New Roman"/>
          <w:sz w:val="26"/>
          <w:szCs w:val="26"/>
        </w:rPr>
        <w:t>,</w:t>
      </w:r>
      <w:r w:rsidR="009433BA" w:rsidRPr="008157A7">
        <w:rPr>
          <w:rFonts w:ascii="Times New Roman" w:hAnsi="Times New Roman" w:cs="Times New Roman"/>
          <w:sz w:val="26"/>
          <w:szCs w:val="26"/>
        </w:rPr>
        <w:t xml:space="preserve"> John </w:t>
      </w:r>
      <w:r w:rsidR="00D07075">
        <w:rPr>
          <w:rFonts w:ascii="Times New Roman" w:hAnsi="Times New Roman" w:cs="Times New Roman"/>
          <w:sz w:val="26"/>
          <w:szCs w:val="26"/>
        </w:rPr>
        <w:t>said</w:t>
      </w:r>
      <w:r w:rsidR="000C13AE">
        <w:rPr>
          <w:rFonts w:ascii="Times New Roman" w:hAnsi="Times New Roman" w:cs="Times New Roman"/>
          <w:sz w:val="26"/>
          <w:szCs w:val="26"/>
        </w:rPr>
        <w:t xml:space="preserve"> that</w:t>
      </w:r>
      <w:r w:rsidR="008157A7" w:rsidRPr="008157A7">
        <w:rPr>
          <w:rFonts w:ascii="Times New Roman" w:hAnsi="Times New Roman" w:cs="Times New Roman"/>
          <w:sz w:val="26"/>
          <w:szCs w:val="26"/>
        </w:rPr>
        <w:t xml:space="preserve"> a </w:t>
      </w:r>
      <w:r w:rsidR="000C13AE">
        <w:rPr>
          <w:rFonts w:ascii="Times New Roman" w:hAnsi="Times New Roman" w:cs="Times New Roman"/>
          <w:sz w:val="26"/>
          <w:szCs w:val="26"/>
        </w:rPr>
        <w:t xml:space="preserve">legitimate expectation claim would only succeed if it could be shown that </w:t>
      </w:r>
      <w:r w:rsidR="008157A7" w:rsidRPr="008157A7">
        <w:rPr>
          <w:rFonts w:ascii="Times New Roman" w:hAnsi="Times New Roman" w:cs="Times New Roman"/>
          <w:sz w:val="26"/>
          <w:szCs w:val="26"/>
        </w:rPr>
        <w:t>public body</w:t>
      </w:r>
      <w:r w:rsidR="000C13AE">
        <w:rPr>
          <w:rFonts w:ascii="Times New Roman" w:hAnsi="Times New Roman" w:cs="Times New Roman"/>
          <w:sz w:val="26"/>
          <w:szCs w:val="26"/>
        </w:rPr>
        <w:t xml:space="preserve"> was proposing </w:t>
      </w:r>
      <w:r w:rsidR="009433BA" w:rsidRPr="008157A7">
        <w:rPr>
          <w:rFonts w:ascii="Times New Roman" w:hAnsi="Times New Roman" w:cs="Times New Roman"/>
          <w:sz w:val="26"/>
          <w:szCs w:val="26"/>
        </w:rPr>
        <w:t>“</w:t>
      </w:r>
      <w:r w:rsidR="009433BA" w:rsidRPr="008157A7">
        <w:rPr>
          <w:rFonts w:ascii="Times New Roman" w:hAnsi="Times New Roman" w:cs="Times New Roman"/>
          <w:i/>
          <w:iCs/>
          <w:sz w:val="26"/>
          <w:szCs w:val="26"/>
        </w:rPr>
        <w:t>to act so unfairly as to perpetrate an abuse of power</w:t>
      </w:r>
      <w:r w:rsidR="009433BA" w:rsidRPr="008157A7">
        <w:rPr>
          <w:rFonts w:ascii="Times New Roman" w:hAnsi="Times New Roman" w:cs="Times New Roman"/>
          <w:sz w:val="26"/>
          <w:szCs w:val="26"/>
        </w:rPr>
        <w:t>”.</w:t>
      </w:r>
      <w:r w:rsidR="009433BA">
        <w:rPr>
          <w:rStyle w:val="FootnoteReference"/>
          <w:rFonts w:ascii="Times New Roman" w:hAnsi="Times New Roman" w:cs="Times New Roman"/>
          <w:sz w:val="26"/>
          <w:szCs w:val="26"/>
        </w:rPr>
        <w:footnoteReference w:id="30"/>
      </w:r>
      <w:r w:rsidR="008157A7" w:rsidRPr="008157A7">
        <w:rPr>
          <w:rFonts w:ascii="Times New Roman" w:hAnsi="Times New Roman" w:cs="Times New Roman"/>
          <w:sz w:val="26"/>
          <w:szCs w:val="26"/>
        </w:rPr>
        <w:t xml:space="preserve"> </w:t>
      </w:r>
      <w:r w:rsidR="000C13AE">
        <w:rPr>
          <w:rFonts w:ascii="Times New Roman" w:hAnsi="Times New Roman" w:cs="Times New Roman"/>
          <w:sz w:val="26"/>
          <w:szCs w:val="26"/>
        </w:rPr>
        <w:t>Accordingly</w:t>
      </w:r>
      <w:r w:rsidR="008157A7" w:rsidRPr="008157A7">
        <w:rPr>
          <w:rFonts w:ascii="Times New Roman" w:hAnsi="Times New Roman" w:cs="Times New Roman"/>
          <w:sz w:val="26"/>
          <w:szCs w:val="26"/>
        </w:rPr>
        <w:t xml:space="preserve">, </w:t>
      </w:r>
      <w:r w:rsidR="00D07075">
        <w:rPr>
          <w:rFonts w:ascii="Times New Roman" w:hAnsi="Times New Roman" w:cs="Times New Roman"/>
          <w:sz w:val="26"/>
          <w:szCs w:val="26"/>
        </w:rPr>
        <w:t>he</w:t>
      </w:r>
      <w:r w:rsidR="00DF495B" w:rsidRPr="008157A7">
        <w:rPr>
          <w:rFonts w:ascii="Times New Roman" w:hAnsi="Times New Roman" w:cs="Times New Roman"/>
          <w:sz w:val="26"/>
          <w:szCs w:val="26"/>
        </w:rPr>
        <w:t xml:space="preserve"> made it clear that the principle could not </w:t>
      </w:r>
      <w:r w:rsidR="009433BA" w:rsidRPr="008157A7">
        <w:rPr>
          <w:rFonts w:ascii="Times New Roman" w:hAnsi="Times New Roman" w:cs="Times New Roman"/>
          <w:sz w:val="26"/>
          <w:szCs w:val="26"/>
        </w:rPr>
        <w:t>apply in every case where a public authority changed tack</w:t>
      </w:r>
      <w:r w:rsidR="009433BA">
        <w:rPr>
          <w:rStyle w:val="FootnoteReference"/>
          <w:rFonts w:ascii="Times New Roman" w:hAnsi="Times New Roman" w:cs="Times New Roman"/>
          <w:sz w:val="26"/>
          <w:szCs w:val="26"/>
        </w:rPr>
        <w:footnoteReference w:id="31"/>
      </w:r>
      <w:r w:rsidR="009433BA" w:rsidRPr="008157A7">
        <w:rPr>
          <w:rFonts w:ascii="Times New Roman" w:hAnsi="Times New Roman" w:cs="Times New Roman"/>
          <w:sz w:val="26"/>
          <w:szCs w:val="26"/>
        </w:rPr>
        <w:t>, a view which was</w:t>
      </w:r>
      <w:r w:rsidR="000C13AE">
        <w:rPr>
          <w:rFonts w:ascii="Times New Roman" w:hAnsi="Times New Roman" w:cs="Times New Roman"/>
          <w:sz w:val="26"/>
          <w:szCs w:val="26"/>
        </w:rPr>
        <w:t xml:space="preserve"> subsequently</w:t>
      </w:r>
      <w:r w:rsidR="009433BA" w:rsidRPr="008157A7">
        <w:rPr>
          <w:rFonts w:ascii="Times New Roman" w:hAnsi="Times New Roman" w:cs="Times New Roman"/>
          <w:sz w:val="26"/>
          <w:szCs w:val="26"/>
        </w:rPr>
        <w:t xml:space="preserve"> quoted with approval by the Supreme Court</w:t>
      </w:r>
      <w:r w:rsidR="009433BA">
        <w:rPr>
          <w:rStyle w:val="FootnoteReference"/>
          <w:rFonts w:ascii="Times New Roman" w:hAnsi="Times New Roman" w:cs="Times New Roman"/>
          <w:sz w:val="26"/>
          <w:szCs w:val="26"/>
        </w:rPr>
        <w:footnoteReference w:id="32"/>
      </w:r>
      <w:r w:rsidR="009433BA" w:rsidRPr="008157A7">
        <w:rPr>
          <w:rFonts w:ascii="Times New Roman" w:hAnsi="Times New Roman" w:cs="Times New Roman"/>
          <w:sz w:val="26"/>
          <w:szCs w:val="26"/>
        </w:rPr>
        <w:t xml:space="preserve">. Similarly, </w:t>
      </w:r>
      <w:r w:rsidR="00D07075">
        <w:rPr>
          <w:rFonts w:ascii="Times New Roman" w:hAnsi="Times New Roman" w:cs="Times New Roman"/>
          <w:sz w:val="26"/>
          <w:szCs w:val="26"/>
        </w:rPr>
        <w:t>John’</w:t>
      </w:r>
      <w:r w:rsidR="009433BA" w:rsidRPr="008157A7">
        <w:rPr>
          <w:rFonts w:ascii="Times New Roman" w:hAnsi="Times New Roman" w:cs="Times New Roman"/>
          <w:sz w:val="26"/>
          <w:szCs w:val="26"/>
        </w:rPr>
        <w:t>s</w:t>
      </w:r>
      <w:r w:rsidR="00DF495B" w:rsidRPr="008157A7">
        <w:rPr>
          <w:rFonts w:ascii="Times New Roman" w:hAnsi="Times New Roman" w:cs="Times New Roman"/>
          <w:sz w:val="26"/>
          <w:szCs w:val="26"/>
        </w:rPr>
        <w:t xml:space="preserve">  proposition in that case that “</w:t>
      </w:r>
      <w:r w:rsidR="00DF495B" w:rsidRPr="008157A7">
        <w:rPr>
          <w:rFonts w:ascii="Times New Roman" w:hAnsi="Times New Roman" w:cs="Times New Roman"/>
          <w:i/>
          <w:iCs/>
          <w:sz w:val="26"/>
          <w:szCs w:val="26"/>
        </w:rPr>
        <w:t>the promise or practice…must constitute a specific undertaking, directed at a particular individual or group, by which the relevant policy</w:t>
      </w:r>
      <w:r w:rsidR="00436EB7" w:rsidRPr="008157A7">
        <w:rPr>
          <w:rFonts w:ascii="Times New Roman" w:hAnsi="Times New Roman" w:cs="Times New Roman"/>
          <w:i/>
          <w:iCs/>
          <w:sz w:val="26"/>
          <w:szCs w:val="26"/>
        </w:rPr>
        <w:t>’</w:t>
      </w:r>
      <w:r w:rsidR="00DF495B" w:rsidRPr="008157A7">
        <w:rPr>
          <w:rFonts w:ascii="Times New Roman" w:hAnsi="Times New Roman" w:cs="Times New Roman"/>
          <w:i/>
          <w:iCs/>
          <w:sz w:val="26"/>
          <w:szCs w:val="26"/>
        </w:rPr>
        <w:t>s continuance is assured</w:t>
      </w:r>
      <w:r w:rsidR="00DF495B" w:rsidRPr="008157A7">
        <w:rPr>
          <w:rFonts w:ascii="Times New Roman" w:hAnsi="Times New Roman" w:cs="Times New Roman"/>
          <w:sz w:val="26"/>
          <w:szCs w:val="26"/>
        </w:rPr>
        <w:t>”</w:t>
      </w:r>
      <w:r w:rsidR="00DF495B">
        <w:rPr>
          <w:rStyle w:val="FootnoteReference"/>
          <w:rFonts w:ascii="Times New Roman" w:hAnsi="Times New Roman" w:cs="Times New Roman"/>
          <w:sz w:val="26"/>
          <w:szCs w:val="26"/>
        </w:rPr>
        <w:footnoteReference w:id="33"/>
      </w:r>
      <w:r w:rsidR="00DF495B" w:rsidRPr="008157A7">
        <w:rPr>
          <w:rFonts w:ascii="Times New Roman" w:hAnsi="Times New Roman" w:cs="Times New Roman"/>
          <w:sz w:val="26"/>
          <w:szCs w:val="26"/>
        </w:rPr>
        <w:t xml:space="preserve"> was </w:t>
      </w:r>
      <w:r w:rsidR="009433BA" w:rsidRPr="008157A7">
        <w:rPr>
          <w:rFonts w:ascii="Times New Roman" w:hAnsi="Times New Roman" w:cs="Times New Roman"/>
          <w:sz w:val="26"/>
          <w:szCs w:val="26"/>
        </w:rPr>
        <w:t>endorsed</w:t>
      </w:r>
      <w:r w:rsidR="00DF495B" w:rsidRPr="008157A7">
        <w:rPr>
          <w:rFonts w:ascii="Times New Roman" w:hAnsi="Times New Roman" w:cs="Times New Roman"/>
          <w:sz w:val="26"/>
          <w:szCs w:val="26"/>
        </w:rPr>
        <w:t xml:space="preserve"> by the Supreme Court</w:t>
      </w:r>
      <w:r w:rsidR="00DF495B">
        <w:rPr>
          <w:rStyle w:val="FootnoteReference"/>
          <w:rFonts w:ascii="Times New Roman" w:hAnsi="Times New Roman" w:cs="Times New Roman"/>
          <w:sz w:val="26"/>
          <w:szCs w:val="26"/>
        </w:rPr>
        <w:footnoteReference w:id="34"/>
      </w:r>
      <w:r w:rsidR="008E6A42" w:rsidRPr="008157A7">
        <w:rPr>
          <w:rFonts w:ascii="Times New Roman" w:hAnsi="Times New Roman" w:cs="Times New Roman"/>
          <w:sz w:val="26"/>
          <w:szCs w:val="26"/>
        </w:rPr>
        <w:t>.</w:t>
      </w:r>
    </w:p>
    <w:p w14:paraId="4761755D" w14:textId="77777777" w:rsidR="007E568D" w:rsidRPr="007E568D" w:rsidRDefault="007E568D" w:rsidP="007E568D">
      <w:pPr>
        <w:pStyle w:val="ListParagraph"/>
        <w:rPr>
          <w:rFonts w:ascii="Times New Roman" w:hAnsi="Times New Roman" w:cs="Times New Roman"/>
          <w:sz w:val="26"/>
          <w:szCs w:val="26"/>
        </w:rPr>
      </w:pPr>
    </w:p>
    <w:p w14:paraId="4B5CEF9F" w14:textId="414BF22C" w:rsidR="007E568D" w:rsidRDefault="00894F34" w:rsidP="00757116">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Shortly after he became</w:t>
      </w:r>
      <w:r w:rsidR="00D07075">
        <w:rPr>
          <w:rFonts w:ascii="Times New Roman" w:hAnsi="Times New Roman" w:cs="Times New Roman"/>
          <w:sz w:val="26"/>
          <w:szCs w:val="26"/>
        </w:rPr>
        <w:t xml:space="preserve"> a Judge, John had raised t</w:t>
      </w:r>
      <w:r w:rsidR="007E568D">
        <w:rPr>
          <w:rFonts w:ascii="Times New Roman" w:hAnsi="Times New Roman" w:cs="Times New Roman"/>
          <w:sz w:val="26"/>
          <w:szCs w:val="26"/>
        </w:rPr>
        <w:t xml:space="preserve">he notion that the common law could be informed by human rights law as developed by the Strasbourg court, </w:t>
      </w:r>
      <w:r w:rsidR="00D07075">
        <w:rPr>
          <w:rFonts w:ascii="Times New Roman" w:hAnsi="Times New Roman" w:cs="Times New Roman"/>
          <w:sz w:val="26"/>
          <w:szCs w:val="26"/>
        </w:rPr>
        <w:t xml:space="preserve">in a 1993 article In </w:t>
      </w:r>
      <w:r w:rsidR="00D07075">
        <w:rPr>
          <w:rFonts w:ascii="Times New Roman" w:hAnsi="Times New Roman" w:cs="Times New Roman"/>
          <w:sz w:val="26"/>
          <w:szCs w:val="26"/>
          <w:u w:val="single"/>
        </w:rPr>
        <w:t>Public Law</w:t>
      </w:r>
      <w:r w:rsidR="007E568D" w:rsidRPr="007E568D">
        <w:rPr>
          <w:rStyle w:val="FootnoteReference"/>
          <w:rFonts w:ascii="Times New Roman" w:hAnsi="Times New Roman" w:cs="Times New Roman"/>
          <w:sz w:val="26"/>
          <w:szCs w:val="26"/>
        </w:rPr>
        <w:footnoteReference w:id="35"/>
      </w:r>
      <w:r w:rsidR="007E568D">
        <w:rPr>
          <w:rFonts w:ascii="Times New Roman" w:hAnsi="Times New Roman" w:cs="Times New Roman"/>
          <w:sz w:val="26"/>
          <w:szCs w:val="26"/>
        </w:rPr>
        <w:t>. He suggested that if the common law was more receptive in this way, there would be no need to incorporate the</w:t>
      </w:r>
      <w:r w:rsidR="00D07075">
        <w:rPr>
          <w:rFonts w:ascii="Times New Roman" w:hAnsi="Times New Roman" w:cs="Times New Roman"/>
          <w:sz w:val="26"/>
          <w:szCs w:val="26"/>
        </w:rPr>
        <w:t xml:space="preserve"> </w:t>
      </w:r>
      <w:r w:rsidR="007E568D">
        <w:rPr>
          <w:rFonts w:ascii="Times New Roman" w:hAnsi="Times New Roman" w:cs="Times New Roman"/>
          <w:sz w:val="26"/>
          <w:szCs w:val="26"/>
        </w:rPr>
        <w:t xml:space="preserve">Convention into UK law as was done five years later </w:t>
      </w:r>
      <w:r w:rsidR="004539FE">
        <w:rPr>
          <w:rFonts w:ascii="Times New Roman" w:hAnsi="Times New Roman" w:cs="Times New Roman"/>
          <w:sz w:val="26"/>
          <w:szCs w:val="26"/>
        </w:rPr>
        <w:t>through</w:t>
      </w:r>
      <w:r w:rsidR="007E568D">
        <w:rPr>
          <w:rFonts w:ascii="Times New Roman" w:hAnsi="Times New Roman" w:cs="Times New Roman"/>
          <w:sz w:val="26"/>
          <w:szCs w:val="26"/>
        </w:rPr>
        <w:t xml:space="preserve"> the HRA. In that article, he referred to proportionality as </w:t>
      </w:r>
      <w:r w:rsidR="007E568D" w:rsidRPr="007E568D">
        <w:rPr>
          <w:rFonts w:ascii="Times New Roman" w:hAnsi="Times New Roman" w:cs="Times New Roman"/>
          <w:sz w:val="26"/>
          <w:szCs w:val="26"/>
        </w:rPr>
        <w:t xml:space="preserve"> “</w:t>
      </w:r>
      <w:r w:rsidR="007E568D" w:rsidRPr="007E568D">
        <w:rPr>
          <w:rFonts w:ascii="Times New Roman" w:hAnsi="Times New Roman" w:cs="Times New Roman"/>
          <w:i/>
          <w:iCs/>
          <w:sz w:val="26"/>
          <w:szCs w:val="26"/>
        </w:rPr>
        <w:t>a ready-made tool in our hands</w:t>
      </w:r>
      <w:r w:rsidR="007E568D" w:rsidRPr="007E568D">
        <w:rPr>
          <w:rFonts w:ascii="Times New Roman" w:hAnsi="Times New Roman" w:cs="Times New Roman"/>
          <w:sz w:val="26"/>
          <w:szCs w:val="26"/>
        </w:rPr>
        <w:t>” for use in public law</w:t>
      </w:r>
      <w:r w:rsidR="007E568D">
        <w:rPr>
          <w:rFonts w:ascii="Times New Roman" w:hAnsi="Times New Roman" w:cs="Times New Roman"/>
          <w:sz w:val="26"/>
          <w:szCs w:val="26"/>
        </w:rPr>
        <w:t xml:space="preserve">. </w:t>
      </w:r>
      <w:r w:rsidR="0092681C">
        <w:rPr>
          <w:rFonts w:ascii="Times New Roman" w:hAnsi="Times New Roman" w:cs="Times New Roman"/>
          <w:sz w:val="26"/>
          <w:szCs w:val="26"/>
        </w:rPr>
        <w:t>However, when</w:t>
      </w:r>
      <w:r w:rsidR="00F07DCE">
        <w:rPr>
          <w:rFonts w:ascii="Times New Roman" w:hAnsi="Times New Roman" w:cs="Times New Roman"/>
          <w:sz w:val="26"/>
          <w:szCs w:val="26"/>
        </w:rPr>
        <w:t xml:space="preserve"> the HRA came into force</w:t>
      </w:r>
      <w:r w:rsidR="00EE103C">
        <w:rPr>
          <w:rFonts w:ascii="Times New Roman" w:hAnsi="Times New Roman" w:cs="Times New Roman"/>
          <w:sz w:val="26"/>
          <w:szCs w:val="26"/>
        </w:rPr>
        <w:t>, no judge was more impressive than John when it came to explaining the principles of the Convention and incorporating them  into domestic law.</w:t>
      </w:r>
      <w:r w:rsidR="00694FCA">
        <w:rPr>
          <w:rFonts w:ascii="Times New Roman" w:hAnsi="Times New Roman" w:cs="Times New Roman"/>
          <w:sz w:val="26"/>
          <w:szCs w:val="26"/>
        </w:rPr>
        <w:t xml:space="preserve"> </w:t>
      </w:r>
    </w:p>
    <w:p w14:paraId="059011A3" w14:textId="77777777" w:rsidR="00303F5B" w:rsidRPr="00303F5B" w:rsidRDefault="00303F5B" w:rsidP="00303F5B">
      <w:pPr>
        <w:pStyle w:val="ListParagraph"/>
        <w:rPr>
          <w:rFonts w:ascii="Times New Roman" w:hAnsi="Times New Roman" w:cs="Times New Roman"/>
          <w:sz w:val="26"/>
          <w:szCs w:val="26"/>
        </w:rPr>
      </w:pPr>
    </w:p>
    <w:p w14:paraId="3F341946" w14:textId="4CD35F87" w:rsidR="00303F5B" w:rsidRPr="008157A7" w:rsidRDefault="00894F34" w:rsidP="00042D48">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Thus, i</w:t>
      </w:r>
      <w:r w:rsidR="00303F5B" w:rsidRPr="008157A7">
        <w:rPr>
          <w:rFonts w:ascii="Times New Roman" w:hAnsi="Times New Roman" w:cs="Times New Roman"/>
          <w:sz w:val="26"/>
          <w:szCs w:val="26"/>
        </w:rPr>
        <w:t xml:space="preserve">n the 2007 </w:t>
      </w:r>
      <w:r w:rsidR="00303F5B" w:rsidRPr="008157A7">
        <w:rPr>
          <w:rFonts w:ascii="Times New Roman" w:hAnsi="Times New Roman" w:cs="Times New Roman"/>
          <w:sz w:val="26"/>
          <w:szCs w:val="26"/>
          <w:u w:val="single"/>
        </w:rPr>
        <w:t>Al Rawi</w:t>
      </w:r>
      <w:r w:rsidR="00303F5B" w:rsidRPr="008157A7">
        <w:rPr>
          <w:rFonts w:ascii="Times New Roman" w:hAnsi="Times New Roman" w:cs="Times New Roman"/>
          <w:sz w:val="26"/>
          <w:szCs w:val="26"/>
        </w:rPr>
        <w:t xml:space="preserve"> case</w:t>
      </w:r>
      <w:r w:rsidR="00303F5B">
        <w:rPr>
          <w:rStyle w:val="FootnoteReference"/>
          <w:rFonts w:ascii="Times New Roman" w:hAnsi="Times New Roman" w:cs="Times New Roman"/>
          <w:sz w:val="26"/>
          <w:szCs w:val="26"/>
        </w:rPr>
        <w:footnoteReference w:id="36"/>
      </w:r>
      <w:r w:rsidR="00303F5B" w:rsidRPr="008157A7">
        <w:rPr>
          <w:rFonts w:ascii="Times New Roman" w:hAnsi="Times New Roman" w:cs="Times New Roman"/>
          <w:sz w:val="26"/>
          <w:szCs w:val="26"/>
        </w:rPr>
        <w:t>, John said this:</w:t>
      </w:r>
    </w:p>
    <w:p w14:paraId="2A98B3BD" w14:textId="2E6CF208" w:rsidR="00303F5B" w:rsidRDefault="00303F5B" w:rsidP="00303F5B">
      <w:pPr>
        <w:spacing w:line="276" w:lineRule="auto"/>
        <w:ind w:left="1440"/>
        <w:jc w:val="both"/>
        <w:rPr>
          <w:rFonts w:ascii="Times New Roman" w:hAnsi="Times New Roman" w:cs="Times New Roman"/>
          <w:sz w:val="26"/>
          <w:szCs w:val="26"/>
        </w:rPr>
      </w:pPr>
      <w:r>
        <w:rPr>
          <w:rFonts w:ascii="Times New Roman" w:hAnsi="Times New Roman" w:cs="Times New Roman"/>
          <w:sz w:val="26"/>
          <w:szCs w:val="26"/>
        </w:rPr>
        <w:t>“</w:t>
      </w:r>
      <w:r w:rsidRPr="00303F5B">
        <w:rPr>
          <w:rFonts w:ascii="Times New Roman" w:hAnsi="Times New Roman" w:cs="Times New Roman"/>
          <w:i/>
          <w:iCs/>
          <w:sz w:val="26"/>
          <w:szCs w:val="26"/>
        </w:rPr>
        <w:t xml:space="preserve">Reasonableness and proportionality are not formal legal standards. They are substantive virtues, upon which, it may be thought, lawyers do not have the only voice: nor necessarily the wisest. Accordingly, the ascertainment of the weight to be given to the primary decision-maker's view (very often that of central government) can be elusive and problematic… The courts have a special responsibility in the field of human rights. It arises in part from the impetus of the </w:t>
      </w:r>
      <w:r>
        <w:rPr>
          <w:rFonts w:ascii="Times New Roman" w:hAnsi="Times New Roman" w:cs="Times New Roman"/>
          <w:i/>
          <w:iCs/>
          <w:sz w:val="26"/>
          <w:szCs w:val="26"/>
        </w:rPr>
        <w:t>[</w:t>
      </w:r>
      <w:r w:rsidRPr="00303F5B">
        <w:rPr>
          <w:rFonts w:ascii="Times New Roman" w:hAnsi="Times New Roman" w:cs="Times New Roman"/>
          <w:i/>
          <w:iCs/>
          <w:sz w:val="26"/>
          <w:szCs w:val="26"/>
        </w:rPr>
        <w:t>H</w:t>
      </w:r>
      <w:r>
        <w:rPr>
          <w:rFonts w:ascii="Times New Roman" w:hAnsi="Times New Roman" w:cs="Times New Roman"/>
          <w:i/>
          <w:iCs/>
          <w:sz w:val="26"/>
          <w:szCs w:val="26"/>
        </w:rPr>
        <w:t>RA]</w:t>
      </w:r>
      <w:r w:rsidRPr="00303F5B">
        <w:rPr>
          <w:rFonts w:ascii="Times New Roman" w:hAnsi="Times New Roman" w:cs="Times New Roman"/>
          <w:i/>
          <w:iCs/>
          <w:sz w:val="26"/>
          <w:szCs w:val="26"/>
        </w:rPr>
        <w:t>, in part from the common law's jealousy in seeing that intrusive state power is always strictly justified. The elected government has a special responsibility in what may be called strategic fields of policy, such as the conduct of foreign relations and matters of national security. It arises in part from considerations of competence, in part from the constitutional imperative of electoral accountability… The court's role is to see that the Government strictly complies with all formal requirements, and rationally considers the matters it has to confront. Here, because of the subject matter, the law accords to the executive an especially broad margin of discretion</w:t>
      </w:r>
      <w:r w:rsidRPr="00303F5B">
        <w:rPr>
          <w:rFonts w:ascii="Times New Roman" w:hAnsi="Times New Roman" w:cs="Times New Roman"/>
          <w:sz w:val="26"/>
          <w:szCs w:val="26"/>
        </w:rPr>
        <w:t>.</w:t>
      </w:r>
      <w:r>
        <w:rPr>
          <w:rFonts w:ascii="Times New Roman" w:hAnsi="Times New Roman" w:cs="Times New Roman"/>
          <w:sz w:val="26"/>
          <w:szCs w:val="26"/>
        </w:rPr>
        <w:t>”</w:t>
      </w:r>
    </w:p>
    <w:p w14:paraId="248DF254" w14:textId="1ADA1863" w:rsidR="00303F5B" w:rsidRPr="00303F5B" w:rsidRDefault="00303F5B" w:rsidP="00303F5B">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These observations were quoted in full and said to have “</w:t>
      </w:r>
      <w:r>
        <w:rPr>
          <w:rFonts w:ascii="Times New Roman" w:hAnsi="Times New Roman" w:cs="Times New Roman"/>
          <w:i/>
          <w:iCs/>
          <w:sz w:val="26"/>
          <w:szCs w:val="26"/>
        </w:rPr>
        <w:t>much wisdom</w:t>
      </w:r>
      <w:r>
        <w:rPr>
          <w:rFonts w:ascii="Times New Roman" w:hAnsi="Times New Roman" w:cs="Times New Roman"/>
          <w:sz w:val="26"/>
          <w:szCs w:val="26"/>
        </w:rPr>
        <w:t xml:space="preserve">  by Lord Sumption giving the leading judgement of the Supreme Court in the </w:t>
      </w:r>
      <w:r>
        <w:rPr>
          <w:rFonts w:ascii="Times New Roman" w:hAnsi="Times New Roman" w:cs="Times New Roman"/>
          <w:sz w:val="26"/>
          <w:szCs w:val="26"/>
          <w:u w:val="single"/>
        </w:rPr>
        <w:t>Lord Carlile</w:t>
      </w:r>
      <w:r>
        <w:rPr>
          <w:rFonts w:ascii="Times New Roman" w:hAnsi="Times New Roman" w:cs="Times New Roman"/>
          <w:sz w:val="26"/>
          <w:szCs w:val="26"/>
        </w:rPr>
        <w:t xml:space="preserve"> case</w:t>
      </w:r>
      <w:r>
        <w:rPr>
          <w:rStyle w:val="FootnoteReference"/>
          <w:rFonts w:ascii="Times New Roman" w:hAnsi="Times New Roman" w:cs="Times New Roman"/>
          <w:sz w:val="26"/>
          <w:szCs w:val="26"/>
        </w:rPr>
        <w:footnoteReference w:id="37"/>
      </w:r>
      <w:r w:rsidR="001A6013">
        <w:rPr>
          <w:rFonts w:ascii="Times New Roman" w:hAnsi="Times New Roman" w:cs="Times New Roman"/>
          <w:sz w:val="26"/>
          <w:szCs w:val="26"/>
        </w:rPr>
        <w:t>.</w:t>
      </w:r>
    </w:p>
    <w:p w14:paraId="4CA1E19B" w14:textId="77777777" w:rsidR="00BD5DC6" w:rsidRPr="00BD5DC6" w:rsidRDefault="00BD5DC6" w:rsidP="00BD5DC6">
      <w:pPr>
        <w:pStyle w:val="ListParagraph"/>
        <w:rPr>
          <w:rFonts w:ascii="Times New Roman" w:hAnsi="Times New Roman" w:cs="Times New Roman"/>
          <w:sz w:val="26"/>
          <w:szCs w:val="26"/>
        </w:rPr>
      </w:pPr>
    </w:p>
    <w:p w14:paraId="2D72EEA3" w14:textId="790623F7" w:rsidR="00520529" w:rsidRPr="00EE103C" w:rsidRDefault="00EE103C" w:rsidP="007B601C">
      <w:pPr>
        <w:pStyle w:val="ListParagraph"/>
        <w:numPr>
          <w:ilvl w:val="0"/>
          <w:numId w:val="1"/>
        </w:numPr>
        <w:spacing w:line="360" w:lineRule="auto"/>
        <w:jc w:val="both"/>
        <w:rPr>
          <w:rFonts w:ascii="Times New Roman" w:hAnsi="Times New Roman" w:cs="Times New Roman"/>
          <w:sz w:val="26"/>
          <w:szCs w:val="26"/>
        </w:rPr>
      </w:pPr>
      <w:r w:rsidRPr="00EE103C">
        <w:rPr>
          <w:rFonts w:ascii="Times New Roman" w:hAnsi="Times New Roman" w:cs="Times New Roman"/>
          <w:sz w:val="26"/>
          <w:szCs w:val="26"/>
        </w:rPr>
        <w:t xml:space="preserve">In a dissenting judgment in the 2009 </w:t>
      </w:r>
      <w:r w:rsidRPr="00EE103C">
        <w:rPr>
          <w:rFonts w:ascii="Times New Roman" w:hAnsi="Times New Roman" w:cs="Times New Roman"/>
          <w:sz w:val="26"/>
          <w:szCs w:val="26"/>
          <w:u w:val="single"/>
        </w:rPr>
        <w:t>Wood</w:t>
      </w:r>
      <w:r w:rsidRPr="00EE103C">
        <w:rPr>
          <w:rFonts w:ascii="Times New Roman" w:hAnsi="Times New Roman" w:cs="Times New Roman"/>
          <w:sz w:val="26"/>
          <w:szCs w:val="26"/>
        </w:rPr>
        <w:t xml:space="preserve"> case</w:t>
      </w:r>
      <w:r>
        <w:rPr>
          <w:rStyle w:val="FootnoteReference"/>
          <w:rFonts w:ascii="Times New Roman" w:hAnsi="Times New Roman" w:cs="Times New Roman"/>
          <w:sz w:val="26"/>
          <w:szCs w:val="26"/>
        </w:rPr>
        <w:footnoteReference w:id="38"/>
      </w:r>
      <w:r w:rsidRPr="00EE103C">
        <w:rPr>
          <w:rFonts w:ascii="Times New Roman" w:hAnsi="Times New Roman" w:cs="Times New Roman"/>
          <w:sz w:val="26"/>
          <w:szCs w:val="26"/>
        </w:rPr>
        <w:t>, which concerned the reach of  the privacy right in Article 8 of the Convention</w:t>
      </w:r>
      <w:r>
        <w:rPr>
          <w:rFonts w:ascii="Times New Roman" w:hAnsi="Times New Roman" w:cs="Times New Roman"/>
          <w:sz w:val="26"/>
          <w:szCs w:val="26"/>
        </w:rPr>
        <w:t>,</w:t>
      </w:r>
      <w:r w:rsidRPr="00EE103C">
        <w:rPr>
          <w:rFonts w:ascii="Times New Roman" w:hAnsi="Times New Roman" w:cs="Times New Roman"/>
          <w:sz w:val="26"/>
          <w:szCs w:val="26"/>
        </w:rPr>
        <w:t xml:space="preserve"> John</w:t>
      </w:r>
      <w:r>
        <w:rPr>
          <w:rFonts w:ascii="Times New Roman" w:hAnsi="Times New Roman" w:cs="Times New Roman"/>
          <w:sz w:val="26"/>
          <w:szCs w:val="26"/>
        </w:rPr>
        <w:t xml:space="preserve"> described the subject-matter of that right as “</w:t>
      </w:r>
      <w:r w:rsidRPr="00520529">
        <w:rPr>
          <w:rFonts w:ascii="Times New Roman" w:hAnsi="Times New Roman" w:cs="Times New Roman"/>
          <w:i/>
          <w:iCs/>
          <w:sz w:val="26"/>
          <w:szCs w:val="26"/>
        </w:rPr>
        <w:t>the personal autonomy of every individual</w:t>
      </w:r>
      <w:r>
        <w:rPr>
          <w:rFonts w:ascii="Times New Roman" w:hAnsi="Times New Roman" w:cs="Times New Roman"/>
          <w:sz w:val="26"/>
          <w:szCs w:val="26"/>
        </w:rPr>
        <w:t>”, which he said:</w:t>
      </w:r>
    </w:p>
    <w:p w14:paraId="3C927CEA" w14:textId="08A7E2B8" w:rsidR="00520529" w:rsidRPr="003D05EF" w:rsidRDefault="00520529" w:rsidP="00520529">
      <w:pPr>
        <w:spacing w:line="276" w:lineRule="auto"/>
        <w:ind w:left="1440"/>
        <w:jc w:val="both"/>
        <w:rPr>
          <w:rFonts w:ascii="Times New Roman" w:hAnsi="Times New Roman" w:cs="Times New Roman"/>
          <w:i/>
          <w:iCs/>
          <w:sz w:val="26"/>
          <w:szCs w:val="26"/>
        </w:rPr>
      </w:pPr>
      <w:r>
        <w:rPr>
          <w:rFonts w:ascii="Times New Roman" w:hAnsi="Times New Roman" w:cs="Times New Roman"/>
          <w:sz w:val="26"/>
          <w:szCs w:val="26"/>
        </w:rPr>
        <w:t>“</w:t>
      </w:r>
      <w:r w:rsidRPr="003D05EF">
        <w:rPr>
          <w:rFonts w:ascii="Times New Roman" w:hAnsi="Times New Roman" w:cs="Times New Roman"/>
          <w:i/>
          <w:iCs/>
          <w:sz w:val="26"/>
          <w:szCs w:val="26"/>
        </w:rPr>
        <w:t>marches with the presumption of liberty enjoyed in a free polity: a</w:t>
      </w:r>
      <w:r w:rsidRPr="00520529">
        <w:rPr>
          <w:rFonts w:ascii="Times New Roman" w:hAnsi="Times New Roman" w:cs="Times New Roman"/>
          <w:sz w:val="26"/>
          <w:szCs w:val="26"/>
        </w:rPr>
        <w:t xml:space="preserve"> </w:t>
      </w:r>
      <w:r w:rsidRPr="003D05EF">
        <w:rPr>
          <w:rFonts w:ascii="Times New Roman" w:hAnsi="Times New Roman" w:cs="Times New Roman"/>
          <w:i/>
          <w:iCs/>
          <w:sz w:val="26"/>
          <w:szCs w:val="26"/>
        </w:rPr>
        <w:t>presumption which consists in the principle that every interference with the freedom of the individual stands in need of objective justification. Applied to the myriad instances recognised in the article 8 jurisprudence, this presumption means that, subject to [certain] qualifications …, an individual's personal autonomy makes him … master of all those facts about his own identity, such as is name, health, sexuality, ethnicity, his own image, of which the cases speak; and also of the ‘zone of interaction’ between himself and others …</w:t>
      </w:r>
    </w:p>
    <w:p w14:paraId="0DB9D6D2" w14:textId="3D03F46A" w:rsidR="00520529" w:rsidRPr="003D05EF" w:rsidRDefault="00520529" w:rsidP="00520529">
      <w:pPr>
        <w:spacing w:line="276" w:lineRule="auto"/>
        <w:ind w:left="1440"/>
        <w:jc w:val="both"/>
        <w:rPr>
          <w:rFonts w:ascii="Times New Roman" w:hAnsi="Times New Roman" w:cs="Times New Roman"/>
          <w:i/>
          <w:iCs/>
          <w:sz w:val="26"/>
          <w:szCs w:val="26"/>
        </w:rPr>
      </w:pPr>
      <w:r w:rsidRPr="003D05EF">
        <w:rPr>
          <w:rFonts w:ascii="Times New Roman" w:hAnsi="Times New Roman" w:cs="Times New Roman"/>
          <w:i/>
          <w:iCs/>
          <w:sz w:val="26"/>
          <w:szCs w:val="26"/>
        </w:rPr>
        <w:t>This cluster of values, summarised as the personal autonomy of every individual and taking concrete form as a presumption against interference with the individual's liberty, is a defining characteristic of a free society. We therefore need to preserve it even in little cases. At the same time it is important that this core right protected by a</w:t>
      </w:r>
      <w:r w:rsidR="003D05EF" w:rsidRPr="003D05EF">
        <w:rPr>
          <w:rFonts w:ascii="Times New Roman" w:hAnsi="Times New Roman" w:cs="Times New Roman"/>
          <w:i/>
          <w:iCs/>
          <w:sz w:val="26"/>
          <w:szCs w:val="26"/>
        </w:rPr>
        <w:t>r</w:t>
      </w:r>
      <w:r w:rsidRPr="003D05EF">
        <w:rPr>
          <w:rFonts w:ascii="Times New Roman" w:hAnsi="Times New Roman" w:cs="Times New Roman"/>
          <w:i/>
          <w:iCs/>
          <w:sz w:val="26"/>
          <w:szCs w:val="26"/>
        </w:rPr>
        <w:t xml:space="preserve">ticle 8, however protean, should not be read so widely that its claims become unreal and unreasonable. For this purpose I think that there are three safeguards, or qualifications. First, the alleged threat or assault to the individual's autonomy must </w:t>
      </w:r>
      <w:r w:rsidR="003D05EF" w:rsidRPr="003D05EF">
        <w:rPr>
          <w:rFonts w:ascii="Times New Roman" w:hAnsi="Times New Roman" w:cs="Times New Roman"/>
          <w:i/>
          <w:iCs/>
          <w:sz w:val="26"/>
          <w:szCs w:val="26"/>
        </w:rPr>
        <w:t>…</w:t>
      </w:r>
      <w:r w:rsidRPr="003D05EF">
        <w:rPr>
          <w:rFonts w:ascii="Times New Roman" w:hAnsi="Times New Roman" w:cs="Times New Roman"/>
          <w:i/>
          <w:iCs/>
          <w:sz w:val="26"/>
          <w:szCs w:val="26"/>
        </w:rPr>
        <w:t xml:space="preserve"> attain </w:t>
      </w:r>
      <w:r w:rsidR="003D05EF" w:rsidRPr="003D05EF">
        <w:rPr>
          <w:rFonts w:ascii="Times New Roman" w:hAnsi="Times New Roman" w:cs="Times New Roman"/>
          <w:i/>
          <w:iCs/>
          <w:sz w:val="26"/>
          <w:szCs w:val="26"/>
        </w:rPr>
        <w:t>‘</w:t>
      </w:r>
      <w:r w:rsidRPr="003D05EF">
        <w:rPr>
          <w:rFonts w:ascii="Times New Roman" w:hAnsi="Times New Roman" w:cs="Times New Roman"/>
          <w:i/>
          <w:iCs/>
          <w:sz w:val="26"/>
          <w:szCs w:val="26"/>
        </w:rPr>
        <w:t>a certain level of seriousness</w:t>
      </w:r>
      <w:r w:rsidR="003D05EF" w:rsidRPr="003D05EF">
        <w:rPr>
          <w:rFonts w:ascii="Times New Roman" w:hAnsi="Times New Roman" w:cs="Times New Roman"/>
          <w:i/>
          <w:iCs/>
          <w:sz w:val="26"/>
          <w:szCs w:val="26"/>
        </w:rPr>
        <w:t>’</w:t>
      </w:r>
      <w:r w:rsidRPr="003D05EF">
        <w:rPr>
          <w:rFonts w:ascii="Times New Roman" w:hAnsi="Times New Roman" w:cs="Times New Roman"/>
          <w:i/>
          <w:iCs/>
          <w:sz w:val="26"/>
          <w:szCs w:val="26"/>
        </w:rPr>
        <w:t xml:space="preserve">. Secondly, the touchstone for article 8(1)'s engagement is whether the claimant enjoys on the facts a </w:t>
      </w:r>
      <w:r w:rsidR="003D05EF" w:rsidRPr="003D05EF">
        <w:rPr>
          <w:rFonts w:ascii="Times New Roman" w:hAnsi="Times New Roman" w:cs="Times New Roman"/>
          <w:i/>
          <w:iCs/>
          <w:sz w:val="26"/>
          <w:szCs w:val="26"/>
        </w:rPr>
        <w:t>‘</w:t>
      </w:r>
      <w:r w:rsidRPr="003D05EF">
        <w:rPr>
          <w:rFonts w:ascii="Times New Roman" w:hAnsi="Times New Roman" w:cs="Times New Roman"/>
          <w:i/>
          <w:iCs/>
          <w:sz w:val="26"/>
          <w:szCs w:val="26"/>
        </w:rPr>
        <w:t>reasonable expectation of privacy</w:t>
      </w:r>
      <w:r w:rsidR="003D05EF" w:rsidRPr="003D05EF">
        <w:rPr>
          <w:rFonts w:ascii="Times New Roman" w:hAnsi="Times New Roman" w:cs="Times New Roman"/>
          <w:i/>
          <w:iCs/>
          <w:sz w:val="26"/>
          <w:szCs w:val="26"/>
        </w:rPr>
        <w:t xml:space="preserve">’ … </w:t>
      </w:r>
      <w:r w:rsidRPr="003D05EF">
        <w:rPr>
          <w:rFonts w:ascii="Times New Roman" w:hAnsi="Times New Roman" w:cs="Times New Roman"/>
          <w:i/>
          <w:iCs/>
          <w:sz w:val="26"/>
          <w:szCs w:val="26"/>
        </w:rPr>
        <w:t>. Thirdly, the breadth of article 8(1) may in many instances be greatly curtailed by the scope of the justifications available to the state pursuant to article 8(2).</w:t>
      </w:r>
      <w:r w:rsidR="003D05EF" w:rsidRPr="003D05EF">
        <w:rPr>
          <w:rFonts w:ascii="Times New Roman" w:hAnsi="Times New Roman" w:cs="Times New Roman"/>
          <w:i/>
          <w:iCs/>
          <w:sz w:val="26"/>
          <w:szCs w:val="26"/>
        </w:rPr>
        <w:t>”</w:t>
      </w:r>
    </w:p>
    <w:p w14:paraId="0CFA694D" w14:textId="77777777" w:rsidR="0016121C" w:rsidRPr="0016121C" w:rsidRDefault="0016121C" w:rsidP="0016121C">
      <w:pPr>
        <w:pStyle w:val="ListParagraph"/>
        <w:spacing w:line="360" w:lineRule="auto"/>
        <w:jc w:val="both"/>
        <w:rPr>
          <w:rFonts w:ascii="Times New Roman" w:hAnsi="Times New Roman" w:cs="Times New Roman"/>
          <w:sz w:val="26"/>
          <w:szCs w:val="26"/>
        </w:rPr>
      </w:pPr>
    </w:p>
    <w:p w14:paraId="54477BAC" w14:textId="62728CD0" w:rsidR="00EE103C" w:rsidRDefault="00EE103C" w:rsidP="00EE103C">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Six years later, in the Supreme Court </w:t>
      </w:r>
      <w:r w:rsidRPr="00BD5DC6">
        <w:rPr>
          <w:rFonts w:ascii="Times New Roman" w:hAnsi="Times New Roman" w:cs="Times New Roman"/>
          <w:sz w:val="26"/>
          <w:szCs w:val="26"/>
          <w:u w:val="single"/>
        </w:rPr>
        <w:t>J 38</w:t>
      </w:r>
      <w:r>
        <w:rPr>
          <w:rFonts w:ascii="Times New Roman" w:hAnsi="Times New Roman" w:cs="Times New Roman"/>
          <w:sz w:val="26"/>
          <w:szCs w:val="26"/>
        </w:rPr>
        <w:t xml:space="preserve"> case</w:t>
      </w:r>
      <w:r>
        <w:rPr>
          <w:rStyle w:val="FootnoteReference"/>
          <w:rFonts w:ascii="Times New Roman" w:hAnsi="Times New Roman" w:cs="Times New Roman"/>
          <w:sz w:val="26"/>
          <w:szCs w:val="26"/>
        </w:rPr>
        <w:footnoteReference w:id="39"/>
      </w:r>
      <w:r>
        <w:rPr>
          <w:rFonts w:ascii="Times New Roman" w:hAnsi="Times New Roman" w:cs="Times New Roman"/>
          <w:sz w:val="26"/>
          <w:szCs w:val="26"/>
        </w:rPr>
        <w:t>, in separate judgments, Lord Toulson and Lord Clarke (with both of whom Lord Hodge agreed) not only cited</w:t>
      </w:r>
      <w:r>
        <w:rPr>
          <w:rStyle w:val="FootnoteReference"/>
          <w:rFonts w:ascii="Times New Roman" w:hAnsi="Times New Roman" w:cs="Times New Roman"/>
          <w:sz w:val="26"/>
          <w:szCs w:val="26"/>
        </w:rPr>
        <w:footnoteReference w:id="40"/>
      </w:r>
      <w:r>
        <w:rPr>
          <w:rFonts w:ascii="Times New Roman" w:hAnsi="Times New Roman" w:cs="Times New Roman"/>
          <w:sz w:val="26"/>
          <w:szCs w:val="26"/>
        </w:rPr>
        <w:t xml:space="preserve"> John’s dissenting judgment, but agreed with it. Indeed, Lord Toulson set out an extensive passage from John’s judgment, including the passage I have just quoted, saying that he had done so “</w:t>
      </w:r>
      <w:r w:rsidRPr="00520529">
        <w:rPr>
          <w:rFonts w:ascii="Times New Roman" w:hAnsi="Times New Roman" w:cs="Times New Roman"/>
          <w:i/>
          <w:iCs/>
          <w:sz w:val="26"/>
          <w:szCs w:val="26"/>
        </w:rPr>
        <w:t>because I agree with it and cannot improve on it</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41"/>
      </w:r>
      <w:r>
        <w:rPr>
          <w:rFonts w:ascii="Times New Roman" w:hAnsi="Times New Roman" w:cs="Times New Roman"/>
          <w:sz w:val="26"/>
          <w:szCs w:val="26"/>
        </w:rPr>
        <w:t xml:space="preserve">. </w:t>
      </w:r>
    </w:p>
    <w:p w14:paraId="5F90FC13" w14:textId="77777777" w:rsidR="00E43EE6" w:rsidRDefault="00E43EE6" w:rsidP="00E43EE6">
      <w:pPr>
        <w:pStyle w:val="ListParagraph"/>
        <w:spacing w:line="360" w:lineRule="auto"/>
        <w:jc w:val="both"/>
        <w:rPr>
          <w:rFonts w:ascii="Times New Roman" w:hAnsi="Times New Roman" w:cs="Times New Roman"/>
          <w:sz w:val="26"/>
          <w:szCs w:val="26"/>
        </w:rPr>
      </w:pPr>
    </w:p>
    <w:p w14:paraId="5BB69772" w14:textId="715E6D52" w:rsidR="00E43EE6" w:rsidRPr="00E43EE6" w:rsidRDefault="00E43EE6" w:rsidP="00E43EE6">
      <w:pPr>
        <w:pStyle w:val="ListParagraph"/>
        <w:numPr>
          <w:ilvl w:val="0"/>
          <w:numId w:val="1"/>
        </w:numPr>
        <w:spacing w:line="360" w:lineRule="auto"/>
        <w:jc w:val="both"/>
        <w:rPr>
          <w:rFonts w:ascii="Times New Roman" w:hAnsi="Times New Roman" w:cs="Times New Roman"/>
          <w:sz w:val="26"/>
          <w:szCs w:val="26"/>
        </w:rPr>
      </w:pPr>
      <w:r w:rsidRPr="00E43EE6">
        <w:rPr>
          <w:rFonts w:ascii="Times New Roman" w:hAnsi="Times New Roman" w:cs="Times New Roman"/>
          <w:sz w:val="26"/>
          <w:szCs w:val="26"/>
        </w:rPr>
        <w:t>I</w:t>
      </w:r>
      <w:r>
        <w:rPr>
          <w:rFonts w:ascii="Times New Roman" w:hAnsi="Times New Roman" w:cs="Times New Roman"/>
          <w:sz w:val="26"/>
          <w:szCs w:val="26"/>
        </w:rPr>
        <w:t>t</w:t>
      </w:r>
      <w:r w:rsidR="00694FCA">
        <w:rPr>
          <w:rFonts w:ascii="Times New Roman" w:hAnsi="Times New Roman" w:cs="Times New Roman"/>
          <w:sz w:val="26"/>
          <w:szCs w:val="26"/>
        </w:rPr>
        <w:t xml:space="preserve"> i</w:t>
      </w:r>
      <w:r>
        <w:rPr>
          <w:rFonts w:ascii="Times New Roman" w:hAnsi="Times New Roman" w:cs="Times New Roman"/>
          <w:sz w:val="26"/>
          <w:szCs w:val="26"/>
        </w:rPr>
        <w:t>s interesting to note that John’</w:t>
      </w:r>
      <w:r w:rsidR="00694FCA">
        <w:rPr>
          <w:rFonts w:ascii="Times New Roman" w:hAnsi="Times New Roman" w:cs="Times New Roman"/>
          <w:sz w:val="26"/>
          <w:szCs w:val="26"/>
        </w:rPr>
        <w:t>s thinking in these JR and</w:t>
      </w:r>
      <w:r w:rsidR="004539FE">
        <w:rPr>
          <w:rFonts w:ascii="Times New Roman" w:hAnsi="Times New Roman" w:cs="Times New Roman"/>
          <w:sz w:val="26"/>
          <w:szCs w:val="26"/>
        </w:rPr>
        <w:t xml:space="preserve"> human rights</w:t>
      </w:r>
      <w:r w:rsidR="00694FCA">
        <w:rPr>
          <w:rFonts w:ascii="Times New Roman" w:hAnsi="Times New Roman" w:cs="Times New Roman"/>
          <w:sz w:val="26"/>
          <w:szCs w:val="26"/>
        </w:rPr>
        <w:t xml:space="preserve"> judgments were presaged in an </w:t>
      </w:r>
      <w:r w:rsidRPr="00E43EE6">
        <w:rPr>
          <w:rFonts w:ascii="Times New Roman" w:hAnsi="Times New Roman" w:cs="Times New Roman"/>
          <w:sz w:val="26"/>
          <w:szCs w:val="26"/>
        </w:rPr>
        <w:t>article</w:t>
      </w:r>
      <w:r>
        <w:rPr>
          <w:rStyle w:val="FootnoteReference"/>
          <w:rFonts w:ascii="Times New Roman" w:hAnsi="Times New Roman" w:cs="Times New Roman"/>
          <w:sz w:val="26"/>
          <w:szCs w:val="26"/>
        </w:rPr>
        <w:footnoteReference w:id="42"/>
      </w:r>
      <w:r w:rsidR="00694FCA">
        <w:rPr>
          <w:rFonts w:ascii="Times New Roman" w:hAnsi="Times New Roman" w:cs="Times New Roman"/>
          <w:sz w:val="26"/>
          <w:szCs w:val="26"/>
        </w:rPr>
        <w:t xml:space="preserve"> he wrote in 1997 on </w:t>
      </w:r>
      <w:r w:rsidR="00694FCA">
        <w:rPr>
          <w:rFonts w:ascii="Times New Roman" w:hAnsi="Times New Roman" w:cs="Times New Roman"/>
          <w:sz w:val="26"/>
          <w:szCs w:val="26"/>
          <w:u w:val="single"/>
        </w:rPr>
        <w:t>Abuse of Power</w:t>
      </w:r>
      <w:r w:rsidR="00694FCA">
        <w:rPr>
          <w:rFonts w:ascii="Times New Roman" w:hAnsi="Times New Roman" w:cs="Times New Roman"/>
          <w:sz w:val="26"/>
          <w:szCs w:val="26"/>
        </w:rPr>
        <w:t>. In that article,</w:t>
      </w:r>
      <w:r w:rsidRPr="00E43EE6">
        <w:rPr>
          <w:rFonts w:ascii="Times New Roman" w:hAnsi="Times New Roman" w:cs="Times New Roman"/>
          <w:sz w:val="26"/>
          <w:szCs w:val="26"/>
        </w:rPr>
        <w:t xml:space="preserve"> </w:t>
      </w:r>
      <w:r w:rsidR="00694FCA">
        <w:rPr>
          <w:rFonts w:ascii="Times New Roman" w:hAnsi="Times New Roman" w:cs="Times New Roman"/>
          <w:sz w:val="26"/>
          <w:szCs w:val="26"/>
        </w:rPr>
        <w:t>he</w:t>
      </w:r>
      <w:r w:rsidRPr="00E43EE6">
        <w:rPr>
          <w:rFonts w:ascii="Times New Roman" w:hAnsi="Times New Roman" w:cs="Times New Roman"/>
          <w:sz w:val="26"/>
          <w:szCs w:val="26"/>
        </w:rPr>
        <w:t xml:space="preserve"> referred to the control</w:t>
      </w:r>
      <w:r w:rsidR="001A6013">
        <w:rPr>
          <w:rFonts w:ascii="Times New Roman" w:hAnsi="Times New Roman" w:cs="Times New Roman"/>
          <w:sz w:val="26"/>
          <w:szCs w:val="26"/>
        </w:rPr>
        <w:t xml:space="preserve"> of</w:t>
      </w:r>
      <w:r w:rsidRPr="00E43EE6">
        <w:rPr>
          <w:rFonts w:ascii="Times New Roman" w:hAnsi="Times New Roman" w:cs="Times New Roman"/>
          <w:sz w:val="26"/>
          <w:szCs w:val="26"/>
        </w:rPr>
        <w:t xml:space="preserve"> abuse of power as </w:t>
      </w:r>
      <w:r w:rsidR="00694FCA">
        <w:rPr>
          <w:rFonts w:ascii="Times New Roman" w:hAnsi="Times New Roman" w:cs="Times New Roman"/>
          <w:sz w:val="26"/>
          <w:szCs w:val="26"/>
        </w:rPr>
        <w:t xml:space="preserve">being </w:t>
      </w:r>
      <w:r w:rsidRPr="00E43EE6">
        <w:rPr>
          <w:rFonts w:ascii="Times New Roman" w:hAnsi="Times New Roman" w:cs="Times New Roman"/>
          <w:sz w:val="26"/>
          <w:szCs w:val="26"/>
        </w:rPr>
        <w:t>not only a thread which runs through public law, but also one pervades private law, given the need to subject private power to judicial control. He stated that “</w:t>
      </w:r>
      <w:r w:rsidRPr="00E43EE6">
        <w:rPr>
          <w:rFonts w:ascii="Times New Roman" w:hAnsi="Times New Roman" w:cs="Times New Roman"/>
          <w:i/>
          <w:iCs/>
          <w:sz w:val="26"/>
          <w:szCs w:val="26"/>
        </w:rPr>
        <w:t>the prevention of abuse of power is nowadays a preferred, or at least popular, categorisation of the nature and aims to the public law jurisdiction</w:t>
      </w:r>
      <w:r w:rsidRPr="00E43EE6">
        <w:rPr>
          <w:rFonts w:ascii="Times New Roman" w:hAnsi="Times New Roman" w:cs="Times New Roman"/>
          <w:sz w:val="26"/>
          <w:szCs w:val="26"/>
        </w:rPr>
        <w:t xml:space="preserve">”.  Reflecting also human rights, </w:t>
      </w:r>
      <w:r w:rsidR="00694FCA">
        <w:rPr>
          <w:rFonts w:ascii="Times New Roman" w:hAnsi="Times New Roman" w:cs="Times New Roman"/>
          <w:sz w:val="26"/>
          <w:szCs w:val="26"/>
        </w:rPr>
        <w:t>John</w:t>
      </w:r>
      <w:r w:rsidRPr="00E43EE6">
        <w:rPr>
          <w:rFonts w:ascii="Times New Roman" w:hAnsi="Times New Roman" w:cs="Times New Roman"/>
          <w:sz w:val="26"/>
          <w:szCs w:val="26"/>
        </w:rPr>
        <w:t xml:space="preserve"> also referred to “</w:t>
      </w:r>
      <w:r w:rsidRPr="00E43EE6">
        <w:rPr>
          <w:rFonts w:ascii="Times New Roman" w:hAnsi="Times New Roman" w:cs="Times New Roman"/>
          <w:i/>
          <w:iCs/>
          <w:sz w:val="26"/>
          <w:szCs w:val="26"/>
        </w:rPr>
        <w:t>the Kantian ideal of sovereignty of the individual…[where] any interference with another’s liberty stands in need of justification</w:t>
      </w:r>
      <w:r w:rsidRPr="00E43EE6">
        <w:rPr>
          <w:rFonts w:ascii="Times New Roman" w:hAnsi="Times New Roman" w:cs="Times New Roman"/>
          <w:sz w:val="26"/>
          <w:szCs w:val="26"/>
        </w:rPr>
        <w:t xml:space="preserve">”. </w:t>
      </w:r>
      <w:r>
        <w:rPr>
          <w:rFonts w:ascii="Times New Roman" w:hAnsi="Times New Roman" w:cs="Times New Roman"/>
          <w:sz w:val="26"/>
          <w:szCs w:val="26"/>
        </w:rPr>
        <w:t>After referring to employment law cases, he extracted</w:t>
      </w:r>
      <w:r w:rsidRPr="00E43EE6">
        <w:rPr>
          <w:rFonts w:ascii="Times New Roman" w:hAnsi="Times New Roman" w:cs="Times New Roman"/>
          <w:sz w:val="26"/>
          <w:szCs w:val="26"/>
        </w:rPr>
        <w:t xml:space="preserve"> a single principle, namely, that “</w:t>
      </w:r>
      <w:r w:rsidRPr="00E43EE6">
        <w:rPr>
          <w:rFonts w:ascii="Times New Roman" w:hAnsi="Times New Roman" w:cs="Times New Roman"/>
          <w:i/>
          <w:iCs/>
          <w:sz w:val="26"/>
          <w:szCs w:val="26"/>
        </w:rPr>
        <w:t>the common law will not permit the abuse of power</w:t>
      </w:r>
      <w:r w:rsidRPr="00E43EE6">
        <w:rPr>
          <w:rFonts w:ascii="Times New Roman" w:hAnsi="Times New Roman" w:cs="Times New Roman"/>
          <w:sz w:val="26"/>
          <w:szCs w:val="26"/>
        </w:rPr>
        <w:t>”</w:t>
      </w:r>
      <w:r>
        <w:rPr>
          <w:rFonts w:ascii="Times New Roman" w:hAnsi="Times New Roman" w:cs="Times New Roman"/>
          <w:sz w:val="26"/>
          <w:szCs w:val="26"/>
        </w:rPr>
        <w:t>, and characteristically referred to this as</w:t>
      </w:r>
      <w:r w:rsidRPr="00E43EE6">
        <w:rPr>
          <w:rFonts w:ascii="Times New Roman" w:hAnsi="Times New Roman" w:cs="Times New Roman"/>
          <w:sz w:val="26"/>
          <w:szCs w:val="26"/>
        </w:rPr>
        <w:t xml:space="preserve"> “</w:t>
      </w:r>
      <w:r w:rsidRPr="00E43EE6">
        <w:rPr>
          <w:rFonts w:ascii="Times New Roman" w:hAnsi="Times New Roman" w:cs="Times New Roman"/>
          <w:i/>
          <w:iCs/>
          <w:sz w:val="26"/>
          <w:szCs w:val="26"/>
        </w:rPr>
        <w:t>a form of benign bias</w:t>
      </w:r>
      <w:r>
        <w:rPr>
          <w:rFonts w:ascii="Times New Roman" w:hAnsi="Times New Roman" w:cs="Times New Roman"/>
          <w:sz w:val="26"/>
          <w:szCs w:val="26"/>
        </w:rPr>
        <w:t>” and “</w:t>
      </w:r>
      <w:r w:rsidRPr="00E43EE6">
        <w:rPr>
          <w:rFonts w:ascii="Times New Roman" w:hAnsi="Times New Roman" w:cs="Times New Roman"/>
          <w:i/>
          <w:iCs/>
          <w:sz w:val="26"/>
          <w:szCs w:val="26"/>
        </w:rPr>
        <w:t>a means of making sense of sometimes conflicting values</w:t>
      </w:r>
      <w:r w:rsidRPr="00E43EE6">
        <w:rPr>
          <w:rFonts w:ascii="Times New Roman" w:hAnsi="Times New Roman" w:cs="Times New Roman"/>
          <w:sz w:val="26"/>
          <w:szCs w:val="26"/>
        </w:rPr>
        <w:t>”</w:t>
      </w:r>
      <w:r>
        <w:rPr>
          <w:rFonts w:ascii="Times New Roman" w:hAnsi="Times New Roman" w:cs="Times New Roman"/>
          <w:sz w:val="26"/>
          <w:szCs w:val="26"/>
        </w:rPr>
        <w:t>.</w:t>
      </w:r>
      <w:r w:rsidR="00694FCA">
        <w:rPr>
          <w:rFonts w:ascii="Times New Roman" w:hAnsi="Times New Roman" w:cs="Times New Roman"/>
          <w:sz w:val="26"/>
          <w:szCs w:val="26"/>
        </w:rPr>
        <w:t xml:space="preserve"> He also </w:t>
      </w:r>
      <w:r w:rsidR="00955D95">
        <w:rPr>
          <w:rFonts w:ascii="Times New Roman" w:hAnsi="Times New Roman" w:cs="Times New Roman"/>
          <w:sz w:val="26"/>
          <w:szCs w:val="26"/>
        </w:rPr>
        <w:t>elegantly explain</w:t>
      </w:r>
      <w:r w:rsidR="00694FCA">
        <w:rPr>
          <w:rFonts w:ascii="Times New Roman" w:hAnsi="Times New Roman" w:cs="Times New Roman"/>
          <w:sz w:val="26"/>
          <w:szCs w:val="26"/>
        </w:rPr>
        <w:t>ed</w:t>
      </w:r>
      <w:r w:rsidR="00955D95">
        <w:rPr>
          <w:rFonts w:ascii="Times New Roman" w:hAnsi="Times New Roman" w:cs="Times New Roman"/>
          <w:sz w:val="26"/>
          <w:szCs w:val="26"/>
        </w:rPr>
        <w:t xml:space="preserve"> </w:t>
      </w:r>
      <w:r w:rsidR="00694FCA" w:rsidRPr="00E43EE6">
        <w:rPr>
          <w:rFonts w:ascii="Times New Roman" w:hAnsi="Times New Roman" w:cs="Times New Roman"/>
          <w:sz w:val="26"/>
          <w:szCs w:val="26"/>
        </w:rPr>
        <w:t>that “</w:t>
      </w:r>
      <w:r w:rsidR="00694FCA" w:rsidRPr="00694FCA">
        <w:rPr>
          <w:rFonts w:ascii="Times New Roman" w:hAnsi="Times New Roman" w:cs="Times New Roman"/>
          <w:i/>
          <w:iCs/>
          <w:sz w:val="26"/>
          <w:szCs w:val="26"/>
        </w:rPr>
        <w:t>behind [</w:t>
      </w:r>
      <w:r w:rsidR="00694FCA">
        <w:rPr>
          <w:rFonts w:ascii="Times New Roman" w:hAnsi="Times New Roman" w:cs="Times New Roman"/>
          <w:i/>
          <w:iCs/>
          <w:sz w:val="26"/>
          <w:szCs w:val="26"/>
        </w:rPr>
        <w:t xml:space="preserve">the </w:t>
      </w:r>
      <w:r w:rsidR="00694FCA" w:rsidRPr="00694FCA">
        <w:rPr>
          <w:rFonts w:ascii="Times New Roman" w:hAnsi="Times New Roman" w:cs="Times New Roman"/>
          <w:i/>
          <w:iCs/>
          <w:sz w:val="26"/>
          <w:szCs w:val="26"/>
        </w:rPr>
        <w:t>abuse of power] lies the true difference between private and public law; whereas for the private individual everything is permitted that is not forbidden, for the public body, all its actions must be justified by positive law</w:t>
      </w:r>
      <w:r w:rsidR="00694FCA" w:rsidRPr="00E43EE6">
        <w:rPr>
          <w:rFonts w:ascii="Times New Roman" w:hAnsi="Times New Roman" w:cs="Times New Roman"/>
          <w:sz w:val="26"/>
          <w:szCs w:val="26"/>
        </w:rPr>
        <w:t>”</w:t>
      </w:r>
      <w:r w:rsidR="00694FCA">
        <w:rPr>
          <w:rFonts w:ascii="Times New Roman" w:hAnsi="Times New Roman" w:cs="Times New Roman"/>
          <w:sz w:val="26"/>
          <w:szCs w:val="26"/>
        </w:rPr>
        <w:t>.</w:t>
      </w:r>
    </w:p>
    <w:p w14:paraId="5AADB00B" w14:textId="77777777" w:rsidR="00EE103C" w:rsidRDefault="00EE103C" w:rsidP="008C331C">
      <w:pPr>
        <w:pStyle w:val="ListParagraph"/>
        <w:spacing w:line="360" w:lineRule="auto"/>
        <w:jc w:val="both"/>
        <w:rPr>
          <w:rFonts w:ascii="Times New Roman" w:hAnsi="Times New Roman" w:cs="Times New Roman"/>
          <w:sz w:val="26"/>
          <w:szCs w:val="26"/>
        </w:rPr>
      </w:pPr>
    </w:p>
    <w:p w14:paraId="748FF6FA" w14:textId="7C833E7C" w:rsidR="00F8369B" w:rsidRDefault="00B60450" w:rsidP="00757116">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 turn now to John’s contributions to constitutional law, which are at least as </w:t>
      </w:r>
      <w:r w:rsidR="00B43273">
        <w:rPr>
          <w:rFonts w:ascii="Times New Roman" w:hAnsi="Times New Roman" w:cs="Times New Roman"/>
          <w:sz w:val="26"/>
          <w:szCs w:val="26"/>
        </w:rPr>
        <w:t>remarkable</w:t>
      </w:r>
      <w:r>
        <w:rPr>
          <w:rFonts w:ascii="Times New Roman" w:hAnsi="Times New Roman" w:cs="Times New Roman"/>
          <w:sz w:val="26"/>
          <w:szCs w:val="26"/>
        </w:rPr>
        <w:t xml:space="preserve"> as his contributions to JR and human rights. </w:t>
      </w:r>
      <w:r w:rsidR="00F8369B" w:rsidRPr="00B1171B">
        <w:rPr>
          <w:rFonts w:ascii="Times New Roman" w:hAnsi="Times New Roman" w:cs="Times New Roman"/>
          <w:sz w:val="26"/>
          <w:szCs w:val="26"/>
        </w:rPr>
        <w:t xml:space="preserve">Before turning to John’s judicial decisions on constitutional issues, it is only right to refer to his illuminating extra-judicial writings on the </w:t>
      </w:r>
      <w:r w:rsidR="00F8369B">
        <w:rPr>
          <w:rFonts w:ascii="Times New Roman" w:hAnsi="Times New Roman" w:cs="Times New Roman"/>
          <w:sz w:val="26"/>
          <w:szCs w:val="26"/>
        </w:rPr>
        <w:t xml:space="preserve">constitution in general and the </w:t>
      </w:r>
      <w:r w:rsidR="00F8369B" w:rsidRPr="00B1171B">
        <w:rPr>
          <w:rFonts w:ascii="Times New Roman" w:hAnsi="Times New Roman" w:cs="Times New Roman"/>
          <w:sz w:val="26"/>
          <w:szCs w:val="26"/>
        </w:rPr>
        <w:t>role of judges</w:t>
      </w:r>
      <w:r w:rsidR="00F8369B">
        <w:rPr>
          <w:rFonts w:ascii="Times New Roman" w:hAnsi="Times New Roman" w:cs="Times New Roman"/>
          <w:sz w:val="26"/>
          <w:szCs w:val="26"/>
        </w:rPr>
        <w:t xml:space="preserve"> in particular</w:t>
      </w:r>
      <w:r w:rsidR="00F8369B" w:rsidRPr="00B1171B">
        <w:rPr>
          <w:rFonts w:ascii="Times New Roman" w:hAnsi="Times New Roman" w:cs="Times New Roman"/>
          <w:sz w:val="26"/>
          <w:szCs w:val="26"/>
        </w:rPr>
        <w:t>.</w:t>
      </w:r>
      <w:r w:rsidR="00F8369B">
        <w:rPr>
          <w:rFonts w:ascii="Times New Roman" w:hAnsi="Times New Roman" w:cs="Times New Roman"/>
          <w:sz w:val="26"/>
          <w:szCs w:val="26"/>
        </w:rPr>
        <w:t xml:space="preserve"> </w:t>
      </w:r>
      <w:r w:rsidR="00894F34">
        <w:rPr>
          <w:rFonts w:ascii="Times New Roman" w:hAnsi="Times New Roman" w:cs="Times New Roman"/>
          <w:sz w:val="26"/>
          <w:szCs w:val="26"/>
        </w:rPr>
        <w:t>These</w:t>
      </w:r>
      <w:r>
        <w:rPr>
          <w:rFonts w:ascii="Times New Roman" w:hAnsi="Times New Roman" w:cs="Times New Roman"/>
          <w:sz w:val="26"/>
          <w:szCs w:val="26"/>
        </w:rPr>
        <w:t xml:space="preserve"> extra-judicial writings and lectures almost vibrate with ideas and</w:t>
      </w:r>
      <w:r w:rsidR="00CC0BEA">
        <w:rPr>
          <w:rFonts w:ascii="Times New Roman" w:hAnsi="Times New Roman" w:cs="Times New Roman"/>
          <w:sz w:val="26"/>
          <w:szCs w:val="26"/>
        </w:rPr>
        <w:t xml:space="preserve"> intellect. </w:t>
      </w:r>
    </w:p>
    <w:p w14:paraId="5202B9E6" w14:textId="77777777" w:rsidR="00F8369B" w:rsidRPr="00F8369B" w:rsidRDefault="00F8369B" w:rsidP="00F8369B">
      <w:pPr>
        <w:pStyle w:val="ListParagraph"/>
        <w:rPr>
          <w:rFonts w:ascii="Times New Roman" w:hAnsi="Times New Roman" w:cs="Times New Roman"/>
          <w:sz w:val="26"/>
          <w:szCs w:val="26"/>
        </w:rPr>
      </w:pPr>
    </w:p>
    <w:p w14:paraId="7E278E0F" w14:textId="54EEC811" w:rsidR="00CC0BEA" w:rsidRPr="008157A7" w:rsidRDefault="00CC0BEA" w:rsidP="00FB3354">
      <w:pPr>
        <w:pStyle w:val="ListParagraph"/>
        <w:numPr>
          <w:ilvl w:val="0"/>
          <w:numId w:val="1"/>
        </w:numPr>
        <w:spacing w:line="360" w:lineRule="auto"/>
        <w:jc w:val="both"/>
        <w:rPr>
          <w:rFonts w:ascii="Times New Roman" w:hAnsi="Times New Roman" w:cs="Times New Roman"/>
          <w:sz w:val="26"/>
          <w:szCs w:val="26"/>
        </w:rPr>
      </w:pPr>
      <w:r w:rsidRPr="008157A7">
        <w:rPr>
          <w:rFonts w:ascii="Times New Roman" w:hAnsi="Times New Roman" w:cs="Times New Roman"/>
          <w:sz w:val="26"/>
          <w:szCs w:val="26"/>
        </w:rPr>
        <w:t xml:space="preserve">Not long after he became a Judge, John </w:t>
      </w:r>
      <w:r w:rsidR="004539FE" w:rsidRPr="008157A7">
        <w:rPr>
          <w:rFonts w:ascii="Times New Roman" w:hAnsi="Times New Roman" w:cs="Times New Roman"/>
          <w:sz w:val="26"/>
          <w:szCs w:val="26"/>
        </w:rPr>
        <w:t>produced</w:t>
      </w:r>
      <w:r w:rsidRPr="008157A7">
        <w:rPr>
          <w:rFonts w:ascii="Times New Roman" w:hAnsi="Times New Roman" w:cs="Times New Roman"/>
          <w:sz w:val="26"/>
          <w:szCs w:val="26"/>
        </w:rPr>
        <w:t xml:space="preserve"> a paper on “</w:t>
      </w:r>
      <w:r w:rsidRPr="008157A7">
        <w:rPr>
          <w:rFonts w:ascii="Times New Roman" w:hAnsi="Times New Roman" w:cs="Times New Roman"/>
          <w:sz w:val="26"/>
          <w:szCs w:val="26"/>
          <w:u w:val="single"/>
        </w:rPr>
        <w:t>Law and Democracy</w:t>
      </w:r>
      <w:r w:rsidRPr="008157A7">
        <w:rPr>
          <w:rFonts w:ascii="Times New Roman" w:hAnsi="Times New Roman" w:cs="Times New Roman"/>
          <w:sz w:val="26"/>
          <w:szCs w:val="26"/>
        </w:rPr>
        <w:t>”</w:t>
      </w:r>
      <w:r w:rsidRPr="00CC0BEA">
        <w:rPr>
          <w:rStyle w:val="FootnoteReference"/>
          <w:rFonts w:ascii="Times New Roman" w:hAnsi="Times New Roman" w:cs="Times New Roman"/>
          <w:sz w:val="26"/>
          <w:szCs w:val="26"/>
        </w:rPr>
        <w:footnoteReference w:id="43"/>
      </w:r>
      <w:r w:rsidRPr="008157A7">
        <w:rPr>
          <w:rFonts w:ascii="Times New Roman" w:hAnsi="Times New Roman" w:cs="Times New Roman"/>
          <w:sz w:val="26"/>
          <w:szCs w:val="26"/>
        </w:rPr>
        <w:t>, in which he wrote:</w:t>
      </w:r>
    </w:p>
    <w:p w14:paraId="7B6498EE" w14:textId="6385BE55" w:rsidR="00B60450" w:rsidRPr="00CC0BEA" w:rsidRDefault="00CC0BEA" w:rsidP="00CC0BEA">
      <w:pPr>
        <w:spacing w:line="276" w:lineRule="auto"/>
        <w:ind w:left="1440"/>
        <w:jc w:val="both"/>
        <w:rPr>
          <w:rFonts w:ascii="Times New Roman" w:hAnsi="Times New Roman" w:cs="Times New Roman"/>
          <w:sz w:val="26"/>
          <w:szCs w:val="26"/>
        </w:rPr>
      </w:pPr>
      <w:r>
        <w:rPr>
          <w:rFonts w:ascii="Times New Roman" w:hAnsi="Times New Roman" w:cs="Times New Roman"/>
          <w:sz w:val="26"/>
          <w:szCs w:val="26"/>
        </w:rPr>
        <w:t>“</w:t>
      </w:r>
      <w:r w:rsidRPr="00E43EE6">
        <w:rPr>
          <w:rFonts w:ascii="Times New Roman" w:hAnsi="Times New Roman" w:cs="Times New Roman"/>
          <w:i/>
          <w:iCs/>
          <w:sz w:val="26"/>
          <w:szCs w:val="26"/>
        </w:rPr>
        <w:t>Though our constitution is unwritten, it can and must be articulated. Though it changes, the principles by which it goes can and must be elaborated. They are not silent; they represent the aspirations of a free people. They must be spoken and explained and, indeed, argued over. Politicians, lawyers, scholars, and many others have to do this. Constitutional theory has, perhaps, occupied too modest a place here in Britain, so that the colour and reach of public power has not been exposed to a glare that is fierce enough. … The imperatives of democracy and fundamental rights do not only demand acceptance; they demand a vindication that survives any test of intellectual rigour. There must always be voices to speak for them, in and out of the law. By their very nature, these imperatives require also that their enemies be given full rein to express their views. It means that the defence of these values cannot be assumed, but must always be asserted. There is no point at which there is nothing more to say; there is no moment at which they are indefensible, no imaginable circumstances in which to consign them to silence…”</w:t>
      </w:r>
      <w:r w:rsidR="00B66DAC">
        <w:rPr>
          <w:rFonts w:ascii="Times New Roman" w:hAnsi="Times New Roman" w:cs="Times New Roman"/>
          <w:sz w:val="26"/>
          <w:szCs w:val="26"/>
        </w:rPr>
        <w:t>.</w:t>
      </w:r>
    </w:p>
    <w:p w14:paraId="44827739" w14:textId="77777777" w:rsidR="00B60450" w:rsidRDefault="00B60450" w:rsidP="00B60450">
      <w:pPr>
        <w:pStyle w:val="ListParagraph"/>
        <w:spacing w:line="360" w:lineRule="auto"/>
        <w:jc w:val="both"/>
        <w:rPr>
          <w:rFonts w:ascii="Times New Roman" w:hAnsi="Times New Roman" w:cs="Times New Roman"/>
          <w:sz w:val="26"/>
          <w:szCs w:val="26"/>
        </w:rPr>
      </w:pPr>
    </w:p>
    <w:p w14:paraId="7CD31804" w14:textId="177B1F90" w:rsidR="000822BA" w:rsidRDefault="000822BA" w:rsidP="007B601C">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In 2013, </w:t>
      </w:r>
      <w:r w:rsidR="008157A7">
        <w:rPr>
          <w:rFonts w:ascii="Times New Roman" w:hAnsi="Times New Roman" w:cs="Times New Roman"/>
          <w:sz w:val="26"/>
          <w:szCs w:val="26"/>
        </w:rPr>
        <w:t>John</w:t>
      </w:r>
      <w:r>
        <w:rPr>
          <w:rFonts w:ascii="Times New Roman" w:hAnsi="Times New Roman" w:cs="Times New Roman"/>
          <w:sz w:val="26"/>
          <w:szCs w:val="26"/>
        </w:rPr>
        <w:t xml:space="preserve"> gave the 2013 Hamlyn Lectures under the title </w:t>
      </w:r>
      <w:bookmarkStart w:id="1" w:name="_Hlk45057927"/>
      <w:r>
        <w:rPr>
          <w:rFonts w:ascii="Times New Roman" w:hAnsi="Times New Roman" w:cs="Times New Roman"/>
          <w:sz w:val="26"/>
          <w:szCs w:val="26"/>
          <w:u w:val="single"/>
        </w:rPr>
        <w:t>The Common Law Constitution</w:t>
      </w:r>
      <w:bookmarkEnd w:id="1"/>
      <w:r w:rsidRPr="000822BA">
        <w:rPr>
          <w:rStyle w:val="FootnoteReference"/>
          <w:rFonts w:ascii="Times New Roman" w:hAnsi="Times New Roman" w:cs="Times New Roman"/>
          <w:sz w:val="26"/>
          <w:szCs w:val="26"/>
        </w:rPr>
        <w:footnoteReference w:id="44"/>
      </w:r>
      <w:r>
        <w:rPr>
          <w:rFonts w:ascii="Times New Roman" w:hAnsi="Times New Roman" w:cs="Times New Roman"/>
          <w:sz w:val="26"/>
          <w:szCs w:val="26"/>
        </w:rPr>
        <w:t xml:space="preserve">, in which he discussed </w:t>
      </w:r>
      <w:r w:rsidRPr="000822BA">
        <w:rPr>
          <w:rFonts w:ascii="Times New Roman" w:hAnsi="Times New Roman" w:cs="Times New Roman"/>
          <w:sz w:val="26"/>
          <w:szCs w:val="26"/>
        </w:rPr>
        <w:t xml:space="preserve">the constitutional balance between </w:t>
      </w:r>
      <w:r>
        <w:rPr>
          <w:rFonts w:ascii="Times New Roman" w:hAnsi="Times New Roman" w:cs="Times New Roman"/>
          <w:sz w:val="26"/>
          <w:szCs w:val="26"/>
        </w:rPr>
        <w:t xml:space="preserve">the rule of </w:t>
      </w:r>
      <w:r w:rsidRPr="000822BA">
        <w:rPr>
          <w:rFonts w:ascii="Times New Roman" w:hAnsi="Times New Roman" w:cs="Times New Roman"/>
          <w:sz w:val="26"/>
          <w:szCs w:val="26"/>
        </w:rPr>
        <w:t xml:space="preserve">law and </w:t>
      </w:r>
      <w:r>
        <w:rPr>
          <w:rFonts w:ascii="Times New Roman" w:hAnsi="Times New Roman" w:cs="Times New Roman"/>
          <w:sz w:val="26"/>
          <w:szCs w:val="26"/>
        </w:rPr>
        <w:t xml:space="preserve">democratic </w:t>
      </w:r>
      <w:r w:rsidRPr="000822BA">
        <w:rPr>
          <w:rFonts w:ascii="Times New Roman" w:hAnsi="Times New Roman" w:cs="Times New Roman"/>
          <w:sz w:val="26"/>
          <w:szCs w:val="26"/>
        </w:rPr>
        <w:t>government in the United Kingdom. H</w:t>
      </w:r>
      <w:r>
        <w:rPr>
          <w:rFonts w:ascii="Times New Roman" w:hAnsi="Times New Roman" w:cs="Times New Roman"/>
          <w:sz w:val="26"/>
          <w:szCs w:val="26"/>
        </w:rPr>
        <w:t>i</w:t>
      </w:r>
      <w:r w:rsidRPr="000822BA">
        <w:rPr>
          <w:rFonts w:ascii="Times New Roman" w:hAnsi="Times New Roman" w:cs="Times New Roman"/>
          <w:sz w:val="26"/>
          <w:szCs w:val="26"/>
        </w:rPr>
        <w:t>s</w:t>
      </w:r>
      <w:r>
        <w:rPr>
          <w:rFonts w:ascii="Times New Roman" w:hAnsi="Times New Roman" w:cs="Times New Roman"/>
          <w:sz w:val="26"/>
          <w:szCs w:val="26"/>
        </w:rPr>
        <w:t xml:space="preserve"> basic point was</w:t>
      </w:r>
      <w:r w:rsidRPr="000822BA">
        <w:rPr>
          <w:rFonts w:ascii="Times New Roman" w:hAnsi="Times New Roman" w:cs="Times New Roman"/>
          <w:sz w:val="26"/>
          <w:szCs w:val="26"/>
        </w:rPr>
        <w:t xml:space="preserve"> that the</w:t>
      </w:r>
      <w:r>
        <w:rPr>
          <w:rFonts w:ascii="Times New Roman" w:hAnsi="Times New Roman" w:cs="Times New Roman"/>
          <w:sz w:val="26"/>
          <w:szCs w:val="26"/>
        </w:rPr>
        <w:t xml:space="preserve"> common law was the</w:t>
      </w:r>
      <w:r w:rsidRPr="000822BA">
        <w:rPr>
          <w:rFonts w:ascii="Times New Roman" w:hAnsi="Times New Roman" w:cs="Times New Roman"/>
          <w:sz w:val="26"/>
          <w:szCs w:val="26"/>
        </w:rPr>
        <w:t xml:space="preserve"> unifying principle of the</w:t>
      </w:r>
      <w:r>
        <w:rPr>
          <w:rFonts w:ascii="Times New Roman" w:hAnsi="Times New Roman" w:cs="Times New Roman"/>
          <w:sz w:val="26"/>
          <w:szCs w:val="26"/>
        </w:rPr>
        <w:t xml:space="preserve"> UK</w:t>
      </w:r>
      <w:r w:rsidRPr="000822BA">
        <w:rPr>
          <w:rFonts w:ascii="Times New Roman" w:hAnsi="Times New Roman" w:cs="Times New Roman"/>
          <w:sz w:val="26"/>
          <w:szCs w:val="26"/>
        </w:rPr>
        <w:t xml:space="preserve"> constitution</w:t>
      </w:r>
      <w:r>
        <w:rPr>
          <w:rFonts w:ascii="Times New Roman" w:hAnsi="Times New Roman" w:cs="Times New Roman"/>
          <w:sz w:val="26"/>
          <w:szCs w:val="26"/>
        </w:rPr>
        <w:t>, and that this distinctive characteristic</w:t>
      </w:r>
      <w:r w:rsidRPr="000822BA">
        <w:rPr>
          <w:rFonts w:ascii="Times New Roman" w:hAnsi="Times New Roman" w:cs="Times New Roman"/>
          <w:sz w:val="26"/>
          <w:szCs w:val="26"/>
        </w:rPr>
        <w:t xml:space="preserve"> has endowed the </w:t>
      </w:r>
      <w:r>
        <w:rPr>
          <w:rFonts w:ascii="Times New Roman" w:hAnsi="Times New Roman" w:cs="Times New Roman"/>
          <w:sz w:val="26"/>
          <w:szCs w:val="26"/>
        </w:rPr>
        <w:t>state</w:t>
      </w:r>
      <w:r w:rsidRPr="000822BA">
        <w:rPr>
          <w:rFonts w:ascii="Times New Roman" w:hAnsi="Times New Roman" w:cs="Times New Roman"/>
          <w:sz w:val="26"/>
          <w:szCs w:val="26"/>
        </w:rPr>
        <w:t xml:space="preserve"> with profoundly beneficial effects</w:t>
      </w:r>
      <w:r>
        <w:rPr>
          <w:rFonts w:ascii="Times New Roman" w:hAnsi="Times New Roman" w:cs="Times New Roman"/>
          <w:sz w:val="26"/>
          <w:szCs w:val="26"/>
        </w:rPr>
        <w:t>. In the course of his typically erudite, but entertaining, lectures, he examined what he regarded as tw</w:t>
      </w:r>
      <w:r w:rsidRPr="000822BA">
        <w:rPr>
          <w:rFonts w:ascii="Times New Roman" w:hAnsi="Times New Roman" w:cs="Times New Roman"/>
          <w:sz w:val="26"/>
          <w:szCs w:val="26"/>
        </w:rPr>
        <w:t xml:space="preserve">o contemporary threats to the constitutional balance: extremism and the effect of </w:t>
      </w:r>
      <w:r>
        <w:rPr>
          <w:rFonts w:ascii="Times New Roman" w:hAnsi="Times New Roman" w:cs="Times New Roman"/>
          <w:sz w:val="26"/>
          <w:szCs w:val="26"/>
        </w:rPr>
        <w:t>EU laws</w:t>
      </w:r>
      <w:r w:rsidRPr="000822BA">
        <w:rPr>
          <w:rFonts w:ascii="Times New Roman" w:hAnsi="Times New Roman" w:cs="Times New Roman"/>
          <w:sz w:val="26"/>
          <w:szCs w:val="26"/>
        </w:rPr>
        <w:t>.</w:t>
      </w:r>
      <w:r>
        <w:rPr>
          <w:rFonts w:ascii="Times New Roman" w:hAnsi="Times New Roman" w:cs="Times New Roman"/>
          <w:sz w:val="26"/>
          <w:szCs w:val="26"/>
        </w:rPr>
        <w:t xml:space="preserve"> </w:t>
      </w:r>
      <w:r w:rsidR="00046133">
        <w:rPr>
          <w:rFonts w:ascii="Times New Roman" w:hAnsi="Times New Roman" w:cs="Times New Roman"/>
          <w:sz w:val="26"/>
          <w:szCs w:val="26"/>
        </w:rPr>
        <w:t>He described the judicial role in developing the common law as involving a “</w:t>
      </w:r>
      <w:r w:rsidR="00046133">
        <w:rPr>
          <w:rFonts w:ascii="Times New Roman" w:hAnsi="Times New Roman" w:cs="Times New Roman"/>
          <w:i/>
          <w:iCs/>
          <w:sz w:val="26"/>
          <w:szCs w:val="26"/>
        </w:rPr>
        <w:t>fourfold method</w:t>
      </w:r>
      <w:r w:rsidR="00046133">
        <w:rPr>
          <w:rFonts w:ascii="Times New Roman" w:hAnsi="Times New Roman" w:cs="Times New Roman"/>
          <w:sz w:val="26"/>
          <w:szCs w:val="26"/>
        </w:rPr>
        <w:t>”</w:t>
      </w:r>
      <w:r w:rsidR="00046133">
        <w:rPr>
          <w:rStyle w:val="FootnoteReference"/>
          <w:rFonts w:ascii="Times New Roman" w:hAnsi="Times New Roman" w:cs="Times New Roman"/>
          <w:sz w:val="26"/>
          <w:szCs w:val="26"/>
        </w:rPr>
        <w:footnoteReference w:id="45"/>
      </w:r>
      <w:r w:rsidR="00046133">
        <w:rPr>
          <w:rFonts w:ascii="Times New Roman" w:hAnsi="Times New Roman" w:cs="Times New Roman"/>
          <w:sz w:val="26"/>
          <w:szCs w:val="26"/>
        </w:rPr>
        <w:t>, namely evolution, experiment, history, and distillation.</w:t>
      </w:r>
    </w:p>
    <w:p w14:paraId="35C4D083" w14:textId="77777777" w:rsidR="00046133" w:rsidRDefault="00046133" w:rsidP="00046133">
      <w:pPr>
        <w:pStyle w:val="ListParagraph"/>
        <w:spacing w:line="360" w:lineRule="auto"/>
        <w:jc w:val="both"/>
        <w:rPr>
          <w:rFonts w:ascii="Times New Roman" w:hAnsi="Times New Roman" w:cs="Times New Roman"/>
          <w:sz w:val="26"/>
          <w:szCs w:val="26"/>
        </w:rPr>
      </w:pPr>
    </w:p>
    <w:p w14:paraId="5BCA6990" w14:textId="43B4F19F" w:rsidR="00046133" w:rsidRDefault="00046133" w:rsidP="007B601C">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In the same passage</w:t>
      </w:r>
      <w:r>
        <w:rPr>
          <w:rStyle w:val="FootnoteReference"/>
          <w:rFonts w:ascii="Times New Roman" w:hAnsi="Times New Roman" w:cs="Times New Roman"/>
          <w:sz w:val="26"/>
          <w:szCs w:val="26"/>
        </w:rPr>
        <w:footnoteReference w:id="46"/>
      </w:r>
      <w:r>
        <w:rPr>
          <w:rFonts w:ascii="Times New Roman" w:hAnsi="Times New Roman" w:cs="Times New Roman"/>
          <w:sz w:val="26"/>
          <w:szCs w:val="26"/>
        </w:rPr>
        <w:t xml:space="preserve">, John’s view </w:t>
      </w:r>
      <w:r w:rsidR="001A6013">
        <w:rPr>
          <w:rFonts w:ascii="Times New Roman" w:hAnsi="Times New Roman" w:cs="Times New Roman"/>
          <w:sz w:val="26"/>
          <w:szCs w:val="26"/>
        </w:rPr>
        <w:t>of</w:t>
      </w:r>
      <w:r>
        <w:rPr>
          <w:rFonts w:ascii="Times New Roman" w:hAnsi="Times New Roman" w:cs="Times New Roman"/>
          <w:sz w:val="26"/>
          <w:szCs w:val="26"/>
        </w:rPr>
        <w:t xml:space="preserve"> the nature and function of the practice of law was brilliantly expressed in these terms:</w:t>
      </w:r>
    </w:p>
    <w:p w14:paraId="3966033A" w14:textId="77777777" w:rsidR="00046133" w:rsidRPr="00046133" w:rsidRDefault="00046133" w:rsidP="00046133">
      <w:pPr>
        <w:pStyle w:val="ListParagraph"/>
        <w:rPr>
          <w:rFonts w:ascii="Times New Roman" w:hAnsi="Times New Roman" w:cs="Times New Roman"/>
          <w:sz w:val="26"/>
          <w:szCs w:val="26"/>
        </w:rPr>
      </w:pPr>
    </w:p>
    <w:p w14:paraId="7D296DCB" w14:textId="260A7DD6" w:rsidR="00046133" w:rsidRPr="00046133" w:rsidRDefault="00046133" w:rsidP="00046133">
      <w:pPr>
        <w:spacing w:line="276" w:lineRule="auto"/>
        <w:ind w:left="1440"/>
        <w:jc w:val="both"/>
        <w:rPr>
          <w:rFonts w:ascii="Times New Roman" w:hAnsi="Times New Roman" w:cs="Times New Roman"/>
          <w:sz w:val="26"/>
          <w:szCs w:val="26"/>
        </w:rPr>
      </w:pPr>
      <w:r>
        <w:rPr>
          <w:rFonts w:ascii="Times New Roman" w:hAnsi="Times New Roman" w:cs="Times New Roman"/>
          <w:sz w:val="26"/>
          <w:szCs w:val="26"/>
        </w:rPr>
        <w:t>“</w:t>
      </w:r>
      <w:r w:rsidRPr="00046133">
        <w:rPr>
          <w:rFonts w:ascii="Times New Roman" w:hAnsi="Times New Roman" w:cs="Times New Roman"/>
          <w:i/>
          <w:iCs/>
          <w:sz w:val="26"/>
          <w:szCs w:val="26"/>
        </w:rPr>
        <w:t>The law is not a science, for its purpose is not to find out natural facts. It is an art as architecture is an art: its function is practical, but it is enhanced by such qualities as elegance, economy and clarity. The law has two practical purposes: first, to require, forbid or penalise forms of conduct between citizen and citizen, and citizen and State; secondly, to provide formal rules for classes of human activity whose fulfilment would otherwise be confused, uncertain or ineffective. Laws in the former category include every provision for a remedy</w:t>
      </w:r>
      <w:r>
        <w:rPr>
          <w:rFonts w:ascii="Times New Roman" w:hAnsi="Times New Roman" w:cs="Times New Roman"/>
          <w:sz w:val="26"/>
          <w:szCs w:val="26"/>
        </w:rPr>
        <w:t>”.</w:t>
      </w:r>
    </w:p>
    <w:p w14:paraId="0AC81702" w14:textId="77777777" w:rsidR="000822BA" w:rsidRDefault="000822BA" w:rsidP="000822BA">
      <w:pPr>
        <w:pStyle w:val="ListParagraph"/>
        <w:spacing w:line="360" w:lineRule="auto"/>
        <w:jc w:val="both"/>
        <w:rPr>
          <w:rFonts w:ascii="Times New Roman" w:hAnsi="Times New Roman" w:cs="Times New Roman"/>
          <w:sz w:val="26"/>
          <w:szCs w:val="26"/>
        </w:rPr>
      </w:pPr>
    </w:p>
    <w:p w14:paraId="6E410F0B" w14:textId="2C08DF59" w:rsidR="00B66DAC" w:rsidRPr="00B1171B" w:rsidRDefault="00B66DAC" w:rsidP="007B601C">
      <w:pPr>
        <w:pStyle w:val="ListParagraph"/>
        <w:numPr>
          <w:ilvl w:val="0"/>
          <w:numId w:val="1"/>
        </w:numPr>
        <w:spacing w:line="360" w:lineRule="auto"/>
        <w:jc w:val="both"/>
        <w:rPr>
          <w:rFonts w:ascii="Times New Roman" w:hAnsi="Times New Roman" w:cs="Times New Roman"/>
          <w:sz w:val="26"/>
          <w:szCs w:val="26"/>
        </w:rPr>
      </w:pPr>
      <w:r w:rsidRPr="00B1171B">
        <w:rPr>
          <w:rFonts w:ascii="Times New Roman" w:hAnsi="Times New Roman" w:cs="Times New Roman"/>
          <w:sz w:val="26"/>
          <w:szCs w:val="26"/>
        </w:rPr>
        <w:t xml:space="preserve"> </w:t>
      </w:r>
      <w:r w:rsidR="00046133">
        <w:rPr>
          <w:rFonts w:ascii="Times New Roman" w:hAnsi="Times New Roman" w:cs="Times New Roman"/>
          <w:sz w:val="26"/>
          <w:szCs w:val="26"/>
        </w:rPr>
        <w:t>Three years later, i</w:t>
      </w:r>
      <w:r w:rsidR="006615C3">
        <w:rPr>
          <w:rFonts w:ascii="Times New Roman" w:hAnsi="Times New Roman" w:cs="Times New Roman"/>
          <w:sz w:val="26"/>
          <w:szCs w:val="26"/>
        </w:rPr>
        <w:t xml:space="preserve">n a </w:t>
      </w:r>
      <w:r w:rsidRPr="00B1171B">
        <w:rPr>
          <w:rFonts w:ascii="Times New Roman" w:hAnsi="Times New Roman" w:cs="Times New Roman"/>
          <w:sz w:val="26"/>
          <w:szCs w:val="26"/>
        </w:rPr>
        <w:t>paper</w:t>
      </w:r>
      <w:r w:rsidR="006615C3">
        <w:rPr>
          <w:rFonts w:ascii="Times New Roman" w:hAnsi="Times New Roman" w:cs="Times New Roman"/>
          <w:sz w:val="26"/>
          <w:szCs w:val="26"/>
        </w:rPr>
        <w:t xml:space="preserve"> </w:t>
      </w:r>
      <w:r w:rsidRPr="00B1171B">
        <w:rPr>
          <w:rFonts w:ascii="Times New Roman" w:hAnsi="Times New Roman" w:cs="Times New Roman"/>
          <w:sz w:val="26"/>
          <w:szCs w:val="26"/>
        </w:rPr>
        <w:t xml:space="preserve">on </w:t>
      </w:r>
      <w:r w:rsidRPr="00B1171B">
        <w:rPr>
          <w:rFonts w:ascii="Times New Roman" w:hAnsi="Times New Roman" w:cs="Times New Roman"/>
          <w:sz w:val="26"/>
          <w:szCs w:val="26"/>
          <w:u w:val="single"/>
        </w:rPr>
        <w:t>Judicial Activism</w:t>
      </w:r>
      <w:r w:rsidR="00A61326" w:rsidRPr="00046133">
        <w:rPr>
          <w:rStyle w:val="FootnoteReference"/>
          <w:rFonts w:ascii="Times New Roman" w:hAnsi="Times New Roman" w:cs="Times New Roman"/>
          <w:sz w:val="26"/>
          <w:szCs w:val="26"/>
        </w:rPr>
        <w:footnoteReference w:id="47"/>
      </w:r>
      <w:r w:rsidRPr="00046133">
        <w:rPr>
          <w:rFonts w:ascii="Times New Roman" w:hAnsi="Times New Roman" w:cs="Times New Roman"/>
          <w:sz w:val="26"/>
          <w:szCs w:val="26"/>
        </w:rPr>
        <w:t>,</w:t>
      </w:r>
      <w:r w:rsidRPr="00B1171B">
        <w:rPr>
          <w:rFonts w:ascii="Times New Roman" w:hAnsi="Times New Roman" w:cs="Times New Roman"/>
          <w:sz w:val="26"/>
          <w:szCs w:val="26"/>
        </w:rPr>
        <w:t xml:space="preserve"> </w:t>
      </w:r>
      <w:r w:rsidR="006615C3">
        <w:rPr>
          <w:rFonts w:ascii="Times New Roman" w:hAnsi="Times New Roman" w:cs="Times New Roman"/>
          <w:sz w:val="26"/>
          <w:szCs w:val="26"/>
        </w:rPr>
        <w:t>based on a speech he gave at the 2016 ALBA Summer conference,</w:t>
      </w:r>
      <w:r w:rsidR="006615C3" w:rsidRPr="00B1171B">
        <w:rPr>
          <w:rFonts w:ascii="Times New Roman" w:hAnsi="Times New Roman" w:cs="Times New Roman"/>
          <w:sz w:val="26"/>
          <w:szCs w:val="26"/>
        </w:rPr>
        <w:t xml:space="preserve"> </w:t>
      </w:r>
      <w:r w:rsidR="00B1171B" w:rsidRPr="00B1171B">
        <w:rPr>
          <w:rFonts w:ascii="Times New Roman" w:hAnsi="Times New Roman" w:cs="Times New Roman"/>
          <w:sz w:val="26"/>
          <w:szCs w:val="26"/>
        </w:rPr>
        <w:t>John</w:t>
      </w:r>
      <w:r w:rsidRPr="00B1171B">
        <w:rPr>
          <w:rFonts w:ascii="Times New Roman" w:hAnsi="Times New Roman" w:cs="Times New Roman"/>
          <w:sz w:val="26"/>
          <w:szCs w:val="26"/>
        </w:rPr>
        <w:t xml:space="preserve"> characterise</w:t>
      </w:r>
      <w:r w:rsidR="00B1171B" w:rsidRPr="00B1171B">
        <w:rPr>
          <w:rFonts w:ascii="Times New Roman" w:hAnsi="Times New Roman" w:cs="Times New Roman"/>
          <w:sz w:val="26"/>
          <w:szCs w:val="26"/>
        </w:rPr>
        <w:t>d</w:t>
      </w:r>
      <w:r w:rsidRPr="00B1171B">
        <w:rPr>
          <w:rFonts w:ascii="Times New Roman" w:hAnsi="Times New Roman" w:cs="Times New Roman"/>
          <w:sz w:val="26"/>
          <w:szCs w:val="26"/>
        </w:rPr>
        <w:t xml:space="preserve"> the judiciary as “</w:t>
      </w:r>
      <w:r w:rsidRPr="00B1171B">
        <w:rPr>
          <w:rFonts w:ascii="Times New Roman" w:hAnsi="Times New Roman" w:cs="Times New Roman"/>
          <w:i/>
          <w:iCs/>
          <w:sz w:val="26"/>
          <w:szCs w:val="26"/>
        </w:rPr>
        <w:t>the guardians of constitutional principle</w:t>
      </w:r>
      <w:r w:rsidRPr="00B1171B">
        <w:rPr>
          <w:rFonts w:ascii="Times New Roman" w:hAnsi="Times New Roman" w:cs="Times New Roman"/>
          <w:sz w:val="26"/>
          <w:szCs w:val="26"/>
        </w:rPr>
        <w:t xml:space="preserve">”, </w:t>
      </w:r>
      <w:r w:rsidR="00B1171B" w:rsidRPr="00B1171B">
        <w:rPr>
          <w:rFonts w:ascii="Times New Roman" w:hAnsi="Times New Roman" w:cs="Times New Roman"/>
          <w:sz w:val="26"/>
          <w:szCs w:val="26"/>
        </w:rPr>
        <w:t xml:space="preserve">and </w:t>
      </w:r>
      <w:r w:rsidRPr="00B1171B">
        <w:rPr>
          <w:rFonts w:ascii="Times New Roman" w:hAnsi="Times New Roman" w:cs="Times New Roman"/>
          <w:sz w:val="26"/>
          <w:szCs w:val="26"/>
        </w:rPr>
        <w:t>suggest</w:t>
      </w:r>
      <w:r w:rsidR="00B1171B" w:rsidRPr="00B1171B">
        <w:rPr>
          <w:rFonts w:ascii="Times New Roman" w:hAnsi="Times New Roman" w:cs="Times New Roman"/>
          <w:sz w:val="26"/>
          <w:szCs w:val="26"/>
        </w:rPr>
        <w:t>ed</w:t>
      </w:r>
      <w:r w:rsidRPr="00B1171B">
        <w:rPr>
          <w:rFonts w:ascii="Times New Roman" w:hAnsi="Times New Roman" w:cs="Times New Roman"/>
          <w:sz w:val="26"/>
          <w:szCs w:val="26"/>
        </w:rPr>
        <w:t xml:space="preserve"> that when construing statutes which touch the constitution, judges make law by insisting on the vindication of constitutional principle. </w:t>
      </w:r>
      <w:r w:rsidR="00B1171B" w:rsidRPr="00B1171B">
        <w:rPr>
          <w:rFonts w:ascii="Times New Roman" w:hAnsi="Times New Roman" w:cs="Times New Roman"/>
          <w:sz w:val="26"/>
          <w:szCs w:val="26"/>
        </w:rPr>
        <w:t>Having said that, he</w:t>
      </w:r>
      <w:r w:rsidRPr="00B1171B">
        <w:rPr>
          <w:rFonts w:ascii="Times New Roman" w:hAnsi="Times New Roman" w:cs="Times New Roman"/>
          <w:sz w:val="26"/>
          <w:szCs w:val="26"/>
        </w:rPr>
        <w:t xml:space="preserve"> acknowledge</w:t>
      </w:r>
      <w:r w:rsidR="00B1171B" w:rsidRPr="00B1171B">
        <w:rPr>
          <w:rFonts w:ascii="Times New Roman" w:hAnsi="Times New Roman" w:cs="Times New Roman"/>
          <w:sz w:val="26"/>
          <w:szCs w:val="26"/>
        </w:rPr>
        <w:t>d</w:t>
      </w:r>
      <w:r w:rsidRPr="00B1171B">
        <w:rPr>
          <w:rFonts w:ascii="Times New Roman" w:hAnsi="Times New Roman" w:cs="Times New Roman"/>
          <w:sz w:val="26"/>
          <w:szCs w:val="26"/>
        </w:rPr>
        <w:t xml:space="preserve"> the need for judicial restraint where decision-making moves into areas of policy</w:t>
      </w:r>
      <w:r w:rsidR="00F8369B">
        <w:rPr>
          <w:rFonts w:ascii="Times New Roman" w:hAnsi="Times New Roman" w:cs="Times New Roman"/>
          <w:sz w:val="26"/>
          <w:szCs w:val="26"/>
        </w:rPr>
        <w:t xml:space="preserve">. Thus, while </w:t>
      </w:r>
      <w:r w:rsidRPr="00B1171B">
        <w:rPr>
          <w:rFonts w:ascii="Times New Roman" w:hAnsi="Times New Roman" w:cs="Times New Roman"/>
          <w:sz w:val="26"/>
          <w:szCs w:val="26"/>
        </w:rPr>
        <w:t xml:space="preserve">a balance </w:t>
      </w:r>
      <w:r w:rsidR="00F8369B">
        <w:rPr>
          <w:rFonts w:ascii="Times New Roman" w:hAnsi="Times New Roman" w:cs="Times New Roman"/>
          <w:sz w:val="26"/>
          <w:szCs w:val="26"/>
        </w:rPr>
        <w:t>must</w:t>
      </w:r>
      <w:r w:rsidRPr="00B1171B">
        <w:rPr>
          <w:rFonts w:ascii="Times New Roman" w:hAnsi="Times New Roman" w:cs="Times New Roman"/>
          <w:sz w:val="26"/>
          <w:szCs w:val="26"/>
        </w:rPr>
        <w:t xml:space="preserve"> be struck between public and private interests,</w:t>
      </w:r>
      <w:r w:rsidR="00B1171B" w:rsidRPr="00B1171B">
        <w:rPr>
          <w:rFonts w:ascii="Times New Roman" w:hAnsi="Times New Roman" w:cs="Times New Roman"/>
          <w:sz w:val="26"/>
          <w:szCs w:val="26"/>
        </w:rPr>
        <w:t xml:space="preserve"> </w:t>
      </w:r>
      <w:r w:rsidR="00F8369B">
        <w:rPr>
          <w:rFonts w:ascii="Times New Roman" w:hAnsi="Times New Roman" w:cs="Times New Roman"/>
          <w:sz w:val="26"/>
          <w:szCs w:val="26"/>
        </w:rPr>
        <w:t>he</w:t>
      </w:r>
      <w:r w:rsidRPr="00B1171B">
        <w:rPr>
          <w:rFonts w:ascii="Times New Roman" w:hAnsi="Times New Roman" w:cs="Times New Roman"/>
          <w:sz w:val="26"/>
          <w:szCs w:val="26"/>
        </w:rPr>
        <w:t xml:space="preserve"> suggest</w:t>
      </w:r>
      <w:r w:rsidR="00B1171B" w:rsidRPr="00B1171B">
        <w:rPr>
          <w:rFonts w:ascii="Times New Roman" w:hAnsi="Times New Roman" w:cs="Times New Roman"/>
          <w:sz w:val="26"/>
          <w:szCs w:val="26"/>
        </w:rPr>
        <w:t>ed</w:t>
      </w:r>
      <w:r w:rsidRPr="00B1171B">
        <w:rPr>
          <w:rFonts w:ascii="Times New Roman" w:hAnsi="Times New Roman" w:cs="Times New Roman"/>
          <w:sz w:val="26"/>
          <w:szCs w:val="26"/>
        </w:rPr>
        <w:t xml:space="preserve"> that judges, as guardians of constitutional principle, have a duty to ensure that competing interests are considered by the primary decision-maker, but that “</w:t>
      </w:r>
      <w:r w:rsidRPr="00B1171B">
        <w:rPr>
          <w:rFonts w:ascii="Times New Roman" w:hAnsi="Times New Roman" w:cs="Times New Roman"/>
          <w:i/>
          <w:iCs/>
          <w:sz w:val="26"/>
          <w:szCs w:val="26"/>
        </w:rPr>
        <w:t>it is quite another [thing] to require the court to strike the balance itself</w:t>
      </w:r>
      <w:r w:rsidRPr="00B1171B">
        <w:rPr>
          <w:rFonts w:ascii="Times New Roman" w:hAnsi="Times New Roman" w:cs="Times New Roman"/>
          <w:sz w:val="26"/>
          <w:szCs w:val="26"/>
        </w:rPr>
        <w:t xml:space="preserve">”. </w:t>
      </w:r>
      <w:r w:rsidR="00B1171B" w:rsidRPr="00B1171B">
        <w:rPr>
          <w:rFonts w:ascii="Times New Roman" w:hAnsi="Times New Roman" w:cs="Times New Roman"/>
          <w:sz w:val="26"/>
          <w:szCs w:val="26"/>
        </w:rPr>
        <w:t xml:space="preserve"> He rejected the idea that judicial law-making was </w:t>
      </w:r>
      <w:r w:rsidRPr="00B1171B">
        <w:rPr>
          <w:rFonts w:ascii="Times New Roman" w:hAnsi="Times New Roman" w:cs="Times New Roman"/>
          <w:sz w:val="26"/>
          <w:szCs w:val="26"/>
        </w:rPr>
        <w:t>an “</w:t>
      </w:r>
      <w:r w:rsidRPr="00B1171B">
        <w:rPr>
          <w:rFonts w:ascii="Times New Roman" w:hAnsi="Times New Roman" w:cs="Times New Roman"/>
          <w:i/>
          <w:iCs/>
          <w:sz w:val="26"/>
          <w:szCs w:val="26"/>
        </w:rPr>
        <w:t>affront to democratic sensitivity</w:t>
      </w:r>
      <w:r w:rsidRPr="00B1171B">
        <w:rPr>
          <w:rFonts w:ascii="Times New Roman" w:hAnsi="Times New Roman" w:cs="Times New Roman"/>
          <w:sz w:val="26"/>
          <w:szCs w:val="26"/>
        </w:rPr>
        <w:t xml:space="preserve">”, </w:t>
      </w:r>
      <w:r w:rsidR="00B1171B" w:rsidRPr="00B1171B">
        <w:rPr>
          <w:rFonts w:ascii="Times New Roman" w:hAnsi="Times New Roman" w:cs="Times New Roman"/>
          <w:sz w:val="26"/>
          <w:szCs w:val="26"/>
        </w:rPr>
        <w:t>pointing out</w:t>
      </w:r>
      <w:r w:rsidRPr="00B1171B">
        <w:rPr>
          <w:rFonts w:ascii="Times New Roman" w:hAnsi="Times New Roman" w:cs="Times New Roman"/>
          <w:sz w:val="26"/>
          <w:szCs w:val="26"/>
        </w:rPr>
        <w:t xml:space="preserve"> that democracy </w:t>
      </w:r>
      <w:r w:rsidR="00F8369B">
        <w:rPr>
          <w:rFonts w:ascii="Times New Roman" w:hAnsi="Times New Roman" w:cs="Times New Roman"/>
          <w:sz w:val="26"/>
          <w:szCs w:val="26"/>
        </w:rPr>
        <w:t>wa</w:t>
      </w:r>
      <w:r w:rsidRPr="00B1171B">
        <w:rPr>
          <w:rFonts w:ascii="Times New Roman" w:hAnsi="Times New Roman" w:cs="Times New Roman"/>
          <w:sz w:val="26"/>
          <w:szCs w:val="26"/>
        </w:rPr>
        <w:t xml:space="preserve">s premised upon reason, fairness, freedom and legal certainty, and it is within these limits that the constitutional balance is struck, the Courts being </w:t>
      </w:r>
      <w:r w:rsidR="00B1171B" w:rsidRPr="00B1171B">
        <w:rPr>
          <w:rFonts w:ascii="Times New Roman" w:hAnsi="Times New Roman" w:cs="Times New Roman"/>
          <w:sz w:val="26"/>
          <w:szCs w:val="26"/>
        </w:rPr>
        <w:t>“</w:t>
      </w:r>
      <w:r w:rsidR="00B1171B" w:rsidRPr="00B1171B">
        <w:rPr>
          <w:rFonts w:ascii="Times New Roman" w:hAnsi="Times New Roman" w:cs="Times New Roman"/>
          <w:i/>
          <w:iCs/>
          <w:sz w:val="26"/>
          <w:szCs w:val="26"/>
        </w:rPr>
        <w:t>invitees on a territory that is not their own</w:t>
      </w:r>
      <w:r w:rsidR="00B1171B" w:rsidRPr="00B1171B">
        <w:rPr>
          <w:rFonts w:ascii="Times New Roman" w:hAnsi="Times New Roman" w:cs="Times New Roman"/>
          <w:sz w:val="26"/>
          <w:szCs w:val="26"/>
        </w:rPr>
        <w:t>”. He</w:t>
      </w:r>
      <w:r w:rsidRPr="00B1171B">
        <w:rPr>
          <w:rFonts w:ascii="Times New Roman" w:hAnsi="Times New Roman" w:cs="Times New Roman"/>
          <w:sz w:val="26"/>
          <w:szCs w:val="26"/>
        </w:rPr>
        <w:t xml:space="preserve"> conclude</w:t>
      </w:r>
      <w:r w:rsidR="00B1171B">
        <w:rPr>
          <w:rFonts w:ascii="Times New Roman" w:hAnsi="Times New Roman" w:cs="Times New Roman"/>
          <w:sz w:val="26"/>
          <w:szCs w:val="26"/>
        </w:rPr>
        <w:t>d</w:t>
      </w:r>
      <w:r w:rsidRPr="00B1171B">
        <w:rPr>
          <w:rFonts w:ascii="Times New Roman" w:hAnsi="Times New Roman" w:cs="Times New Roman"/>
          <w:sz w:val="26"/>
          <w:szCs w:val="26"/>
        </w:rPr>
        <w:t xml:space="preserve"> this paper stating</w:t>
      </w:r>
      <w:r w:rsidR="00B1171B">
        <w:rPr>
          <w:rFonts w:ascii="Times New Roman" w:hAnsi="Times New Roman" w:cs="Times New Roman"/>
          <w:sz w:val="26"/>
          <w:szCs w:val="26"/>
        </w:rPr>
        <w:t xml:space="preserve"> </w:t>
      </w:r>
      <w:r w:rsidRPr="00B1171B">
        <w:rPr>
          <w:rFonts w:ascii="Times New Roman" w:hAnsi="Times New Roman" w:cs="Times New Roman"/>
          <w:sz w:val="26"/>
          <w:szCs w:val="26"/>
        </w:rPr>
        <w:t>“</w:t>
      </w:r>
      <w:r w:rsidR="00B1171B" w:rsidRPr="00B1171B">
        <w:rPr>
          <w:rFonts w:ascii="Times New Roman" w:hAnsi="Times New Roman" w:cs="Times New Roman"/>
          <w:i/>
          <w:iCs/>
          <w:sz w:val="26"/>
          <w:szCs w:val="26"/>
        </w:rPr>
        <w:t>t</w:t>
      </w:r>
      <w:r w:rsidRPr="00B1171B">
        <w:rPr>
          <w:rFonts w:ascii="Times New Roman" w:hAnsi="Times New Roman" w:cs="Times New Roman"/>
          <w:i/>
          <w:iCs/>
          <w:sz w:val="26"/>
          <w:szCs w:val="26"/>
        </w:rPr>
        <w:t>he legislature is by nature given to experiment. The common law is by nature given to conversation. Judges do, and must, make law; but they do it, not by re-inventing the wheel, but only by making new lamps from old</w:t>
      </w:r>
      <w:r w:rsidRPr="00B1171B">
        <w:rPr>
          <w:rFonts w:ascii="Times New Roman" w:hAnsi="Times New Roman" w:cs="Times New Roman"/>
          <w:sz w:val="26"/>
          <w:szCs w:val="26"/>
        </w:rPr>
        <w:t>”</w:t>
      </w:r>
      <w:r w:rsidR="00B1171B">
        <w:rPr>
          <w:rFonts w:ascii="Times New Roman" w:hAnsi="Times New Roman" w:cs="Times New Roman"/>
          <w:sz w:val="26"/>
          <w:szCs w:val="26"/>
        </w:rPr>
        <w:t>.</w:t>
      </w:r>
      <w:r w:rsidRPr="00B1171B">
        <w:rPr>
          <w:rFonts w:ascii="Times New Roman" w:hAnsi="Times New Roman" w:cs="Times New Roman"/>
          <w:sz w:val="26"/>
          <w:szCs w:val="26"/>
        </w:rPr>
        <w:t xml:space="preserve">  </w:t>
      </w:r>
    </w:p>
    <w:p w14:paraId="44A7596F" w14:textId="50EAFBFA" w:rsidR="00B66DAC" w:rsidRDefault="00B66DAC" w:rsidP="00A61326">
      <w:pPr>
        <w:pStyle w:val="ListParagraph"/>
        <w:spacing w:line="360" w:lineRule="auto"/>
        <w:jc w:val="both"/>
        <w:rPr>
          <w:rFonts w:ascii="Times New Roman" w:hAnsi="Times New Roman" w:cs="Times New Roman"/>
          <w:sz w:val="26"/>
          <w:szCs w:val="26"/>
        </w:rPr>
      </w:pPr>
    </w:p>
    <w:p w14:paraId="7FB9281F" w14:textId="37D09024" w:rsidR="00A61326" w:rsidRPr="00A61326" w:rsidRDefault="00A61326" w:rsidP="00757116">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This view that judges can and should make the law is controversial and has been characterised by some writers as being both brilliant and</w:t>
      </w:r>
      <w:r w:rsidR="00743193">
        <w:rPr>
          <w:rFonts w:ascii="Times New Roman" w:hAnsi="Times New Roman" w:cs="Times New Roman"/>
          <w:sz w:val="26"/>
          <w:szCs w:val="26"/>
        </w:rPr>
        <w:t xml:space="preserve"> wrong</w:t>
      </w:r>
      <w:r>
        <w:rPr>
          <w:rFonts w:ascii="Times New Roman" w:hAnsi="Times New Roman" w:cs="Times New Roman"/>
          <w:sz w:val="26"/>
          <w:szCs w:val="26"/>
        </w:rPr>
        <w:t>. I think that th</w:t>
      </w:r>
      <w:r w:rsidR="00894F34">
        <w:rPr>
          <w:rFonts w:ascii="Times New Roman" w:hAnsi="Times New Roman" w:cs="Times New Roman"/>
          <w:sz w:val="26"/>
          <w:szCs w:val="26"/>
        </w:rPr>
        <w:t>is characterisation is</w:t>
      </w:r>
      <w:r>
        <w:rPr>
          <w:rFonts w:ascii="Times New Roman" w:hAnsi="Times New Roman" w:cs="Times New Roman"/>
          <w:sz w:val="26"/>
          <w:szCs w:val="26"/>
        </w:rPr>
        <w:t xml:space="preserve"> half-right: John was quite </w:t>
      </w:r>
      <w:r w:rsidR="00743193">
        <w:rPr>
          <w:rFonts w:ascii="Times New Roman" w:hAnsi="Times New Roman" w:cs="Times New Roman"/>
          <w:sz w:val="26"/>
          <w:szCs w:val="26"/>
        </w:rPr>
        <w:t>correct</w:t>
      </w:r>
      <w:r>
        <w:rPr>
          <w:rFonts w:ascii="Times New Roman" w:hAnsi="Times New Roman" w:cs="Times New Roman"/>
          <w:sz w:val="26"/>
          <w:szCs w:val="26"/>
        </w:rPr>
        <w:t>ly described by Christopher Forsyth as writing “</w:t>
      </w:r>
      <w:r w:rsidRPr="00A61326">
        <w:rPr>
          <w:rFonts w:ascii="Times New Roman" w:hAnsi="Times New Roman" w:cs="Times New Roman"/>
          <w:i/>
          <w:iCs/>
          <w:sz w:val="26"/>
          <w:szCs w:val="26"/>
        </w:rPr>
        <w:t>whether on or off the bench, with brilliance and brio</w:t>
      </w:r>
      <w:r>
        <w:rPr>
          <w:rFonts w:ascii="Times New Roman" w:hAnsi="Times New Roman" w:cs="Times New Roman"/>
          <w:sz w:val="26"/>
          <w:szCs w:val="26"/>
        </w:rPr>
        <w:t xml:space="preserve">”, </w:t>
      </w:r>
      <w:r w:rsidR="00743193">
        <w:rPr>
          <w:rFonts w:ascii="Times New Roman" w:hAnsi="Times New Roman" w:cs="Times New Roman"/>
          <w:sz w:val="26"/>
          <w:szCs w:val="26"/>
        </w:rPr>
        <w:t>but</w:t>
      </w:r>
      <w:r w:rsidR="001A6013">
        <w:rPr>
          <w:rFonts w:ascii="Times New Roman" w:hAnsi="Times New Roman" w:cs="Times New Roman"/>
          <w:sz w:val="26"/>
          <w:szCs w:val="26"/>
        </w:rPr>
        <w:t xml:space="preserve"> </w:t>
      </w:r>
      <w:r w:rsidR="00894F34">
        <w:rPr>
          <w:rFonts w:ascii="Times New Roman" w:hAnsi="Times New Roman" w:cs="Times New Roman"/>
          <w:sz w:val="26"/>
          <w:szCs w:val="26"/>
        </w:rPr>
        <w:t>Professor Foryth</w:t>
      </w:r>
      <w:r w:rsidR="001A6013">
        <w:rPr>
          <w:rFonts w:ascii="Times New Roman" w:hAnsi="Times New Roman" w:cs="Times New Roman"/>
          <w:sz w:val="26"/>
          <w:szCs w:val="26"/>
        </w:rPr>
        <w:t xml:space="preserve"> was</w:t>
      </w:r>
      <w:r w:rsidR="00743193">
        <w:rPr>
          <w:rFonts w:ascii="Times New Roman" w:hAnsi="Times New Roman" w:cs="Times New Roman"/>
          <w:sz w:val="26"/>
          <w:szCs w:val="26"/>
        </w:rPr>
        <w:t>, wrong in my view</w:t>
      </w:r>
      <w:r w:rsidR="001A6013">
        <w:rPr>
          <w:rFonts w:ascii="Times New Roman" w:hAnsi="Times New Roman" w:cs="Times New Roman"/>
          <w:sz w:val="26"/>
          <w:szCs w:val="26"/>
        </w:rPr>
        <w:t xml:space="preserve"> when</w:t>
      </w:r>
      <w:r w:rsidR="00743193">
        <w:rPr>
          <w:rFonts w:ascii="Times New Roman" w:hAnsi="Times New Roman" w:cs="Times New Roman"/>
          <w:sz w:val="26"/>
          <w:szCs w:val="26"/>
        </w:rPr>
        <w:t xml:space="preserve"> </w:t>
      </w:r>
      <w:r w:rsidR="00F8369B">
        <w:rPr>
          <w:rFonts w:ascii="Times New Roman" w:hAnsi="Times New Roman" w:cs="Times New Roman"/>
          <w:sz w:val="26"/>
          <w:szCs w:val="26"/>
        </w:rPr>
        <w:t xml:space="preserve">he </w:t>
      </w:r>
      <w:r w:rsidR="00743193">
        <w:rPr>
          <w:rFonts w:ascii="Times New Roman" w:hAnsi="Times New Roman" w:cs="Times New Roman"/>
          <w:sz w:val="26"/>
          <w:szCs w:val="26"/>
        </w:rPr>
        <w:t>describe</w:t>
      </w:r>
      <w:r w:rsidR="00F8369B">
        <w:rPr>
          <w:rFonts w:ascii="Times New Roman" w:hAnsi="Times New Roman" w:cs="Times New Roman"/>
          <w:sz w:val="26"/>
          <w:szCs w:val="26"/>
        </w:rPr>
        <w:t>d</w:t>
      </w:r>
      <w:r w:rsidR="00743193">
        <w:rPr>
          <w:rFonts w:ascii="Times New Roman" w:hAnsi="Times New Roman" w:cs="Times New Roman"/>
          <w:sz w:val="26"/>
          <w:szCs w:val="26"/>
        </w:rPr>
        <w:t xml:space="preserve"> John’s argument as “</w:t>
      </w:r>
      <w:r w:rsidR="00743193" w:rsidRPr="00743193">
        <w:rPr>
          <w:rFonts w:ascii="Times New Roman" w:hAnsi="Times New Roman" w:cs="Times New Roman"/>
          <w:i/>
          <w:iCs/>
          <w:sz w:val="26"/>
          <w:szCs w:val="26"/>
        </w:rPr>
        <w:t>unorthod</w:t>
      </w:r>
      <w:r w:rsidR="00743193">
        <w:rPr>
          <w:rFonts w:ascii="Times New Roman" w:hAnsi="Times New Roman" w:cs="Times New Roman"/>
          <w:i/>
          <w:iCs/>
          <w:sz w:val="26"/>
          <w:szCs w:val="26"/>
        </w:rPr>
        <w:t xml:space="preserve">ox </w:t>
      </w:r>
      <w:r w:rsidR="00743193" w:rsidRPr="00743193">
        <w:rPr>
          <w:rFonts w:ascii="Times New Roman" w:hAnsi="Times New Roman" w:cs="Times New Roman"/>
          <w:i/>
          <w:iCs/>
          <w:sz w:val="26"/>
          <w:szCs w:val="26"/>
        </w:rPr>
        <w:t>and potentially dangerous</w:t>
      </w:r>
      <w:r w:rsidR="00743193">
        <w:rPr>
          <w:rFonts w:ascii="Times New Roman" w:hAnsi="Times New Roman" w:cs="Times New Roman"/>
          <w:sz w:val="26"/>
          <w:szCs w:val="26"/>
        </w:rPr>
        <w:t xml:space="preserve">”. The notion that John’s view was </w:t>
      </w:r>
      <w:r>
        <w:rPr>
          <w:rFonts w:ascii="Times New Roman" w:hAnsi="Times New Roman" w:cs="Times New Roman"/>
          <w:sz w:val="26"/>
          <w:szCs w:val="26"/>
        </w:rPr>
        <w:t>inconsistent with</w:t>
      </w:r>
      <w:r w:rsidR="00743193">
        <w:rPr>
          <w:rFonts w:ascii="Times New Roman" w:hAnsi="Times New Roman" w:cs="Times New Roman"/>
          <w:sz w:val="26"/>
          <w:szCs w:val="26"/>
        </w:rPr>
        <w:t xml:space="preserve"> the notion of Parliamentary supremacy see</w:t>
      </w:r>
      <w:r w:rsidR="00EE6AB4">
        <w:rPr>
          <w:rFonts w:ascii="Times New Roman" w:hAnsi="Times New Roman" w:cs="Times New Roman"/>
          <w:sz w:val="26"/>
          <w:szCs w:val="26"/>
        </w:rPr>
        <w:t>ms</w:t>
      </w:r>
      <w:r w:rsidR="00743193">
        <w:rPr>
          <w:rFonts w:ascii="Times New Roman" w:hAnsi="Times New Roman" w:cs="Times New Roman"/>
          <w:sz w:val="26"/>
          <w:szCs w:val="26"/>
        </w:rPr>
        <w:t xml:space="preserve"> to me to ignore,</w:t>
      </w:r>
      <w:r>
        <w:rPr>
          <w:rFonts w:ascii="Times New Roman" w:hAnsi="Times New Roman" w:cs="Times New Roman"/>
          <w:sz w:val="26"/>
          <w:szCs w:val="26"/>
        </w:rPr>
        <w:t xml:space="preserve"> for instance, John’s reference to the courts being “</w:t>
      </w:r>
      <w:r>
        <w:rPr>
          <w:rFonts w:ascii="Times New Roman" w:hAnsi="Times New Roman" w:cs="Times New Roman"/>
          <w:i/>
          <w:iCs/>
          <w:sz w:val="26"/>
          <w:szCs w:val="26"/>
        </w:rPr>
        <w:t>invitees</w:t>
      </w:r>
      <w:r>
        <w:rPr>
          <w:rFonts w:ascii="Times New Roman" w:hAnsi="Times New Roman" w:cs="Times New Roman"/>
          <w:sz w:val="26"/>
          <w:szCs w:val="26"/>
        </w:rPr>
        <w:t xml:space="preserve">”. </w:t>
      </w:r>
      <w:r w:rsidR="00EE6AB4">
        <w:rPr>
          <w:rFonts w:ascii="Times New Roman" w:hAnsi="Times New Roman" w:cs="Times New Roman"/>
          <w:sz w:val="26"/>
          <w:szCs w:val="26"/>
        </w:rPr>
        <w:t>The idea that judges can challenge the legislature seems positively healthy, and is not inconsistent that, ultimately, the legislature can overrule the judges.</w:t>
      </w:r>
      <w:r>
        <w:rPr>
          <w:rFonts w:ascii="Times New Roman" w:hAnsi="Times New Roman" w:cs="Times New Roman"/>
          <w:i/>
          <w:iCs/>
          <w:sz w:val="26"/>
          <w:szCs w:val="26"/>
        </w:rPr>
        <w:t xml:space="preserve"> </w:t>
      </w:r>
    </w:p>
    <w:p w14:paraId="7D451FAC" w14:textId="77777777" w:rsidR="00A61326" w:rsidRPr="00A61326" w:rsidRDefault="00A61326" w:rsidP="00A61326">
      <w:pPr>
        <w:pStyle w:val="ListParagraph"/>
        <w:rPr>
          <w:rFonts w:ascii="Times New Roman" w:hAnsi="Times New Roman" w:cs="Times New Roman"/>
          <w:sz w:val="26"/>
          <w:szCs w:val="26"/>
        </w:rPr>
      </w:pPr>
    </w:p>
    <w:p w14:paraId="1908D457" w14:textId="77777777" w:rsidR="00520082" w:rsidRDefault="00107A3F" w:rsidP="00520082">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In </w:t>
      </w:r>
      <w:r w:rsidR="00520082">
        <w:rPr>
          <w:rFonts w:ascii="Times New Roman" w:hAnsi="Times New Roman" w:cs="Times New Roman"/>
          <w:sz w:val="26"/>
          <w:szCs w:val="26"/>
        </w:rPr>
        <w:t xml:space="preserve">the 1998 </w:t>
      </w:r>
      <w:r w:rsidR="00520082">
        <w:rPr>
          <w:rFonts w:ascii="Times New Roman" w:hAnsi="Times New Roman" w:cs="Times New Roman"/>
          <w:sz w:val="26"/>
          <w:szCs w:val="26"/>
          <w:u w:val="single"/>
        </w:rPr>
        <w:t>Witham</w:t>
      </w:r>
      <w:r w:rsidR="00520082">
        <w:rPr>
          <w:rFonts w:ascii="Times New Roman" w:hAnsi="Times New Roman" w:cs="Times New Roman"/>
          <w:sz w:val="26"/>
          <w:szCs w:val="26"/>
        </w:rPr>
        <w:t xml:space="preserve"> case</w:t>
      </w:r>
      <w:r w:rsidR="00520082">
        <w:rPr>
          <w:rStyle w:val="FootnoteReference"/>
          <w:rFonts w:ascii="Times New Roman" w:hAnsi="Times New Roman" w:cs="Times New Roman"/>
          <w:sz w:val="26"/>
          <w:szCs w:val="26"/>
        </w:rPr>
        <w:footnoteReference w:id="48"/>
      </w:r>
      <w:r w:rsidR="00520082">
        <w:rPr>
          <w:rFonts w:ascii="Times New Roman" w:hAnsi="Times New Roman" w:cs="Times New Roman"/>
          <w:sz w:val="26"/>
          <w:szCs w:val="26"/>
        </w:rPr>
        <w:t>, John said that:</w:t>
      </w:r>
    </w:p>
    <w:p w14:paraId="02C6C488" w14:textId="77777777" w:rsidR="00520082" w:rsidRDefault="00520082" w:rsidP="00520082">
      <w:pPr>
        <w:spacing w:line="276" w:lineRule="auto"/>
        <w:ind w:left="1440"/>
        <w:jc w:val="both"/>
        <w:rPr>
          <w:rFonts w:ascii="Times New Roman" w:hAnsi="Times New Roman" w:cs="Times New Roman"/>
          <w:sz w:val="26"/>
          <w:szCs w:val="26"/>
        </w:rPr>
      </w:pPr>
      <w:r>
        <w:rPr>
          <w:rFonts w:ascii="Times New Roman" w:hAnsi="Times New Roman" w:cs="Times New Roman"/>
          <w:sz w:val="26"/>
          <w:szCs w:val="26"/>
        </w:rPr>
        <w:t>“</w:t>
      </w:r>
      <w:r w:rsidRPr="00107A3F">
        <w:rPr>
          <w:rFonts w:ascii="Times New Roman" w:hAnsi="Times New Roman" w:cs="Times New Roman"/>
          <w:i/>
          <w:iCs/>
          <w:sz w:val="26"/>
          <w:szCs w:val="26"/>
        </w:rPr>
        <w:t>In the unwritten legal order of the British state, at a time when the common law continues to accord a legislative supremacy to Parliament, the notion of a constitutional right can in my judgment inhere only in this proposition, that the right in question cannot be abrogated by the state save by specific provision in an Act of Parliament, or by regulations whose</w:t>
      </w:r>
      <w:r w:rsidRPr="00107A3F">
        <w:rPr>
          <w:rFonts w:ascii="Times New Roman" w:hAnsi="Times New Roman" w:cs="Times New Roman"/>
          <w:sz w:val="26"/>
          <w:szCs w:val="26"/>
        </w:rPr>
        <w:t xml:space="preserve"> </w:t>
      </w:r>
      <w:r w:rsidRPr="00107A3F">
        <w:rPr>
          <w:rFonts w:ascii="Times New Roman" w:hAnsi="Times New Roman" w:cs="Times New Roman"/>
          <w:i/>
          <w:iCs/>
          <w:sz w:val="26"/>
          <w:szCs w:val="26"/>
        </w:rPr>
        <w:t>vires in main legislation specifically confers the power to abrogate</w:t>
      </w:r>
      <w:r w:rsidRPr="00107A3F">
        <w:rPr>
          <w:rFonts w:ascii="Times New Roman" w:hAnsi="Times New Roman" w:cs="Times New Roman"/>
          <w:sz w:val="26"/>
          <w:szCs w:val="26"/>
        </w:rPr>
        <w:t>.”</w:t>
      </w:r>
    </w:p>
    <w:p w14:paraId="1E6E4E5B" w14:textId="0DF3F5BA" w:rsidR="00520082" w:rsidRDefault="00520082" w:rsidP="00520082">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Yet again, John had the unusual accolade of having </w:t>
      </w:r>
      <w:r w:rsidR="00F8369B">
        <w:rPr>
          <w:rFonts w:ascii="Times New Roman" w:hAnsi="Times New Roman" w:cs="Times New Roman"/>
          <w:sz w:val="26"/>
          <w:szCs w:val="26"/>
        </w:rPr>
        <w:t>this</w:t>
      </w:r>
      <w:r>
        <w:rPr>
          <w:rFonts w:ascii="Times New Roman" w:hAnsi="Times New Roman" w:cs="Times New Roman"/>
          <w:sz w:val="26"/>
          <w:szCs w:val="26"/>
        </w:rPr>
        <w:t xml:space="preserve"> first instance judgment of his cited in the UK top court</w:t>
      </w:r>
      <w:r w:rsidRPr="00DE6191">
        <w:rPr>
          <w:rFonts w:ascii="Times New Roman" w:hAnsi="Times New Roman" w:cs="Times New Roman"/>
          <w:sz w:val="26"/>
          <w:szCs w:val="26"/>
        </w:rPr>
        <w:t xml:space="preserve"> </w:t>
      </w:r>
      <w:r>
        <w:rPr>
          <w:rFonts w:ascii="Times New Roman" w:hAnsi="Times New Roman" w:cs="Times New Roman"/>
          <w:sz w:val="26"/>
          <w:szCs w:val="26"/>
        </w:rPr>
        <w:t>as representing the law – remarkably in  no fewer than six subsequent House of Lords/Supreme Court cases</w:t>
      </w:r>
      <w:r>
        <w:rPr>
          <w:rStyle w:val="FootnoteReference"/>
          <w:rFonts w:ascii="Times New Roman" w:hAnsi="Times New Roman" w:cs="Times New Roman"/>
          <w:sz w:val="26"/>
          <w:szCs w:val="26"/>
        </w:rPr>
        <w:footnoteReference w:id="49"/>
      </w:r>
      <w:r>
        <w:rPr>
          <w:rFonts w:ascii="Times New Roman" w:hAnsi="Times New Roman" w:cs="Times New Roman"/>
          <w:sz w:val="26"/>
          <w:szCs w:val="26"/>
        </w:rPr>
        <w:t xml:space="preserve">.  But more to the specific present point, in this passage, John </w:t>
      </w:r>
      <w:r w:rsidR="00894F34">
        <w:rPr>
          <w:rFonts w:ascii="Times New Roman" w:hAnsi="Times New Roman" w:cs="Times New Roman"/>
          <w:sz w:val="26"/>
          <w:szCs w:val="26"/>
        </w:rPr>
        <w:t>clear</w:t>
      </w:r>
      <w:r>
        <w:rPr>
          <w:rFonts w:ascii="Times New Roman" w:hAnsi="Times New Roman" w:cs="Times New Roman"/>
          <w:sz w:val="26"/>
          <w:szCs w:val="26"/>
        </w:rPr>
        <w:t>ly acknowledged the “</w:t>
      </w:r>
      <w:r>
        <w:rPr>
          <w:rFonts w:ascii="Times New Roman" w:hAnsi="Times New Roman" w:cs="Times New Roman"/>
          <w:i/>
          <w:iCs/>
          <w:sz w:val="26"/>
          <w:szCs w:val="26"/>
        </w:rPr>
        <w:t>legislative supremacy</w:t>
      </w:r>
      <w:r>
        <w:rPr>
          <w:rFonts w:ascii="Times New Roman" w:hAnsi="Times New Roman" w:cs="Times New Roman"/>
          <w:sz w:val="26"/>
          <w:szCs w:val="26"/>
        </w:rPr>
        <w:t>” of Parliament, and its ultimate ability to trump any “</w:t>
      </w:r>
      <w:r w:rsidRPr="00107A3F">
        <w:rPr>
          <w:rFonts w:ascii="Times New Roman" w:hAnsi="Times New Roman" w:cs="Times New Roman"/>
          <w:i/>
          <w:iCs/>
          <w:sz w:val="26"/>
          <w:szCs w:val="26"/>
        </w:rPr>
        <w:t>constitutional right</w:t>
      </w:r>
      <w:r>
        <w:rPr>
          <w:rFonts w:ascii="Times New Roman" w:hAnsi="Times New Roman" w:cs="Times New Roman"/>
          <w:sz w:val="26"/>
          <w:szCs w:val="26"/>
        </w:rPr>
        <w:t>”.</w:t>
      </w:r>
    </w:p>
    <w:p w14:paraId="6796568B" w14:textId="3A5B60C0" w:rsidR="00520082" w:rsidRDefault="00520082" w:rsidP="00520082">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John’s judgment in the 2002</w:t>
      </w:r>
      <w:r w:rsidR="00172A48">
        <w:rPr>
          <w:rFonts w:ascii="Times New Roman" w:hAnsi="Times New Roman" w:cs="Times New Roman"/>
          <w:sz w:val="26"/>
          <w:szCs w:val="26"/>
        </w:rPr>
        <w:t xml:space="preserve"> Divisional Court</w:t>
      </w:r>
      <w:r>
        <w:rPr>
          <w:rFonts w:ascii="Times New Roman" w:hAnsi="Times New Roman" w:cs="Times New Roman"/>
          <w:sz w:val="26"/>
          <w:szCs w:val="26"/>
        </w:rPr>
        <w:t xml:space="preserve"> </w:t>
      </w:r>
      <w:r>
        <w:rPr>
          <w:rFonts w:ascii="Times New Roman" w:hAnsi="Times New Roman" w:cs="Times New Roman"/>
          <w:sz w:val="26"/>
          <w:szCs w:val="26"/>
          <w:u w:val="single"/>
        </w:rPr>
        <w:t>Thoburn</w:t>
      </w:r>
      <w:r>
        <w:rPr>
          <w:rFonts w:ascii="Times New Roman" w:hAnsi="Times New Roman" w:cs="Times New Roman"/>
          <w:sz w:val="26"/>
          <w:szCs w:val="26"/>
        </w:rPr>
        <w:t xml:space="preserve"> case</w:t>
      </w:r>
      <w:r w:rsidR="00E449E7">
        <w:rPr>
          <w:rStyle w:val="FootnoteReference"/>
          <w:rFonts w:ascii="Times New Roman" w:hAnsi="Times New Roman" w:cs="Times New Roman"/>
          <w:sz w:val="26"/>
          <w:szCs w:val="26"/>
        </w:rPr>
        <w:footnoteReference w:id="50"/>
      </w:r>
      <w:r w:rsidR="00E449E7">
        <w:rPr>
          <w:rFonts w:ascii="Times New Roman" w:hAnsi="Times New Roman" w:cs="Times New Roman"/>
          <w:sz w:val="26"/>
          <w:szCs w:val="26"/>
        </w:rPr>
        <w:t>, also known as the Metric Martyrs case, included a master class</w:t>
      </w:r>
      <w:r w:rsidR="00894F34">
        <w:rPr>
          <w:rFonts w:ascii="Times New Roman" w:hAnsi="Times New Roman" w:cs="Times New Roman"/>
          <w:sz w:val="26"/>
          <w:szCs w:val="26"/>
        </w:rPr>
        <w:t xml:space="preserve"> explaining</w:t>
      </w:r>
      <w:r w:rsidR="000579ED">
        <w:rPr>
          <w:rFonts w:ascii="Times New Roman" w:hAnsi="Times New Roman" w:cs="Times New Roman"/>
          <w:sz w:val="26"/>
          <w:szCs w:val="26"/>
        </w:rPr>
        <w:t xml:space="preserve"> </w:t>
      </w:r>
      <w:r w:rsidR="00C50A26">
        <w:rPr>
          <w:rFonts w:ascii="Times New Roman" w:hAnsi="Times New Roman" w:cs="Times New Roman"/>
          <w:sz w:val="26"/>
          <w:szCs w:val="26"/>
        </w:rPr>
        <w:t xml:space="preserve">the </w:t>
      </w:r>
      <w:r w:rsidR="000579ED">
        <w:rPr>
          <w:rFonts w:ascii="Times New Roman" w:hAnsi="Times New Roman" w:cs="Times New Roman"/>
          <w:sz w:val="26"/>
          <w:szCs w:val="26"/>
        </w:rPr>
        <w:t>way in which EU law</w:t>
      </w:r>
      <w:r w:rsidR="00C50A26">
        <w:rPr>
          <w:rFonts w:ascii="Times New Roman" w:hAnsi="Times New Roman" w:cs="Times New Roman"/>
          <w:sz w:val="26"/>
          <w:szCs w:val="26"/>
        </w:rPr>
        <w:t xml:space="preserve"> interacts with domestic law, and the constitutional basis for</w:t>
      </w:r>
      <w:r w:rsidR="00E449E7">
        <w:rPr>
          <w:rFonts w:ascii="Times New Roman" w:hAnsi="Times New Roman" w:cs="Times New Roman"/>
          <w:sz w:val="26"/>
          <w:szCs w:val="26"/>
        </w:rPr>
        <w:t xml:space="preserve"> th</w:t>
      </w:r>
      <w:r w:rsidR="00C50A26">
        <w:rPr>
          <w:rFonts w:ascii="Times New Roman" w:hAnsi="Times New Roman" w:cs="Times New Roman"/>
          <w:sz w:val="26"/>
          <w:szCs w:val="26"/>
        </w:rPr>
        <w:t>at</w:t>
      </w:r>
      <w:r w:rsidR="00E449E7">
        <w:rPr>
          <w:rFonts w:ascii="Times New Roman" w:hAnsi="Times New Roman" w:cs="Times New Roman"/>
          <w:sz w:val="26"/>
          <w:szCs w:val="26"/>
        </w:rPr>
        <w:t xml:space="preserve"> interactio</w:t>
      </w:r>
      <w:r w:rsidR="00C50A26">
        <w:rPr>
          <w:rFonts w:ascii="Times New Roman" w:hAnsi="Times New Roman" w:cs="Times New Roman"/>
          <w:sz w:val="26"/>
          <w:szCs w:val="26"/>
        </w:rPr>
        <w:t xml:space="preserve">n. Given that Brexit is around the corner, it </w:t>
      </w:r>
      <w:r w:rsidR="0089165C">
        <w:rPr>
          <w:rFonts w:ascii="Times New Roman" w:hAnsi="Times New Roman" w:cs="Times New Roman"/>
          <w:sz w:val="26"/>
          <w:szCs w:val="26"/>
        </w:rPr>
        <w:t>would</w:t>
      </w:r>
      <w:r w:rsidR="00C50A26">
        <w:rPr>
          <w:rFonts w:ascii="Times New Roman" w:hAnsi="Times New Roman" w:cs="Times New Roman"/>
          <w:sz w:val="26"/>
          <w:szCs w:val="26"/>
        </w:rPr>
        <w:t xml:space="preserve"> not </w:t>
      </w:r>
      <w:r w:rsidR="0089165C">
        <w:rPr>
          <w:rFonts w:ascii="Times New Roman" w:hAnsi="Times New Roman" w:cs="Times New Roman"/>
          <w:sz w:val="26"/>
          <w:szCs w:val="26"/>
        </w:rPr>
        <w:t>perhaps be sensible to discuss that aspect of the judgment in any detail. However, what is very much worth discussing and will outlast the reverberations of Brexit</w:t>
      </w:r>
      <w:r w:rsidR="00F8369B">
        <w:rPr>
          <w:rFonts w:ascii="Times New Roman" w:hAnsi="Times New Roman" w:cs="Times New Roman"/>
          <w:sz w:val="26"/>
          <w:szCs w:val="26"/>
        </w:rPr>
        <w:t>,</w:t>
      </w:r>
      <w:r w:rsidR="0089165C">
        <w:rPr>
          <w:rFonts w:ascii="Times New Roman" w:hAnsi="Times New Roman" w:cs="Times New Roman"/>
          <w:sz w:val="26"/>
          <w:szCs w:val="26"/>
        </w:rPr>
        <w:t xml:space="preserve"> is John’s innovative conception of a new categorisation of statutes. In that connection, he said this</w:t>
      </w:r>
      <w:r w:rsidR="0089165C">
        <w:rPr>
          <w:rStyle w:val="FootnoteReference"/>
          <w:rFonts w:ascii="Times New Roman" w:hAnsi="Times New Roman" w:cs="Times New Roman"/>
          <w:sz w:val="26"/>
          <w:szCs w:val="26"/>
        </w:rPr>
        <w:footnoteReference w:id="51"/>
      </w:r>
      <w:r w:rsidR="0089165C">
        <w:rPr>
          <w:rFonts w:ascii="Times New Roman" w:hAnsi="Times New Roman" w:cs="Times New Roman"/>
          <w:sz w:val="26"/>
          <w:szCs w:val="26"/>
        </w:rPr>
        <w:t>:</w:t>
      </w:r>
    </w:p>
    <w:p w14:paraId="0FECC820" w14:textId="6A9EF68F" w:rsidR="00C70F5B" w:rsidRPr="00C70F5B" w:rsidRDefault="00C70F5B" w:rsidP="00C70F5B">
      <w:pPr>
        <w:spacing w:line="276" w:lineRule="auto"/>
        <w:ind w:left="1440"/>
        <w:jc w:val="both"/>
        <w:rPr>
          <w:rFonts w:ascii="Times New Roman" w:hAnsi="Times New Roman" w:cs="Times New Roman"/>
          <w:i/>
          <w:iCs/>
          <w:sz w:val="26"/>
          <w:szCs w:val="26"/>
        </w:rPr>
      </w:pPr>
      <w:r>
        <w:rPr>
          <w:rFonts w:ascii="Times New Roman" w:hAnsi="Times New Roman" w:cs="Times New Roman"/>
          <w:sz w:val="26"/>
          <w:szCs w:val="26"/>
        </w:rPr>
        <w:t>“</w:t>
      </w:r>
      <w:r w:rsidRPr="00C70F5B">
        <w:rPr>
          <w:rFonts w:ascii="Times New Roman" w:hAnsi="Times New Roman" w:cs="Times New Roman"/>
          <w:i/>
          <w:iCs/>
          <w:sz w:val="26"/>
          <w:szCs w:val="26"/>
        </w:rPr>
        <w:t>In the present state of its maturity the common law has come to recognise that there</w:t>
      </w:r>
      <w:r w:rsidR="00F8369B">
        <w:rPr>
          <w:rFonts w:ascii="Times New Roman" w:hAnsi="Times New Roman" w:cs="Times New Roman"/>
          <w:i/>
          <w:iCs/>
          <w:sz w:val="26"/>
          <w:szCs w:val="26"/>
        </w:rPr>
        <w:t xml:space="preserve"> </w:t>
      </w:r>
      <w:r w:rsidRPr="00C70F5B">
        <w:rPr>
          <w:rFonts w:ascii="Times New Roman" w:hAnsi="Times New Roman" w:cs="Times New Roman"/>
          <w:i/>
          <w:iCs/>
          <w:sz w:val="26"/>
          <w:szCs w:val="26"/>
        </w:rPr>
        <w:t>exist rights which should properly be classified as constitutional or fundamental</w:t>
      </w:r>
      <w:r>
        <w:rPr>
          <w:rFonts w:ascii="Times New Roman" w:hAnsi="Times New Roman" w:cs="Times New Roman"/>
          <w:i/>
          <w:iCs/>
          <w:sz w:val="26"/>
          <w:szCs w:val="26"/>
        </w:rPr>
        <w:t xml:space="preserve">… </w:t>
      </w:r>
      <w:r w:rsidRPr="00C70F5B">
        <w:rPr>
          <w:rFonts w:ascii="Times New Roman" w:hAnsi="Times New Roman" w:cs="Times New Roman"/>
          <w:i/>
          <w:iCs/>
          <w:sz w:val="26"/>
          <w:szCs w:val="26"/>
        </w:rPr>
        <w:t xml:space="preserve">. And from this a further insight follows. We should recognise a hierarchy of Acts of Parliament: as it were </w:t>
      </w:r>
      <w:r>
        <w:rPr>
          <w:rFonts w:ascii="Times New Roman" w:hAnsi="Times New Roman" w:cs="Times New Roman"/>
          <w:i/>
          <w:iCs/>
          <w:sz w:val="26"/>
          <w:szCs w:val="26"/>
        </w:rPr>
        <w:t>‘</w:t>
      </w:r>
      <w:r w:rsidRPr="00C70F5B">
        <w:rPr>
          <w:rFonts w:ascii="Times New Roman" w:hAnsi="Times New Roman" w:cs="Times New Roman"/>
          <w:i/>
          <w:iCs/>
          <w:sz w:val="26"/>
          <w:szCs w:val="26"/>
        </w:rPr>
        <w:t>ordinary</w:t>
      </w:r>
      <w:r>
        <w:rPr>
          <w:rFonts w:ascii="Times New Roman" w:hAnsi="Times New Roman" w:cs="Times New Roman"/>
          <w:i/>
          <w:iCs/>
          <w:sz w:val="26"/>
          <w:szCs w:val="26"/>
        </w:rPr>
        <w:t>’</w:t>
      </w:r>
      <w:r w:rsidRPr="00C70F5B">
        <w:rPr>
          <w:rFonts w:ascii="Times New Roman" w:hAnsi="Times New Roman" w:cs="Times New Roman"/>
          <w:i/>
          <w:iCs/>
          <w:sz w:val="26"/>
          <w:szCs w:val="26"/>
        </w:rPr>
        <w:t xml:space="preserve"> statutes and </w:t>
      </w:r>
      <w:r>
        <w:rPr>
          <w:rFonts w:ascii="Times New Roman" w:hAnsi="Times New Roman" w:cs="Times New Roman"/>
          <w:i/>
          <w:iCs/>
          <w:sz w:val="26"/>
          <w:szCs w:val="26"/>
        </w:rPr>
        <w:t>‘</w:t>
      </w:r>
      <w:r w:rsidRPr="00C70F5B">
        <w:rPr>
          <w:rFonts w:ascii="Times New Roman" w:hAnsi="Times New Roman" w:cs="Times New Roman"/>
          <w:i/>
          <w:iCs/>
          <w:sz w:val="26"/>
          <w:szCs w:val="26"/>
        </w:rPr>
        <w:t>constitutional</w:t>
      </w:r>
      <w:r>
        <w:rPr>
          <w:rFonts w:ascii="Times New Roman" w:hAnsi="Times New Roman" w:cs="Times New Roman"/>
          <w:i/>
          <w:iCs/>
          <w:sz w:val="26"/>
          <w:szCs w:val="26"/>
        </w:rPr>
        <w:t>’</w:t>
      </w:r>
      <w:r w:rsidRPr="00C70F5B">
        <w:rPr>
          <w:rFonts w:ascii="Times New Roman" w:hAnsi="Times New Roman" w:cs="Times New Roman"/>
          <w:i/>
          <w:iCs/>
          <w:sz w:val="26"/>
          <w:szCs w:val="26"/>
        </w:rPr>
        <w:t xml:space="preserve"> statutes. The two categories must be distinguished on a principled basis. In my opinion a constitutional statute is one which (a) conditions the legal relationship between citizen and State in some general, overarching manner, or (b) enlarges or diminishes the scope of what we would now regard as fundamental constitutional rights. (a) and (b) are of necessity closely related: it is difficult to think of an instance of (a) that is not also an instance of (b). The special status of constitutional statutes follows the special status of constitutional rights. Examples are the Magna Carta, the Bill of Rights 1689, the Act of Union, the Reform Acts which distributed and enlarged the franchise, the HRA, the Scotland Act 1998 and the Government of Wales Act 1998.”</w:t>
      </w:r>
    </w:p>
    <w:p w14:paraId="2CCE8923" w14:textId="77777777" w:rsidR="00520082" w:rsidRPr="00520082" w:rsidRDefault="00520082" w:rsidP="00520082">
      <w:pPr>
        <w:pStyle w:val="ListParagraph"/>
        <w:rPr>
          <w:rFonts w:ascii="Times New Roman" w:hAnsi="Times New Roman" w:cs="Times New Roman"/>
          <w:sz w:val="26"/>
          <w:szCs w:val="26"/>
        </w:rPr>
      </w:pPr>
    </w:p>
    <w:p w14:paraId="66F7D090" w14:textId="3BF72BC6" w:rsidR="00C70F5B" w:rsidRDefault="00C70F5B" w:rsidP="00520082">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Of course, being John, he did not vouchsafe this insight and then walk away: he went on to explain the consequences. As to the constitutional implications</w:t>
      </w:r>
      <w:r>
        <w:rPr>
          <w:rStyle w:val="FootnoteReference"/>
          <w:rFonts w:ascii="Times New Roman" w:hAnsi="Times New Roman" w:cs="Times New Roman"/>
          <w:sz w:val="26"/>
          <w:szCs w:val="26"/>
        </w:rPr>
        <w:footnoteReference w:id="52"/>
      </w:r>
      <w:r>
        <w:rPr>
          <w:rFonts w:ascii="Times New Roman" w:hAnsi="Times New Roman" w:cs="Times New Roman"/>
          <w:sz w:val="26"/>
          <w:szCs w:val="26"/>
        </w:rPr>
        <w:t xml:space="preserve">: </w:t>
      </w:r>
    </w:p>
    <w:p w14:paraId="3D317126" w14:textId="4B24A1C5" w:rsidR="00520082" w:rsidRPr="00C70F5B" w:rsidRDefault="00C70F5B" w:rsidP="00C70F5B">
      <w:pPr>
        <w:spacing w:line="276" w:lineRule="auto"/>
        <w:ind w:left="1440"/>
        <w:jc w:val="both"/>
        <w:rPr>
          <w:rFonts w:ascii="Times New Roman" w:hAnsi="Times New Roman" w:cs="Times New Roman"/>
          <w:sz w:val="26"/>
          <w:szCs w:val="26"/>
        </w:rPr>
      </w:pPr>
      <w:r w:rsidRPr="00C70F5B">
        <w:rPr>
          <w:rFonts w:ascii="Times New Roman" w:hAnsi="Times New Roman" w:cs="Times New Roman"/>
          <w:sz w:val="26"/>
          <w:szCs w:val="26"/>
        </w:rPr>
        <w:t>“</w:t>
      </w:r>
      <w:r w:rsidRPr="00C70F5B">
        <w:rPr>
          <w:rFonts w:ascii="Times New Roman" w:hAnsi="Times New Roman" w:cs="Times New Roman"/>
          <w:i/>
          <w:iCs/>
          <w:sz w:val="26"/>
          <w:szCs w:val="26"/>
        </w:rPr>
        <w:t>It gives us most of the benefits of a written constitution, in which fundamental rights are accorded special respect. But it preserves the sovereignty of the legislature and the flexibility of our uncodified constitution. It accepts the relation between legislative supremacy and fundamental rights is not fixed or brittle: rather the courts (in interpreting statutes, and now, applying the HRA) will pay more or less deference to the legislature, or other public decision-maker, according to the subject in hand</w:t>
      </w:r>
      <w:r>
        <w:rPr>
          <w:rFonts w:ascii="Times New Roman" w:hAnsi="Times New Roman" w:cs="Times New Roman"/>
          <w:sz w:val="26"/>
          <w:szCs w:val="26"/>
        </w:rPr>
        <w:t>”.</w:t>
      </w:r>
    </w:p>
    <w:p w14:paraId="74D6BE99" w14:textId="77777777" w:rsidR="00520082" w:rsidRPr="00520082" w:rsidRDefault="00520082" w:rsidP="00520082">
      <w:pPr>
        <w:pStyle w:val="ListParagraph"/>
        <w:rPr>
          <w:rFonts w:ascii="Times New Roman" w:hAnsi="Times New Roman" w:cs="Times New Roman"/>
          <w:sz w:val="26"/>
          <w:szCs w:val="26"/>
        </w:rPr>
      </w:pPr>
    </w:p>
    <w:p w14:paraId="1C2756EB" w14:textId="1288A426" w:rsidR="006615C3" w:rsidRDefault="00C70F5B" w:rsidP="006615C3">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w:t>
      </w:r>
      <w:r w:rsidR="006615C3">
        <w:rPr>
          <w:rFonts w:ascii="Times New Roman" w:hAnsi="Times New Roman" w:cs="Times New Roman"/>
          <w:sz w:val="26"/>
          <w:szCs w:val="26"/>
        </w:rPr>
        <w:t>s to the practical consequences, John described them in these terms</w:t>
      </w:r>
      <w:r w:rsidR="006615C3">
        <w:rPr>
          <w:rStyle w:val="FootnoteReference"/>
          <w:rFonts w:ascii="Times New Roman" w:hAnsi="Times New Roman" w:cs="Times New Roman"/>
          <w:sz w:val="26"/>
          <w:szCs w:val="26"/>
        </w:rPr>
        <w:footnoteReference w:id="53"/>
      </w:r>
      <w:r w:rsidR="006615C3">
        <w:rPr>
          <w:rFonts w:ascii="Times New Roman" w:hAnsi="Times New Roman" w:cs="Times New Roman"/>
          <w:sz w:val="26"/>
          <w:szCs w:val="26"/>
        </w:rPr>
        <w:t>:</w:t>
      </w:r>
    </w:p>
    <w:p w14:paraId="2C3E44CC" w14:textId="77777777" w:rsidR="006615C3" w:rsidRPr="00C70F5B" w:rsidRDefault="006615C3" w:rsidP="006615C3">
      <w:pPr>
        <w:spacing w:line="276" w:lineRule="auto"/>
        <w:ind w:left="1440"/>
        <w:jc w:val="both"/>
        <w:rPr>
          <w:rFonts w:ascii="Times New Roman" w:hAnsi="Times New Roman" w:cs="Times New Roman"/>
          <w:sz w:val="26"/>
          <w:szCs w:val="26"/>
        </w:rPr>
      </w:pPr>
      <w:r>
        <w:rPr>
          <w:rFonts w:ascii="Times New Roman" w:hAnsi="Times New Roman" w:cs="Times New Roman"/>
          <w:sz w:val="26"/>
          <w:szCs w:val="26"/>
        </w:rPr>
        <w:t>“</w:t>
      </w:r>
      <w:r w:rsidRPr="00C70F5B">
        <w:rPr>
          <w:rFonts w:ascii="Times New Roman" w:hAnsi="Times New Roman" w:cs="Times New Roman"/>
          <w:i/>
          <w:iCs/>
          <w:sz w:val="26"/>
          <w:szCs w:val="26"/>
        </w:rPr>
        <w:t>Ordinary statutes may be impliedly repealed. Constitutional statutes may not. For the repeal of a constitutional Act or the abrogation of a fundamental right to be effected by statute, the court would apply this test: is it shown that the legislature's actual – not imputed, constructive or presumed – intention was to effect the repeal or abrogation? I think the test could only be met by express words in the later statute, or by words so specific that the inference of an actual determination to effect the result contended for was irresistible. The ordinary rule of implied repeal does not satisfy this test. Accordingly, it has no application to constitutional statutes</w:t>
      </w:r>
      <w:r>
        <w:rPr>
          <w:rFonts w:ascii="Times New Roman" w:hAnsi="Times New Roman" w:cs="Times New Roman"/>
          <w:sz w:val="26"/>
          <w:szCs w:val="26"/>
        </w:rPr>
        <w:t>”.</w:t>
      </w:r>
    </w:p>
    <w:p w14:paraId="6BE20E43" w14:textId="77777777" w:rsidR="006615C3" w:rsidRPr="00520082" w:rsidRDefault="006615C3" w:rsidP="006615C3">
      <w:pPr>
        <w:pStyle w:val="ListParagraph"/>
        <w:rPr>
          <w:rFonts w:ascii="Times New Roman" w:hAnsi="Times New Roman" w:cs="Times New Roman"/>
          <w:sz w:val="26"/>
          <w:szCs w:val="26"/>
        </w:rPr>
      </w:pPr>
    </w:p>
    <w:p w14:paraId="6296FABC" w14:textId="469156A8" w:rsidR="00B43273" w:rsidRDefault="00B43273" w:rsidP="006615C3">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This development of the conception and consequences of the notion of constitutional and ordinary statutes has been cited with approval in three Supreme Court cases</w:t>
      </w:r>
      <w:r>
        <w:rPr>
          <w:rStyle w:val="FootnoteReference"/>
          <w:rFonts w:ascii="Times New Roman" w:hAnsi="Times New Roman" w:cs="Times New Roman"/>
          <w:sz w:val="26"/>
          <w:szCs w:val="26"/>
        </w:rPr>
        <w:footnoteReference w:id="54"/>
      </w:r>
      <w:r>
        <w:rPr>
          <w:rFonts w:ascii="Times New Roman" w:hAnsi="Times New Roman" w:cs="Times New Roman"/>
          <w:sz w:val="26"/>
          <w:szCs w:val="26"/>
        </w:rPr>
        <w:t>, in one of which Lord Mance and I in a joint judgment paid tribute to John’s “penetrating analysis”</w:t>
      </w:r>
      <w:r>
        <w:rPr>
          <w:rStyle w:val="FootnoteReference"/>
          <w:rFonts w:ascii="Times New Roman" w:hAnsi="Times New Roman" w:cs="Times New Roman"/>
          <w:sz w:val="26"/>
          <w:szCs w:val="26"/>
        </w:rPr>
        <w:footnoteReference w:id="55"/>
      </w:r>
      <w:r>
        <w:rPr>
          <w:rFonts w:ascii="Times New Roman" w:hAnsi="Times New Roman" w:cs="Times New Roman"/>
          <w:sz w:val="26"/>
          <w:szCs w:val="26"/>
        </w:rPr>
        <w:t>.</w:t>
      </w:r>
    </w:p>
    <w:p w14:paraId="3E2FD2D3" w14:textId="77777777" w:rsidR="00B43273" w:rsidRDefault="00B43273" w:rsidP="00B43273">
      <w:pPr>
        <w:pStyle w:val="ListParagraph"/>
        <w:spacing w:line="360" w:lineRule="auto"/>
        <w:jc w:val="both"/>
        <w:rPr>
          <w:rFonts w:ascii="Times New Roman" w:hAnsi="Times New Roman" w:cs="Times New Roman"/>
          <w:sz w:val="26"/>
          <w:szCs w:val="26"/>
        </w:rPr>
      </w:pPr>
    </w:p>
    <w:p w14:paraId="2EF171C9" w14:textId="54F8993D" w:rsidR="006615C3" w:rsidRPr="00B43273" w:rsidRDefault="006615C3" w:rsidP="00A34B22">
      <w:pPr>
        <w:pStyle w:val="ListParagraph"/>
        <w:numPr>
          <w:ilvl w:val="0"/>
          <w:numId w:val="1"/>
        </w:numPr>
        <w:spacing w:line="360" w:lineRule="auto"/>
        <w:jc w:val="both"/>
        <w:rPr>
          <w:rFonts w:ascii="Times New Roman" w:hAnsi="Times New Roman" w:cs="Times New Roman"/>
          <w:sz w:val="26"/>
          <w:szCs w:val="26"/>
        </w:rPr>
      </w:pPr>
      <w:r w:rsidRPr="00B43273">
        <w:rPr>
          <w:rFonts w:ascii="Times New Roman" w:hAnsi="Times New Roman" w:cs="Times New Roman"/>
          <w:sz w:val="26"/>
          <w:szCs w:val="26"/>
        </w:rPr>
        <w:t>I mentioned earl</w:t>
      </w:r>
      <w:r w:rsidR="003F2D1D">
        <w:rPr>
          <w:rFonts w:ascii="Times New Roman" w:hAnsi="Times New Roman" w:cs="Times New Roman"/>
          <w:sz w:val="26"/>
          <w:szCs w:val="26"/>
        </w:rPr>
        <w:t>ier</w:t>
      </w:r>
      <w:r w:rsidRPr="00B43273">
        <w:rPr>
          <w:rFonts w:ascii="Times New Roman" w:hAnsi="Times New Roman" w:cs="Times New Roman"/>
          <w:sz w:val="26"/>
          <w:szCs w:val="26"/>
        </w:rPr>
        <w:t xml:space="preserve"> John’s strong sense of principle</w:t>
      </w:r>
      <w:r w:rsidR="00B43273" w:rsidRPr="00B43273">
        <w:rPr>
          <w:rFonts w:ascii="Times New Roman" w:hAnsi="Times New Roman" w:cs="Times New Roman"/>
          <w:sz w:val="26"/>
          <w:szCs w:val="26"/>
        </w:rPr>
        <w:t>, and in that connection it is right to refer to a</w:t>
      </w:r>
      <w:r w:rsidRPr="00B43273">
        <w:rPr>
          <w:rFonts w:ascii="Times New Roman" w:hAnsi="Times New Roman" w:cs="Times New Roman"/>
          <w:sz w:val="26"/>
          <w:szCs w:val="26"/>
        </w:rPr>
        <w:t>nother aspect of his contribution to the law</w:t>
      </w:r>
      <w:r w:rsidR="00B43273" w:rsidRPr="00B43273">
        <w:rPr>
          <w:rFonts w:ascii="Times New Roman" w:hAnsi="Times New Roman" w:cs="Times New Roman"/>
          <w:sz w:val="26"/>
          <w:szCs w:val="26"/>
        </w:rPr>
        <w:t>, namely</w:t>
      </w:r>
      <w:r w:rsidRPr="00B43273">
        <w:rPr>
          <w:rFonts w:ascii="Times New Roman" w:hAnsi="Times New Roman" w:cs="Times New Roman"/>
          <w:sz w:val="26"/>
          <w:szCs w:val="26"/>
        </w:rPr>
        <w:t xml:space="preserve"> </w:t>
      </w:r>
      <w:r w:rsidR="00894F34">
        <w:rPr>
          <w:rFonts w:ascii="Times New Roman" w:hAnsi="Times New Roman" w:cs="Times New Roman"/>
          <w:sz w:val="26"/>
          <w:szCs w:val="26"/>
        </w:rPr>
        <w:t>in relation to</w:t>
      </w:r>
      <w:r w:rsidRPr="00B43273">
        <w:rPr>
          <w:rFonts w:ascii="Times New Roman" w:hAnsi="Times New Roman" w:cs="Times New Roman"/>
          <w:sz w:val="26"/>
          <w:szCs w:val="26"/>
        </w:rPr>
        <w:t xml:space="preserve"> the connection between law and religion. John was a strong Anglican, and a very active member of the Ecclesiastical Law Society, and sat on the editorial board of its Journal and frequently contributed to it as a book reviewer. But he was firmly of the view that church and state were to be kept separate. In the 2010 </w:t>
      </w:r>
      <w:r w:rsidRPr="00B43273">
        <w:rPr>
          <w:rFonts w:ascii="Times New Roman" w:hAnsi="Times New Roman" w:cs="Times New Roman"/>
          <w:sz w:val="26"/>
          <w:szCs w:val="26"/>
          <w:u w:val="single"/>
        </w:rPr>
        <w:t>McFarlane</w:t>
      </w:r>
      <w:r w:rsidRPr="00B43273">
        <w:rPr>
          <w:rFonts w:ascii="Times New Roman" w:hAnsi="Times New Roman" w:cs="Times New Roman"/>
          <w:sz w:val="26"/>
          <w:szCs w:val="26"/>
        </w:rPr>
        <w:t xml:space="preserve"> case</w:t>
      </w:r>
      <w:r>
        <w:rPr>
          <w:rStyle w:val="FootnoteReference"/>
          <w:rFonts w:ascii="Times New Roman" w:hAnsi="Times New Roman" w:cs="Times New Roman"/>
          <w:sz w:val="26"/>
          <w:szCs w:val="26"/>
        </w:rPr>
        <w:footnoteReference w:id="56"/>
      </w:r>
      <w:r w:rsidRPr="00B43273">
        <w:rPr>
          <w:rFonts w:ascii="Times New Roman" w:hAnsi="Times New Roman" w:cs="Times New Roman"/>
          <w:sz w:val="26"/>
          <w:szCs w:val="26"/>
        </w:rPr>
        <w:t xml:space="preserve">, he put the nub of the point very elegantly: </w:t>
      </w:r>
    </w:p>
    <w:p w14:paraId="7FA6EF74" w14:textId="77777777" w:rsidR="006615C3" w:rsidRDefault="006615C3" w:rsidP="006615C3">
      <w:pPr>
        <w:spacing w:line="276" w:lineRule="auto"/>
        <w:ind w:left="1440"/>
        <w:jc w:val="both"/>
        <w:rPr>
          <w:rFonts w:ascii="Times New Roman" w:hAnsi="Times New Roman" w:cs="Times New Roman"/>
          <w:sz w:val="26"/>
          <w:szCs w:val="26"/>
        </w:rPr>
      </w:pPr>
      <w:r>
        <w:rPr>
          <w:rFonts w:ascii="Times New Roman" w:hAnsi="Times New Roman" w:cs="Times New Roman"/>
          <w:sz w:val="26"/>
          <w:szCs w:val="26"/>
        </w:rPr>
        <w:t>“</w:t>
      </w:r>
      <w:r w:rsidRPr="00BE2BEE">
        <w:rPr>
          <w:rFonts w:ascii="Times New Roman" w:hAnsi="Times New Roman" w:cs="Times New Roman"/>
          <w:i/>
          <w:iCs/>
          <w:sz w:val="26"/>
          <w:szCs w:val="26"/>
        </w:rPr>
        <w:t xml:space="preserve">In a free constitution such as ours there is an important distinction to be drawn between the law's protection of the right to hold and express a belief and the law's protection of that belief's substance or content. The common law and </w:t>
      </w:r>
      <w:r>
        <w:rPr>
          <w:rFonts w:ascii="Times New Roman" w:hAnsi="Times New Roman" w:cs="Times New Roman"/>
          <w:i/>
          <w:iCs/>
          <w:sz w:val="26"/>
          <w:szCs w:val="26"/>
        </w:rPr>
        <w:t>[the Convention]</w:t>
      </w:r>
      <w:r w:rsidRPr="00BE2BEE">
        <w:rPr>
          <w:rFonts w:ascii="Times New Roman" w:hAnsi="Times New Roman" w:cs="Times New Roman"/>
          <w:i/>
          <w:iCs/>
          <w:sz w:val="26"/>
          <w:szCs w:val="26"/>
        </w:rPr>
        <w:t xml:space="preserve"> offer vigorous protection of the Christian</w:t>
      </w:r>
      <w:r>
        <w:rPr>
          <w:rFonts w:ascii="Times New Roman" w:hAnsi="Times New Roman" w:cs="Times New Roman"/>
          <w:i/>
          <w:iCs/>
          <w:sz w:val="26"/>
          <w:szCs w:val="26"/>
        </w:rPr>
        <w:t>’</w:t>
      </w:r>
      <w:r w:rsidRPr="00BE2BEE">
        <w:rPr>
          <w:rFonts w:ascii="Times New Roman" w:hAnsi="Times New Roman" w:cs="Times New Roman"/>
          <w:i/>
          <w:iCs/>
          <w:sz w:val="26"/>
          <w:szCs w:val="26"/>
        </w:rPr>
        <w:t>s right and every other person</w:t>
      </w:r>
      <w:r>
        <w:rPr>
          <w:rFonts w:ascii="Times New Roman" w:hAnsi="Times New Roman" w:cs="Times New Roman"/>
          <w:i/>
          <w:iCs/>
          <w:sz w:val="26"/>
          <w:szCs w:val="26"/>
        </w:rPr>
        <w:t>’</w:t>
      </w:r>
      <w:r w:rsidRPr="00BE2BEE">
        <w:rPr>
          <w:rFonts w:ascii="Times New Roman" w:hAnsi="Times New Roman" w:cs="Times New Roman"/>
          <w:i/>
          <w:iCs/>
          <w:sz w:val="26"/>
          <w:szCs w:val="26"/>
        </w:rPr>
        <w:t>s right to hold and express his or her beliefs, and so they should. By contrast, they do not, and should not, offer any protection whatever of the substance or content of those beliefs on the ground only that they are based on religious precepts. These are twin conditions of a free society.</w:t>
      </w:r>
      <w:r>
        <w:rPr>
          <w:rFonts w:ascii="Times New Roman" w:hAnsi="Times New Roman" w:cs="Times New Roman"/>
          <w:i/>
          <w:iCs/>
          <w:sz w:val="26"/>
          <w:szCs w:val="26"/>
        </w:rPr>
        <w:t xml:space="preserve"> … . T</w:t>
      </w:r>
      <w:r w:rsidRPr="00BE2BEE">
        <w:rPr>
          <w:rFonts w:ascii="Times New Roman" w:hAnsi="Times New Roman" w:cs="Times New Roman"/>
          <w:i/>
          <w:iCs/>
          <w:sz w:val="26"/>
          <w:szCs w:val="26"/>
        </w:rPr>
        <w:t>he Jude</w:t>
      </w:r>
      <w:r>
        <w:rPr>
          <w:rFonts w:ascii="Times New Roman" w:hAnsi="Times New Roman" w:cs="Times New Roman"/>
          <w:i/>
          <w:iCs/>
          <w:sz w:val="26"/>
          <w:szCs w:val="26"/>
        </w:rPr>
        <w:t>o</w:t>
      </w:r>
      <w:r w:rsidRPr="00BE2BEE">
        <w:rPr>
          <w:rFonts w:ascii="Times New Roman" w:hAnsi="Times New Roman" w:cs="Times New Roman"/>
          <w:i/>
          <w:iCs/>
          <w:sz w:val="26"/>
          <w:szCs w:val="26"/>
        </w:rPr>
        <w:t>-Christian tradition, stretching over many centuries, has no doubt exerted a profound influence upon the judgment of law-makers as to the objective merits of this or that social policy, and the liturgy and practice of the established church are to some extent prescribed by law. But the conferment of any legal protection or preference upon a particular substantive moral position on the ground only that it is espoused by the adherents of a particular faith, however long its tradition, however rich its culture, is deeply unprincipled; it imposes compulsory law not to advance the general good on objective grounds, but to give effect to the force of subjective opinion. This must be so, since, in the eye of everyone save the believer, religious faith is necessarily subjective, being incommunicable by any kind of proof or evidence. It may, of course, be true, but the ascertainment of such a truth lies beyond the means by which laws are made in a reasonable society. Therefore it lies only in the heart of the believer who</w:t>
      </w:r>
      <w:r>
        <w:rPr>
          <w:rFonts w:ascii="Times New Roman" w:hAnsi="Times New Roman" w:cs="Times New Roman"/>
          <w:i/>
          <w:iCs/>
          <w:sz w:val="26"/>
          <w:szCs w:val="26"/>
        </w:rPr>
        <w:t xml:space="preserve"> </w:t>
      </w:r>
      <w:r w:rsidRPr="00BE2BEE">
        <w:rPr>
          <w:rFonts w:ascii="Times New Roman" w:hAnsi="Times New Roman" w:cs="Times New Roman"/>
          <w:i/>
          <w:iCs/>
          <w:sz w:val="26"/>
          <w:szCs w:val="26"/>
        </w:rPr>
        <w:t>is alone bound by it; no one else is or can be so bound, unless by his own free choice he accepts its claims.</w:t>
      </w:r>
      <w:r>
        <w:rPr>
          <w:rFonts w:ascii="Times New Roman" w:hAnsi="Times New Roman" w:cs="Times New Roman"/>
          <w:sz w:val="26"/>
          <w:szCs w:val="26"/>
        </w:rPr>
        <w:t>”</w:t>
      </w:r>
    </w:p>
    <w:p w14:paraId="74331929" w14:textId="27FC3909" w:rsidR="006615C3" w:rsidRDefault="006615C3" w:rsidP="006615C3">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Let me end my tribute to </w:t>
      </w:r>
      <w:r w:rsidR="003F2D1D">
        <w:rPr>
          <w:rFonts w:ascii="Times New Roman" w:hAnsi="Times New Roman" w:cs="Times New Roman"/>
          <w:sz w:val="26"/>
          <w:szCs w:val="26"/>
        </w:rPr>
        <w:t>this</w:t>
      </w:r>
      <w:r>
        <w:rPr>
          <w:rFonts w:ascii="Times New Roman" w:hAnsi="Times New Roman" w:cs="Times New Roman"/>
          <w:sz w:val="26"/>
          <w:szCs w:val="26"/>
        </w:rPr>
        <w:t xml:space="preserve"> remarkabl</w:t>
      </w:r>
      <w:r w:rsidR="00277320">
        <w:rPr>
          <w:rFonts w:ascii="Times New Roman" w:hAnsi="Times New Roman" w:cs="Times New Roman"/>
          <w:sz w:val="26"/>
          <w:szCs w:val="26"/>
        </w:rPr>
        <w:t>e</w:t>
      </w:r>
      <w:r>
        <w:rPr>
          <w:rFonts w:ascii="Times New Roman" w:hAnsi="Times New Roman" w:cs="Times New Roman"/>
          <w:sz w:val="26"/>
          <w:szCs w:val="26"/>
        </w:rPr>
        <w:t xml:space="preserve"> judicial figure by </w:t>
      </w:r>
      <w:r w:rsidR="008D5F67">
        <w:rPr>
          <w:rFonts w:ascii="Times New Roman" w:hAnsi="Times New Roman" w:cs="Times New Roman"/>
          <w:sz w:val="26"/>
          <w:szCs w:val="26"/>
        </w:rPr>
        <w:t>addressing something of a metaphorical elephant in this virtual room. I have referred more than once to the</w:t>
      </w:r>
      <w:r w:rsidR="003F2D1D">
        <w:rPr>
          <w:rFonts w:ascii="Times New Roman" w:hAnsi="Times New Roman" w:cs="Times New Roman"/>
          <w:sz w:val="26"/>
          <w:szCs w:val="26"/>
        </w:rPr>
        <w:t xml:space="preserve"> very high quality of John’s judgments, both in contents and in style. I have also referred more than once to the</w:t>
      </w:r>
      <w:r w:rsidR="008D5F67">
        <w:rPr>
          <w:rFonts w:ascii="Times New Roman" w:hAnsi="Times New Roman" w:cs="Times New Roman"/>
          <w:sz w:val="26"/>
          <w:szCs w:val="26"/>
        </w:rPr>
        <w:t xml:space="preserve"> very unusual degree of enthusiastic approval </w:t>
      </w:r>
      <w:r w:rsidR="00970DFB">
        <w:rPr>
          <w:rFonts w:ascii="Times New Roman" w:hAnsi="Times New Roman" w:cs="Times New Roman"/>
          <w:sz w:val="26"/>
          <w:szCs w:val="26"/>
        </w:rPr>
        <w:t xml:space="preserve">which John’s judgments received from the Supreme Court. </w:t>
      </w:r>
      <w:r w:rsidR="003F2D1D">
        <w:rPr>
          <w:rFonts w:ascii="Times New Roman" w:hAnsi="Times New Roman" w:cs="Times New Roman"/>
          <w:sz w:val="26"/>
          <w:szCs w:val="26"/>
        </w:rPr>
        <w:t xml:space="preserve">The question to which this inevitably gives rise is: </w:t>
      </w:r>
      <w:r w:rsidR="00970DFB">
        <w:rPr>
          <w:rFonts w:ascii="Times New Roman" w:hAnsi="Times New Roman" w:cs="Times New Roman"/>
          <w:sz w:val="26"/>
          <w:szCs w:val="26"/>
        </w:rPr>
        <w:t xml:space="preserve">Why did this remarkable figure not get there in person? </w:t>
      </w:r>
      <w:r w:rsidR="00277320">
        <w:rPr>
          <w:rFonts w:ascii="Times New Roman" w:hAnsi="Times New Roman" w:cs="Times New Roman"/>
          <w:sz w:val="26"/>
          <w:szCs w:val="26"/>
        </w:rPr>
        <w:t>To my knowledge</w:t>
      </w:r>
      <w:r w:rsidR="008E3AFC">
        <w:rPr>
          <w:rFonts w:ascii="Times New Roman" w:hAnsi="Times New Roman" w:cs="Times New Roman"/>
          <w:sz w:val="26"/>
          <w:szCs w:val="26"/>
        </w:rPr>
        <w:t xml:space="preserve">, various explanations have been advanced, but I am unpersuaded </w:t>
      </w:r>
      <w:r w:rsidR="003F2D1D">
        <w:rPr>
          <w:rFonts w:ascii="Times New Roman" w:hAnsi="Times New Roman" w:cs="Times New Roman"/>
          <w:sz w:val="26"/>
          <w:szCs w:val="26"/>
        </w:rPr>
        <w:t>that any of them is justified</w:t>
      </w:r>
      <w:r w:rsidR="008E3AFC">
        <w:rPr>
          <w:rFonts w:ascii="Times New Roman" w:hAnsi="Times New Roman" w:cs="Times New Roman"/>
          <w:sz w:val="26"/>
          <w:szCs w:val="26"/>
        </w:rPr>
        <w:t>.</w:t>
      </w:r>
      <w:r w:rsidR="00601888">
        <w:rPr>
          <w:rFonts w:ascii="Times New Roman" w:hAnsi="Times New Roman" w:cs="Times New Roman"/>
          <w:sz w:val="26"/>
          <w:szCs w:val="26"/>
        </w:rPr>
        <w:t xml:space="preserve"> I have no satisfactory answer to the question, other than to say tha</w:t>
      </w:r>
      <w:r w:rsidR="003F2D1D">
        <w:rPr>
          <w:rFonts w:ascii="Times New Roman" w:hAnsi="Times New Roman" w:cs="Times New Roman"/>
          <w:sz w:val="26"/>
          <w:szCs w:val="26"/>
        </w:rPr>
        <w:t>t, as I suggested earlier,</w:t>
      </w:r>
      <w:r w:rsidR="00601888">
        <w:rPr>
          <w:rFonts w:ascii="Times New Roman" w:hAnsi="Times New Roman" w:cs="Times New Roman"/>
          <w:sz w:val="26"/>
          <w:szCs w:val="26"/>
        </w:rPr>
        <w:t xml:space="preserve"> luck or chance has </w:t>
      </w:r>
      <w:r w:rsidR="003F2D1D">
        <w:rPr>
          <w:rFonts w:ascii="Times New Roman" w:hAnsi="Times New Roman" w:cs="Times New Roman"/>
          <w:sz w:val="26"/>
          <w:szCs w:val="26"/>
        </w:rPr>
        <w:t xml:space="preserve">substantial </w:t>
      </w:r>
      <w:r w:rsidR="00601888">
        <w:rPr>
          <w:rFonts w:ascii="Times New Roman" w:hAnsi="Times New Roman" w:cs="Times New Roman"/>
          <w:sz w:val="26"/>
          <w:szCs w:val="26"/>
        </w:rPr>
        <w:t>influence on</w:t>
      </w:r>
      <w:r w:rsidR="003F2D1D">
        <w:rPr>
          <w:rFonts w:ascii="Times New Roman" w:hAnsi="Times New Roman" w:cs="Times New Roman"/>
          <w:sz w:val="26"/>
          <w:szCs w:val="26"/>
        </w:rPr>
        <w:t xml:space="preserve"> all</w:t>
      </w:r>
      <w:r w:rsidR="00601888">
        <w:rPr>
          <w:rFonts w:ascii="Times New Roman" w:hAnsi="Times New Roman" w:cs="Times New Roman"/>
          <w:sz w:val="26"/>
          <w:szCs w:val="26"/>
        </w:rPr>
        <w:t xml:space="preserve"> </w:t>
      </w:r>
      <w:r w:rsidR="003F2D1D">
        <w:rPr>
          <w:rFonts w:ascii="Times New Roman" w:hAnsi="Times New Roman" w:cs="Times New Roman"/>
          <w:sz w:val="26"/>
          <w:szCs w:val="26"/>
        </w:rPr>
        <w:t>events and issues in life – a much greater influence</w:t>
      </w:r>
      <w:r w:rsidR="00601888">
        <w:rPr>
          <w:rFonts w:ascii="Times New Roman" w:hAnsi="Times New Roman" w:cs="Times New Roman"/>
          <w:sz w:val="26"/>
          <w:szCs w:val="26"/>
        </w:rPr>
        <w:t xml:space="preserve"> than most of us like to admit. </w:t>
      </w:r>
      <w:r w:rsidR="00FC35B5">
        <w:rPr>
          <w:rFonts w:ascii="Times New Roman" w:hAnsi="Times New Roman" w:cs="Times New Roman"/>
          <w:sz w:val="26"/>
          <w:szCs w:val="26"/>
        </w:rPr>
        <w:t xml:space="preserve"> </w:t>
      </w:r>
      <w:r w:rsidR="00D9093F">
        <w:rPr>
          <w:rFonts w:ascii="Times New Roman" w:hAnsi="Times New Roman" w:cs="Times New Roman"/>
          <w:sz w:val="26"/>
          <w:szCs w:val="26"/>
        </w:rPr>
        <w:t xml:space="preserve">I  am afraid that </w:t>
      </w:r>
      <w:r w:rsidR="00FC35B5">
        <w:rPr>
          <w:rFonts w:ascii="Times New Roman" w:hAnsi="Times New Roman" w:cs="Times New Roman"/>
          <w:sz w:val="26"/>
          <w:szCs w:val="26"/>
        </w:rPr>
        <w:t xml:space="preserve">Shakespeare’s </w:t>
      </w:r>
      <w:r w:rsidR="00FC35B5" w:rsidRPr="00FC35B5">
        <w:rPr>
          <w:rFonts w:ascii="Times New Roman" w:hAnsi="Times New Roman" w:cs="Times New Roman"/>
          <w:i/>
          <w:iCs/>
          <w:sz w:val="26"/>
          <w:szCs w:val="26"/>
        </w:rPr>
        <w:t>slings and arrows of outrageous fortune</w:t>
      </w:r>
      <w:r w:rsidR="00FC35B5">
        <w:rPr>
          <w:rStyle w:val="FootnoteReference"/>
          <w:rFonts w:ascii="Times New Roman" w:hAnsi="Times New Roman" w:cs="Times New Roman"/>
          <w:sz w:val="26"/>
          <w:szCs w:val="26"/>
        </w:rPr>
        <w:footnoteReference w:id="57"/>
      </w:r>
      <w:r w:rsidR="00970DFB">
        <w:rPr>
          <w:rFonts w:ascii="Times New Roman" w:hAnsi="Times New Roman" w:cs="Times New Roman"/>
          <w:sz w:val="26"/>
          <w:szCs w:val="26"/>
        </w:rPr>
        <w:t xml:space="preserve"> </w:t>
      </w:r>
      <w:r w:rsidR="00D9093F">
        <w:rPr>
          <w:rFonts w:ascii="Times New Roman" w:hAnsi="Times New Roman" w:cs="Times New Roman"/>
          <w:sz w:val="26"/>
          <w:szCs w:val="26"/>
        </w:rPr>
        <w:t xml:space="preserve">play a </w:t>
      </w:r>
      <w:r w:rsidR="008E3AFC">
        <w:rPr>
          <w:rFonts w:ascii="Times New Roman" w:hAnsi="Times New Roman" w:cs="Times New Roman"/>
          <w:sz w:val="26"/>
          <w:szCs w:val="26"/>
        </w:rPr>
        <w:t xml:space="preserve">significant </w:t>
      </w:r>
      <w:r w:rsidR="00D9093F">
        <w:rPr>
          <w:rFonts w:ascii="Times New Roman" w:hAnsi="Times New Roman" w:cs="Times New Roman"/>
          <w:sz w:val="26"/>
          <w:szCs w:val="26"/>
        </w:rPr>
        <w:t>part in judicial careers just as in all other areas of life. While disappointed, John accepted his undeserved non-promotion with</w:t>
      </w:r>
      <w:r w:rsidR="006952A8">
        <w:rPr>
          <w:rFonts w:ascii="Times New Roman" w:hAnsi="Times New Roman" w:cs="Times New Roman"/>
          <w:sz w:val="26"/>
          <w:szCs w:val="26"/>
        </w:rPr>
        <w:t xml:space="preserve"> all</w:t>
      </w:r>
      <w:r w:rsidR="00D9093F">
        <w:rPr>
          <w:rFonts w:ascii="Times New Roman" w:hAnsi="Times New Roman" w:cs="Times New Roman"/>
          <w:sz w:val="26"/>
          <w:szCs w:val="26"/>
        </w:rPr>
        <w:t xml:space="preserve"> the graciousness and good humour that</w:t>
      </w:r>
      <w:r w:rsidR="00277320">
        <w:rPr>
          <w:rFonts w:ascii="Times New Roman" w:hAnsi="Times New Roman" w:cs="Times New Roman"/>
          <w:sz w:val="26"/>
          <w:szCs w:val="26"/>
        </w:rPr>
        <w:t xml:space="preserve"> anyone who knew him</w:t>
      </w:r>
      <w:r w:rsidR="00D9093F">
        <w:rPr>
          <w:rFonts w:ascii="Times New Roman" w:hAnsi="Times New Roman" w:cs="Times New Roman"/>
          <w:sz w:val="26"/>
          <w:szCs w:val="26"/>
        </w:rPr>
        <w:t xml:space="preserve"> would have predicted.</w:t>
      </w:r>
      <w:r w:rsidR="006952A8">
        <w:rPr>
          <w:rFonts w:ascii="Times New Roman" w:hAnsi="Times New Roman" w:cs="Times New Roman"/>
          <w:sz w:val="26"/>
          <w:szCs w:val="26"/>
        </w:rPr>
        <w:t xml:space="preserve"> He would I hope have consoled himself with the thought that</w:t>
      </w:r>
      <w:r w:rsidR="00B43273">
        <w:rPr>
          <w:rFonts w:ascii="Times New Roman" w:hAnsi="Times New Roman" w:cs="Times New Roman"/>
          <w:sz w:val="26"/>
          <w:szCs w:val="26"/>
        </w:rPr>
        <w:t>, both in terms of quantity and quality,</w:t>
      </w:r>
      <w:r w:rsidR="006952A8">
        <w:rPr>
          <w:rFonts w:ascii="Times New Roman" w:hAnsi="Times New Roman" w:cs="Times New Roman"/>
          <w:sz w:val="26"/>
          <w:szCs w:val="26"/>
        </w:rPr>
        <w:t xml:space="preserve"> he made as great a contribution</w:t>
      </w:r>
      <w:r w:rsidR="00601888" w:rsidRPr="00601888">
        <w:rPr>
          <w:rFonts w:ascii="Times New Roman" w:hAnsi="Times New Roman" w:cs="Times New Roman"/>
          <w:sz w:val="26"/>
          <w:szCs w:val="26"/>
        </w:rPr>
        <w:t xml:space="preserve"> </w:t>
      </w:r>
      <w:r w:rsidR="00601888">
        <w:rPr>
          <w:rFonts w:ascii="Times New Roman" w:hAnsi="Times New Roman" w:cs="Times New Roman"/>
          <w:sz w:val="26"/>
          <w:szCs w:val="26"/>
        </w:rPr>
        <w:t>from the Court of Appeal</w:t>
      </w:r>
      <w:r w:rsidR="006952A8">
        <w:rPr>
          <w:rFonts w:ascii="Times New Roman" w:hAnsi="Times New Roman" w:cs="Times New Roman"/>
          <w:sz w:val="26"/>
          <w:szCs w:val="26"/>
        </w:rPr>
        <w:t xml:space="preserve"> to </w:t>
      </w:r>
      <w:r w:rsidR="00601888">
        <w:rPr>
          <w:rFonts w:ascii="Times New Roman" w:hAnsi="Times New Roman" w:cs="Times New Roman"/>
          <w:sz w:val="26"/>
          <w:szCs w:val="26"/>
        </w:rPr>
        <w:t>English public and constitutional</w:t>
      </w:r>
      <w:r w:rsidR="006952A8">
        <w:rPr>
          <w:rFonts w:ascii="Times New Roman" w:hAnsi="Times New Roman" w:cs="Times New Roman"/>
          <w:sz w:val="26"/>
          <w:szCs w:val="26"/>
        </w:rPr>
        <w:t xml:space="preserve"> law as Lord Denning</w:t>
      </w:r>
      <w:r w:rsidR="00601888">
        <w:rPr>
          <w:rFonts w:ascii="Times New Roman" w:hAnsi="Times New Roman" w:cs="Times New Roman"/>
          <w:sz w:val="26"/>
          <w:szCs w:val="26"/>
        </w:rPr>
        <w:t xml:space="preserve"> </w:t>
      </w:r>
      <w:r w:rsidR="003F2D1D">
        <w:rPr>
          <w:rFonts w:ascii="Times New Roman" w:hAnsi="Times New Roman" w:cs="Times New Roman"/>
          <w:sz w:val="26"/>
          <w:szCs w:val="26"/>
        </w:rPr>
        <w:t>made</w:t>
      </w:r>
      <w:r w:rsidR="00601888">
        <w:rPr>
          <w:rFonts w:ascii="Times New Roman" w:hAnsi="Times New Roman" w:cs="Times New Roman"/>
          <w:sz w:val="26"/>
          <w:szCs w:val="26"/>
        </w:rPr>
        <w:t xml:space="preserve"> to English private law</w:t>
      </w:r>
      <w:r w:rsidR="006952A8">
        <w:rPr>
          <w:rFonts w:ascii="Times New Roman" w:hAnsi="Times New Roman" w:cs="Times New Roman"/>
          <w:sz w:val="26"/>
          <w:szCs w:val="26"/>
        </w:rPr>
        <w:t xml:space="preserve"> in the previous judicial generation.</w:t>
      </w:r>
    </w:p>
    <w:p w14:paraId="5C3D89F6" w14:textId="57258246" w:rsidR="00384C5B" w:rsidRDefault="006952A8" w:rsidP="006952A8">
      <w:pPr>
        <w:ind w:left="360"/>
        <w:rPr>
          <w:rFonts w:ascii="Times New Roman" w:hAnsi="Times New Roman" w:cs="Times New Roman"/>
          <w:sz w:val="26"/>
          <w:szCs w:val="26"/>
        </w:rPr>
      </w:pPr>
      <w:r>
        <w:rPr>
          <w:rFonts w:ascii="Times New Roman" w:hAnsi="Times New Roman" w:cs="Times New Roman"/>
          <w:sz w:val="26"/>
          <w:szCs w:val="26"/>
        </w:rPr>
        <w:t>David Neuberger</w:t>
      </w:r>
    </w:p>
    <w:p w14:paraId="5503AA12" w14:textId="3B087C99" w:rsidR="006952A8" w:rsidRPr="006952A8" w:rsidRDefault="006952A8" w:rsidP="006952A8">
      <w:pPr>
        <w:ind w:left="360"/>
        <w:rPr>
          <w:rFonts w:ascii="Times New Roman" w:hAnsi="Times New Roman" w:cs="Times New Roman"/>
          <w:sz w:val="26"/>
          <w:szCs w:val="26"/>
        </w:rPr>
      </w:pPr>
      <w:r>
        <w:rPr>
          <w:rFonts w:ascii="Times New Roman" w:hAnsi="Times New Roman" w:cs="Times New Roman"/>
          <w:sz w:val="26"/>
          <w:szCs w:val="26"/>
        </w:rPr>
        <w:t>July 2020</w:t>
      </w:r>
    </w:p>
    <w:p w14:paraId="3A014203" w14:textId="77777777" w:rsidR="00107A3F" w:rsidRPr="00107A3F" w:rsidRDefault="00107A3F" w:rsidP="00107A3F">
      <w:pPr>
        <w:spacing w:line="276" w:lineRule="auto"/>
        <w:ind w:left="1440"/>
        <w:jc w:val="both"/>
        <w:rPr>
          <w:rFonts w:ascii="Times New Roman" w:hAnsi="Times New Roman" w:cs="Times New Roman"/>
          <w:sz w:val="26"/>
          <w:szCs w:val="26"/>
        </w:rPr>
      </w:pPr>
    </w:p>
    <w:p w14:paraId="2AF8368B" w14:textId="6C4114A6" w:rsidR="00D37E6C" w:rsidRDefault="00D37E6C" w:rsidP="00817414">
      <w:pPr>
        <w:spacing w:line="360" w:lineRule="auto"/>
        <w:jc w:val="both"/>
        <w:rPr>
          <w:rFonts w:ascii="Times New Roman" w:hAnsi="Times New Roman" w:cs="Times New Roman"/>
          <w:sz w:val="26"/>
          <w:szCs w:val="26"/>
        </w:rPr>
      </w:pPr>
    </w:p>
    <w:p w14:paraId="17C224CF" w14:textId="77777777" w:rsidR="00817414" w:rsidRPr="00817414" w:rsidRDefault="00817414" w:rsidP="00817414">
      <w:pPr>
        <w:spacing w:line="360" w:lineRule="auto"/>
        <w:jc w:val="both"/>
        <w:rPr>
          <w:rFonts w:ascii="Times New Roman" w:hAnsi="Times New Roman" w:cs="Times New Roman"/>
          <w:sz w:val="26"/>
          <w:szCs w:val="26"/>
        </w:rPr>
      </w:pPr>
    </w:p>
    <w:sectPr w:rsidR="00817414" w:rsidRPr="00817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0225" w14:textId="77777777" w:rsidR="00FC54B6" w:rsidRDefault="00FC54B6" w:rsidP="00620EF2">
      <w:pPr>
        <w:spacing w:after="0" w:line="240" w:lineRule="auto"/>
      </w:pPr>
      <w:r>
        <w:separator/>
      </w:r>
    </w:p>
  </w:endnote>
  <w:endnote w:type="continuationSeparator" w:id="0">
    <w:p w14:paraId="1E0CBE88" w14:textId="77777777" w:rsidR="00FC54B6" w:rsidRDefault="00FC54B6" w:rsidP="0062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D0A7" w14:textId="77777777" w:rsidR="00FC54B6" w:rsidRDefault="00FC54B6" w:rsidP="00620EF2">
      <w:pPr>
        <w:spacing w:after="0" w:line="240" w:lineRule="auto"/>
      </w:pPr>
      <w:r>
        <w:separator/>
      </w:r>
    </w:p>
  </w:footnote>
  <w:footnote w:type="continuationSeparator" w:id="0">
    <w:p w14:paraId="232238F7" w14:textId="77777777" w:rsidR="00FC54B6" w:rsidRDefault="00FC54B6" w:rsidP="00620EF2">
      <w:pPr>
        <w:spacing w:after="0" w:line="240" w:lineRule="auto"/>
      </w:pPr>
      <w:r>
        <w:continuationSeparator/>
      </w:r>
    </w:p>
  </w:footnote>
  <w:footnote w:id="1">
    <w:p w14:paraId="27E46507" w14:textId="091DB056" w:rsidR="007B601C" w:rsidRDefault="007B601C">
      <w:pPr>
        <w:pStyle w:val="FootnoteText"/>
      </w:pPr>
      <w:r>
        <w:rPr>
          <w:rStyle w:val="FootnoteReference"/>
        </w:rPr>
        <w:footnoteRef/>
      </w:r>
      <w:r>
        <w:t xml:space="preserve"> Sir Stephen Sedley, </w:t>
      </w:r>
      <w:r w:rsidRPr="002F4F07">
        <w:rPr>
          <w:u w:val="single"/>
        </w:rPr>
        <w:t>The Lion Beneath the Throne: Law as History</w:t>
      </w:r>
      <w:r w:rsidRPr="004F43BD">
        <w:t>, the 16</w:t>
      </w:r>
      <w:r w:rsidRPr="004F43BD">
        <w:rPr>
          <w:vertAlign w:val="superscript"/>
        </w:rPr>
        <w:t>th</w:t>
      </w:r>
      <w:r w:rsidRPr="004F43BD">
        <w:t xml:space="preserve"> Annual Sir David Williams Lecture, Faculty of Law, University of Cambridge (5 March 2016)</w:t>
      </w:r>
    </w:p>
  </w:footnote>
  <w:footnote w:id="2">
    <w:p w14:paraId="5AA519C4" w14:textId="18999343" w:rsidR="007B601C" w:rsidRDefault="007B601C">
      <w:pPr>
        <w:pStyle w:val="FootnoteText"/>
      </w:pPr>
      <w:r>
        <w:rPr>
          <w:rStyle w:val="FootnoteReference"/>
        </w:rPr>
        <w:footnoteRef/>
      </w:r>
      <w:r>
        <w:t xml:space="preserve"> </w:t>
      </w:r>
      <w:r w:rsidRPr="00DE1C89">
        <w:rPr>
          <w:color w:val="000000"/>
          <w:u w:val="single"/>
        </w:rPr>
        <w:t>R (on the Application of Leech) v Parkhurst Prison</w:t>
      </w:r>
      <w:r>
        <w:rPr>
          <w:color w:val="000000"/>
        </w:rPr>
        <w:t xml:space="preserve"> [1988] UKHL 16, [1988] AC 533</w:t>
      </w:r>
    </w:p>
  </w:footnote>
  <w:footnote w:id="3">
    <w:p w14:paraId="058D1418" w14:textId="76BFBD3E" w:rsidR="007B601C" w:rsidRDefault="007B601C">
      <w:pPr>
        <w:pStyle w:val="FootnoteText"/>
      </w:pPr>
      <w:r>
        <w:rPr>
          <w:rStyle w:val="FootnoteReference"/>
        </w:rPr>
        <w:footnoteRef/>
      </w:r>
      <w:r>
        <w:t xml:space="preserve"> </w:t>
      </w:r>
      <w:r w:rsidRPr="00DE1C89">
        <w:rPr>
          <w:u w:val="single"/>
        </w:rPr>
        <w:t xml:space="preserve">Reg, v. Board of Visitors of Hull Prison, </w:t>
      </w:r>
      <w:r>
        <w:rPr>
          <w:i/>
          <w:iCs/>
          <w:u w:val="single"/>
        </w:rPr>
        <w:t>e</w:t>
      </w:r>
      <w:r w:rsidRPr="00DE1C89">
        <w:rPr>
          <w:i/>
          <w:iCs/>
          <w:u w:val="single"/>
        </w:rPr>
        <w:t>x parte</w:t>
      </w:r>
      <w:r w:rsidRPr="00DE1C89">
        <w:rPr>
          <w:u w:val="single"/>
        </w:rPr>
        <w:t xml:space="preserve"> St. Germain</w:t>
      </w:r>
      <w:r w:rsidRPr="00DE1C89">
        <w:t xml:space="preserve"> [1978] Q.B. 678</w:t>
      </w:r>
    </w:p>
  </w:footnote>
  <w:footnote w:id="4">
    <w:p w14:paraId="27763B80" w14:textId="31679691" w:rsidR="007B601C" w:rsidRPr="00390772" w:rsidRDefault="007B601C">
      <w:pPr>
        <w:pStyle w:val="FootnoteText"/>
        <w:rPr>
          <w:i/>
          <w:iCs/>
        </w:rPr>
      </w:pPr>
      <w:r>
        <w:rPr>
          <w:rStyle w:val="FootnoteReference"/>
        </w:rPr>
        <w:footnoteRef/>
      </w:r>
      <w:r>
        <w:t xml:space="preserve"> </w:t>
      </w:r>
      <w:r>
        <w:rPr>
          <w:i/>
          <w:iCs/>
        </w:rPr>
        <w:t>Ibid</w:t>
      </w:r>
    </w:p>
  </w:footnote>
  <w:footnote w:id="5">
    <w:p w14:paraId="106E04B1" w14:textId="39B6E119" w:rsidR="007B601C" w:rsidRPr="00F42C23" w:rsidRDefault="007B601C">
      <w:pPr>
        <w:pStyle w:val="FootnoteText"/>
      </w:pPr>
      <w:r>
        <w:rPr>
          <w:rStyle w:val="FootnoteReference"/>
        </w:rPr>
        <w:footnoteRef/>
      </w:r>
      <w:r>
        <w:t xml:space="preserve"> </w:t>
      </w:r>
      <w:r w:rsidRPr="00495115">
        <w:rPr>
          <w:u w:val="single"/>
        </w:rPr>
        <w:t>Laws v Florinplace Ltd</w:t>
      </w:r>
      <w:r>
        <w:rPr>
          <w:i/>
          <w:iCs/>
        </w:rPr>
        <w:t xml:space="preserve"> </w:t>
      </w:r>
      <w:r>
        <w:t xml:space="preserve">[1981] 1 All ER 659, subsequently described (i) by the Law Lords (via the authority relied on, </w:t>
      </w:r>
      <w:r w:rsidRPr="00495115">
        <w:rPr>
          <w:u w:val="single"/>
        </w:rPr>
        <w:t>Thompson-Schwab v.</w:t>
      </w:r>
      <w:r w:rsidRPr="00F42C23">
        <w:rPr>
          <w:i/>
          <w:iCs/>
        </w:rPr>
        <w:t xml:space="preserve"> </w:t>
      </w:r>
      <w:r w:rsidRPr="00495115">
        <w:rPr>
          <w:u w:val="single"/>
        </w:rPr>
        <w:t>Costaki </w:t>
      </w:r>
      <w:r w:rsidRPr="00F42C23">
        <w:t>[1956] 1 W.L.R. 335</w:t>
      </w:r>
      <w:r>
        <w:t xml:space="preserve">) as a type of case which was “relatively rare” in </w:t>
      </w:r>
      <w:r w:rsidRPr="00495115">
        <w:rPr>
          <w:u w:val="single"/>
        </w:rPr>
        <w:t>H</w:t>
      </w:r>
      <w:r w:rsidRPr="00495115">
        <w:rPr>
          <w:color w:val="000000"/>
          <w:u w:val="single"/>
          <w:shd w:val="clear" w:color="auto" w:fill="FFFFFF"/>
        </w:rPr>
        <w:t>unter and Others v. Canary Wharf Ltd [</w:t>
      </w:r>
      <w:r>
        <w:rPr>
          <w:color w:val="000000"/>
          <w:shd w:val="clear" w:color="auto" w:fill="FFFFFF"/>
        </w:rPr>
        <w:t xml:space="preserve">1997] AC 65, and (ii) as “borderline” and “tricky” in other books – eg by Donal Nolan in </w:t>
      </w:r>
      <w:r w:rsidRPr="00495115">
        <w:rPr>
          <w:color w:val="000000"/>
          <w:u w:val="single"/>
          <w:shd w:val="clear" w:color="auto" w:fill="FFFFFF"/>
        </w:rPr>
        <w:t>The Essence of Private Nuisance in Modern Studies in Property Law</w:t>
      </w:r>
      <w:r>
        <w:rPr>
          <w:color w:val="000000"/>
          <w:shd w:val="clear" w:color="auto" w:fill="FFFFFF"/>
        </w:rPr>
        <w:t>, ed Ben McFarlane and Sinead Agnew, Vol 10, p 77</w:t>
      </w:r>
    </w:p>
  </w:footnote>
  <w:footnote w:id="6">
    <w:p w14:paraId="49763614" w14:textId="774C3008" w:rsidR="007B601C" w:rsidRPr="006A022F" w:rsidRDefault="007B601C">
      <w:pPr>
        <w:pStyle w:val="FootnoteText"/>
      </w:pPr>
      <w:r>
        <w:rPr>
          <w:rStyle w:val="FootnoteReference"/>
        </w:rPr>
        <w:footnoteRef/>
      </w:r>
      <w:r>
        <w:t xml:space="preserve"> </w:t>
      </w:r>
      <w:r>
        <w:rPr>
          <w:u w:val="single"/>
        </w:rPr>
        <w:t>R (on the application of Cart) v The Upper Tribunal</w:t>
      </w:r>
      <w:r>
        <w:t xml:space="preserve"> [2010] EWCA Civ 859, [2011] QB 120, paragraphs 43-51</w:t>
      </w:r>
    </w:p>
  </w:footnote>
  <w:footnote w:id="7">
    <w:p w14:paraId="2B87F5B6" w14:textId="399E1B3C" w:rsidR="007B601C" w:rsidRDefault="007B601C">
      <w:pPr>
        <w:pStyle w:val="FootnoteText"/>
      </w:pPr>
      <w:r>
        <w:rPr>
          <w:rStyle w:val="FootnoteReference"/>
        </w:rPr>
        <w:footnoteRef/>
      </w:r>
      <w:r>
        <w:t xml:space="preserve"> </w:t>
      </w:r>
      <w:r w:rsidRPr="000E5A1A">
        <w:rPr>
          <w:color w:val="000000"/>
          <w:u w:val="single"/>
        </w:rPr>
        <w:t>Cart v The Upper Tribunal</w:t>
      </w:r>
      <w:r>
        <w:rPr>
          <w:color w:val="000000"/>
        </w:rPr>
        <w:t xml:space="preserve"> [2011] UKSC 28, [2012] 1 AC 663, paragraph 31</w:t>
      </w:r>
    </w:p>
  </w:footnote>
  <w:footnote w:id="8">
    <w:p w14:paraId="4D49DECA" w14:textId="4A02722B" w:rsidR="007B601C" w:rsidRPr="000E5A1A" w:rsidRDefault="007B601C">
      <w:pPr>
        <w:pStyle w:val="FootnoteText"/>
      </w:pPr>
      <w:r>
        <w:rPr>
          <w:rStyle w:val="FootnoteReference"/>
        </w:rPr>
        <w:footnoteRef/>
      </w:r>
      <w:r>
        <w:t xml:space="preserve"> </w:t>
      </w:r>
      <w:r>
        <w:rPr>
          <w:i/>
          <w:iCs/>
        </w:rPr>
        <w:t>Ibid</w:t>
      </w:r>
      <w:r>
        <w:t>, paragraph 37</w:t>
      </w:r>
    </w:p>
  </w:footnote>
  <w:footnote w:id="9">
    <w:p w14:paraId="1FDFADE2" w14:textId="34CBFC1E" w:rsidR="007B601C" w:rsidRDefault="007B601C">
      <w:pPr>
        <w:pStyle w:val="FootnoteText"/>
      </w:pPr>
      <w:r>
        <w:rPr>
          <w:rStyle w:val="FootnoteReference"/>
        </w:rPr>
        <w:footnoteRef/>
      </w:r>
      <w:r>
        <w:rPr>
          <w:color w:val="000000"/>
        </w:rPr>
        <w:t xml:space="preserve"> </w:t>
      </w:r>
      <w:r w:rsidRPr="00DB46E3">
        <w:rPr>
          <w:color w:val="000000"/>
          <w:u w:val="single"/>
        </w:rPr>
        <w:t>R (on the application of Privacy International)</w:t>
      </w:r>
      <w:r>
        <w:rPr>
          <w:color w:val="000000"/>
          <w:u w:val="single"/>
        </w:rPr>
        <w:t xml:space="preserve"> </w:t>
      </w:r>
      <w:r w:rsidRPr="00DB46E3">
        <w:rPr>
          <w:color w:val="000000"/>
          <w:u w:val="single"/>
        </w:rPr>
        <w:t xml:space="preserve">v Investigatory Powers Tribunal </w:t>
      </w:r>
      <w:r>
        <w:rPr>
          <w:color w:val="000000"/>
        </w:rPr>
        <w:t>[2019] UKSC 22 , [2019] 2 WLR 1219, paragraph 31</w:t>
      </w:r>
    </w:p>
  </w:footnote>
  <w:footnote w:id="10">
    <w:p w14:paraId="5ECD1A46" w14:textId="77777777" w:rsidR="007B601C" w:rsidRDefault="007B601C" w:rsidP="00F524CD">
      <w:pPr>
        <w:pStyle w:val="FootnoteText"/>
      </w:pPr>
      <w:r>
        <w:rPr>
          <w:rStyle w:val="FootnoteReference"/>
        </w:rPr>
        <w:footnoteRef/>
      </w:r>
      <w:r>
        <w:t xml:space="preserve"> See </w:t>
      </w:r>
      <w:r w:rsidRPr="00A24CF3">
        <w:rPr>
          <w:u w:val="single"/>
        </w:rPr>
        <w:t>Associated Provincial Picture Houses Ltd v Wednesbury Corporation</w:t>
      </w:r>
      <w:r w:rsidRPr="00A24CF3">
        <w:t xml:space="preserve"> [1948] 1 KB 223</w:t>
      </w:r>
    </w:p>
  </w:footnote>
  <w:footnote w:id="11">
    <w:p w14:paraId="1BD4E31B" w14:textId="7E702FC9" w:rsidR="007B601C" w:rsidRDefault="007B601C">
      <w:pPr>
        <w:pStyle w:val="FootnoteText"/>
      </w:pPr>
      <w:r>
        <w:rPr>
          <w:rStyle w:val="FootnoteReference"/>
        </w:rPr>
        <w:footnoteRef/>
      </w:r>
      <w:r>
        <w:t xml:space="preserve"> </w:t>
      </w:r>
      <w:r w:rsidRPr="00F524CD">
        <w:rPr>
          <w:bCs/>
          <w:u w:val="single"/>
        </w:rPr>
        <w:t xml:space="preserve">R v Somerset County Council, </w:t>
      </w:r>
      <w:r w:rsidRPr="0087123B">
        <w:rPr>
          <w:bCs/>
          <w:i/>
          <w:iCs/>
          <w:u w:val="single"/>
        </w:rPr>
        <w:t>ex parte</w:t>
      </w:r>
      <w:r w:rsidRPr="00F524CD">
        <w:rPr>
          <w:bCs/>
          <w:u w:val="single"/>
        </w:rPr>
        <w:t xml:space="preserve"> Fewings</w:t>
      </w:r>
      <w:r w:rsidRPr="00F524CD">
        <w:rPr>
          <w:bCs/>
        </w:rPr>
        <w:t xml:space="preserve"> [1995] 1 All ER 513</w:t>
      </w:r>
      <w:r>
        <w:rPr>
          <w:bCs/>
        </w:rPr>
        <w:t>, 515</w:t>
      </w:r>
    </w:p>
  </w:footnote>
  <w:footnote w:id="12">
    <w:p w14:paraId="4A3F474E" w14:textId="77777777" w:rsidR="007B601C" w:rsidRDefault="007B601C" w:rsidP="00453ABE">
      <w:pPr>
        <w:pStyle w:val="FootnoteText"/>
      </w:pPr>
      <w:r>
        <w:rPr>
          <w:rStyle w:val="FootnoteReference"/>
        </w:rPr>
        <w:footnoteRef/>
      </w:r>
      <w:r>
        <w:t xml:space="preserve"> </w:t>
      </w:r>
      <w:r w:rsidRPr="00F44A5F">
        <w:rPr>
          <w:u w:val="single"/>
        </w:rPr>
        <w:t>Re Findlay</w:t>
      </w:r>
      <w:r>
        <w:t xml:space="preserve"> [1985] AC 318, 325, and see also </w:t>
      </w:r>
      <w:r w:rsidRPr="00F44A5F">
        <w:rPr>
          <w:u w:val="single"/>
        </w:rPr>
        <w:t xml:space="preserve">R v Home Secretary </w:t>
      </w:r>
      <w:r w:rsidRPr="0030772B">
        <w:rPr>
          <w:i/>
          <w:iCs/>
          <w:u w:val="single"/>
        </w:rPr>
        <w:t>ex parte</w:t>
      </w:r>
      <w:r w:rsidRPr="00F44A5F">
        <w:rPr>
          <w:u w:val="single"/>
        </w:rPr>
        <w:t xml:space="preserve"> Ruddock</w:t>
      </w:r>
      <w:r>
        <w:t xml:space="preserve"> [1987] 1 WLR 1482</w:t>
      </w:r>
    </w:p>
  </w:footnote>
  <w:footnote w:id="13">
    <w:p w14:paraId="789F6954" w14:textId="77777777" w:rsidR="007B601C" w:rsidRDefault="007B601C" w:rsidP="00453ABE">
      <w:pPr>
        <w:pStyle w:val="FootnoteText"/>
      </w:pPr>
      <w:r>
        <w:rPr>
          <w:rStyle w:val="FootnoteReference"/>
        </w:rPr>
        <w:footnoteRef/>
      </w:r>
      <w:r>
        <w:t xml:space="preserve"> </w:t>
      </w:r>
      <w:r w:rsidRPr="00D76F00">
        <w:rPr>
          <w:u w:val="single"/>
        </w:rPr>
        <w:t xml:space="preserve">R v Secretary of State for Transport, </w:t>
      </w:r>
      <w:r w:rsidRPr="009F55C6">
        <w:rPr>
          <w:i/>
          <w:iCs/>
          <w:u w:val="single"/>
        </w:rPr>
        <w:t xml:space="preserve">ex parte </w:t>
      </w:r>
      <w:r w:rsidRPr="00D76F00">
        <w:rPr>
          <w:u w:val="single"/>
        </w:rPr>
        <w:t>Richmond-upon-Thames LBC</w:t>
      </w:r>
      <w:r>
        <w:t xml:space="preserve"> [1994] 1 WLR 74, 92-93</w:t>
      </w:r>
    </w:p>
  </w:footnote>
  <w:footnote w:id="14">
    <w:p w14:paraId="6548C130" w14:textId="33056E43" w:rsidR="007B601C" w:rsidRDefault="007B601C">
      <w:pPr>
        <w:pStyle w:val="FootnoteText"/>
      </w:pPr>
      <w:r>
        <w:rPr>
          <w:rStyle w:val="FootnoteReference"/>
        </w:rPr>
        <w:footnoteRef/>
      </w:r>
      <w:r>
        <w:t xml:space="preserve"> </w:t>
      </w:r>
      <w:r w:rsidRPr="00A24CF3">
        <w:rPr>
          <w:u w:val="single"/>
        </w:rPr>
        <w:t xml:space="preserve">R v North and East Devon Health Authority, </w:t>
      </w:r>
      <w:r w:rsidRPr="005A45BC">
        <w:rPr>
          <w:i/>
          <w:iCs/>
          <w:u w:val="single"/>
        </w:rPr>
        <w:t>ex parte</w:t>
      </w:r>
      <w:r w:rsidRPr="00A24CF3">
        <w:rPr>
          <w:u w:val="single"/>
        </w:rPr>
        <w:t xml:space="preserve"> Coughlan</w:t>
      </w:r>
      <w:r w:rsidRPr="00B37FC6">
        <w:rPr>
          <w:u w:val="single"/>
        </w:rPr>
        <w:t xml:space="preserve"> </w:t>
      </w:r>
      <w:r>
        <w:t>[1999] EWCA Civ 1871; [2001] QB 213</w:t>
      </w:r>
    </w:p>
  </w:footnote>
  <w:footnote w:id="15">
    <w:p w14:paraId="12BC3096" w14:textId="44D7D392" w:rsidR="007B601C" w:rsidRPr="000714DA" w:rsidRDefault="007B601C">
      <w:pPr>
        <w:pStyle w:val="FootnoteText"/>
      </w:pPr>
      <w:r>
        <w:rPr>
          <w:rStyle w:val="FootnoteReference"/>
        </w:rPr>
        <w:footnoteRef/>
      </w:r>
      <w:r>
        <w:t xml:space="preserve"> </w:t>
      </w:r>
      <w:r>
        <w:rPr>
          <w:i/>
          <w:iCs/>
        </w:rPr>
        <w:t>Ibid</w:t>
      </w:r>
      <w:r>
        <w:t>, para 16</w:t>
      </w:r>
    </w:p>
  </w:footnote>
  <w:footnote w:id="16">
    <w:p w14:paraId="32D54F7C" w14:textId="4376336B" w:rsidR="007B601C" w:rsidRDefault="007B601C">
      <w:pPr>
        <w:pStyle w:val="FootnoteText"/>
      </w:pPr>
      <w:r>
        <w:rPr>
          <w:rStyle w:val="FootnoteReference"/>
        </w:rPr>
        <w:footnoteRef/>
      </w:r>
      <w:r>
        <w:t xml:space="preserve">  </w:t>
      </w:r>
      <w:r w:rsidRPr="00BB655E">
        <w:rPr>
          <w:u w:val="single"/>
        </w:rPr>
        <w:t xml:space="preserve">R v Education Secretary, </w:t>
      </w:r>
      <w:r w:rsidRPr="005A45BC">
        <w:rPr>
          <w:i/>
          <w:iCs/>
          <w:u w:val="single"/>
        </w:rPr>
        <w:t>ex parte</w:t>
      </w:r>
      <w:r w:rsidRPr="00BB655E">
        <w:rPr>
          <w:u w:val="single"/>
        </w:rPr>
        <w:t xml:space="preserve"> Begbie</w:t>
      </w:r>
      <w:r w:rsidRPr="00BB655E">
        <w:t xml:space="preserve"> </w:t>
      </w:r>
      <w:r>
        <w:rPr>
          <w:color w:val="000000"/>
          <w:shd w:val="clear" w:color="auto" w:fill="FFFFFF"/>
        </w:rPr>
        <w:t>[1999] EWCA Civ 2100;</w:t>
      </w:r>
      <w:r w:rsidRPr="00BB655E">
        <w:t xml:space="preserve"> [2000] 1 WLR 1115</w:t>
      </w:r>
      <w:r>
        <w:rPr>
          <w:color w:val="000000"/>
          <w:shd w:val="clear" w:color="auto" w:fill="FFFFFF"/>
        </w:rPr>
        <w:t> </w:t>
      </w:r>
    </w:p>
  </w:footnote>
  <w:footnote w:id="17">
    <w:p w14:paraId="0504E428" w14:textId="52648176" w:rsidR="007B601C" w:rsidRDefault="007B601C">
      <w:pPr>
        <w:pStyle w:val="FootnoteText"/>
      </w:pPr>
      <w:r>
        <w:rPr>
          <w:rStyle w:val="FootnoteReference"/>
        </w:rPr>
        <w:footnoteRef/>
      </w:r>
      <w:r>
        <w:t xml:space="preserve"> See </w:t>
      </w:r>
      <w:r w:rsidRPr="00A24CF3">
        <w:rPr>
          <w:u w:val="single"/>
        </w:rPr>
        <w:t>Associated Provincial Picture Houses Ltd v Wednesbury Corporation</w:t>
      </w:r>
      <w:r w:rsidRPr="00A24CF3">
        <w:t xml:space="preserve"> [1948] 1 KB 223</w:t>
      </w:r>
    </w:p>
  </w:footnote>
  <w:footnote w:id="18">
    <w:p w14:paraId="34D791FD" w14:textId="66045084" w:rsidR="007B601C" w:rsidRPr="00BB655E" w:rsidRDefault="007B601C">
      <w:pPr>
        <w:pStyle w:val="FootnoteText"/>
      </w:pPr>
      <w:r>
        <w:rPr>
          <w:rStyle w:val="FootnoteReference"/>
        </w:rPr>
        <w:footnoteRef/>
      </w:r>
      <w:r>
        <w:t xml:space="preserve"> </w:t>
      </w:r>
      <w:r w:rsidR="00277320">
        <w:rPr>
          <w:u w:val="single"/>
        </w:rPr>
        <w:t>Begbie</w:t>
      </w:r>
      <w:r>
        <w:t>, para 76</w:t>
      </w:r>
    </w:p>
  </w:footnote>
  <w:footnote w:id="19">
    <w:p w14:paraId="675A5A4E" w14:textId="06EE9442" w:rsidR="007B601C" w:rsidRPr="005A45BC" w:rsidRDefault="007B601C">
      <w:pPr>
        <w:pStyle w:val="FootnoteText"/>
      </w:pPr>
      <w:r>
        <w:rPr>
          <w:rStyle w:val="FootnoteReference"/>
        </w:rPr>
        <w:footnoteRef/>
      </w:r>
      <w:r>
        <w:t xml:space="preserve"> </w:t>
      </w:r>
      <w:r>
        <w:rPr>
          <w:i/>
          <w:iCs/>
        </w:rPr>
        <w:t>Ibid</w:t>
      </w:r>
      <w:r>
        <w:t>, paragraph 78</w:t>
      </w:r>
    </w:p>
  </w:footnote>
  <w:footnote w:id="20">
    <w:p w14:paraId="69C71290" w14:textId="57658BD6" w:rsidR="007B601C" w:rsidRPr="005A45BC" w:rsidRDefault="007B601C">
      <w:pPr>
        <w:pStyle w:val="FootnoteText"/>
      </w:pPr>
      <w:r>
        <w:rPr>
          <w:rStyle w:val="FootnoteReference"/>
        </w:rPr>
        <w:footnoteRef/>
      </w:r>
      <w:r>
        <w:t xml:space="preserve"> </w:t>
      </w:r>
      <w:r>
        <w:rPr>
          <w:i/>
          <w:iCs/>
        </w:rPr>
        <w:t>Ibid</w:t>
      </w:r>
      <w:r>
        <w:t>, paragraphs 80-82</w:t>
      </w:r>
    </w:p>
  </w:footnote>
  <w:footnote w:id="21">
    <w:p w14:paraId="13ADD79C" w14:textId="34E4B320" w:rsidR="007B601C" w:rsidRPr="00A41693" w:rsidRDefault="007B601C">
      <w:pPr>
        <w:pStyle w:val="FootnoteText"/>
      </w:pPr>
      <w:r>
        <w:rPr>
          <w:rStyle w:val="FootnoteReference"/>
        </w:rPr>
        <w:footnoteRef/>
      </w:r>
      <w:r>
        <w:t xml:space="preserve"> </w:t>
      </w:r>
      <w:r>
        <w:rPr>
          <w:i/>
          <w:iCs/>
        </w:rPr>
        <w:t>Ibid</w:t>
      </w:r>
      <w:r>
        <w:t>, para 86</w:t>
      </w:r>
    </w:p>
  </w:footnote>
  <w:footnote w:id="22">
    <w:p w14:paraId="3BD0EBC6" w14:textId="7259F8ED" w:rsidR="007B601C" w:rsidRPr="00B319AB" w:rsidRDefault="007B601C">
      <w:pPr>
        <w:pStyle w:val="FootnoteText"/>
      </w:pPr>
      <w:r>
        <w:rPr>
          <w:rStyle w:val="FootnoteReference"/>
        </w:rPr>
        <w:footnoteRef/>
      </w:r>
      <w:r>
        <w:t xml:space="preserve"> </w:t>
      </w:r>
      <w:r w:rsidR="00FE6CBA" w:rsidRPr="00D7592F">
        <w:rPr>
          <w:u w:val="single"/>
        </w:rPr>
        <w:t>R (Abdi and Nadarajah) v Secretary of State for the Home Department</w:t>
      </w:r>
      <w:r w:rsidR="00FE6CBA" w:rsidRPr="00D7592F">
        <w:t xml:space="preserve"> [2005] EWCA Civ 1363</w:t>
      </w:r>
      <w:r>
        <w:t>, paragraph 67</w:t>
      </w:r>
    </w:p>
  </w:footnote>
  <w:footnote w:id="23">
    <w:p w14:paraId="288E795D" w14:textId="77777777" w:rsidR="00F8369B" w:rsidRPr="00050E22" w:rsidRDefault="00F8369B" w:rsidP="00F8369B">
      <w:pPr>
        <w:pStyle w:val="FootnoteText"/>
      </w:pPr>
      <w:r>
        <w:rPr>
          <w:rStyle w:val="FootnoteReference"/>
        </w:rPr>
        <w:footnoteRef/>
      </w:r>
      <w:r>
        <w:t xml:space="preserve"> </w:t>
      </w:r>
      <w:r>
        <w:rPr>
          <w:i/>
          <w:iCs/>
        </w:rPr>
        <w:t>Ibid</w:t>
      </w:r>
      <w:r>
        <w:t>. paragraph 68</w:t>
      </w:r>
    </w:p>
  </w:footnote>
  <w:footnote w:id="24">
    <w:p w14:paraId="7E1BDA4D" w14:textId="77D0A914" w:rsidR="007B601C" w:rsidRDefault="007B601C" w:rsidP="005916EB">
      <w:pPr>
        <w:pStyle w:val="FootnoteText"/>
      </w:pPr>
      <w:r>
        <w:rPr>
          <w:rStyle w:val="FootnoteReference"/>
        </w:rPr>
        <w:footnoteRef/>
      </w:r>
      <w:r>
        <w:t xml:space="preserve"> See eg per Lord Steyn in </w:t>
      </w:r>
      <w:r w:rsidRPr="005E29B2">
        <w:rPr>
          <w:u w:val="single"/>
        </w:rPr>
        <w:t>R v Se</w:t>
      </w:r>
      <w:r w:rsidRPr="005E29B2">
        <w:rPr>
          <w:color w:val="000000"/>
          <w:u w:val="single"/>
          <w:shd w:val="clear" w:color="auto" w:fill="FFFFFF"/>
        </w:rPr>
        <w:t xml:space="preserve">cretary of State For The Home Department, </w:t>
      </w:r>
      <w:r w:rsidRPr="005E29B2">
        <w:rPr>
          <w:i/>
          <w:iCs/>
          <w:color w:val="000000"/>
          <w:u w:val="single"/>
          <w:shd w:val="clear" w:color="auto" w:fill="FFFFFF"/>
        </w:rPr>
        <w:t>ex parte</w:t>
      </w:r>
      <w:r w:rsidRPr="005E29B2">
        <w:rPr>
          <w:color w:val="000000"/>
          <w:u w:val="single"/>
          <w:shd w:val="clear" w:color="auto" w:fill="FFFFFF"/>
        </w:rPr>
        <w:t xml:space="preserve"> Daly </w:t>
      </w:r>
      <w:r>
        <w:rPr>
          <w:color w:val="000000"/>
          <w:shd w:val="clear" w:color="auto" w:fill="FFFFFF"/>
        </w:rPr>
        <w:t>[2001] 2 AC 532,</w:t>
      </w:r>
    </w:p>
    <w:p w14:paraId="301BB9C9" w14:textId="593E51A9" w:rsidR="007B601C" w:rsidRDefault="007B601C">
      <w:pPr>
        <w:pStyle w:val="FootnoteText"/>
      </w:pPr>
      <w:r>
        <w:rPr>
          <w:color w:val="000000"/>
          <w:shd w:val="clear" w:color="auto" w:fill="FFFFFF"/>
        </w:rPr>
        <w:t xml:space="preserve">[2001] UKHL 26, paragraph 26 </w:t>
      </w:r>
    </w:p>
  </w:footnote>
  <w:footnote w:id="25">
    <w:p w14:paraId="6D191C97" w14:textId="26CEE161" w:rsidR="005E29B2" w:rsidRDefault="005E29B2">
      <w:pPr>
        <w:pStyle w:val="FootnoteText"/>
      </w:pPr>
      <w:r>
        <w:rPr>
          <w:rStyle w:val="FootnoteReference"/>
        </w:rPr>
        <w:footnoteRef/>
      </w:r>
      <w:r>
        <w:t xml:space="preserve"> See footnote 11</w:t>
      </w:r>
    </w:p>
  </w:footnote>
  <w:footnote w:id="26">
    <w:p w14:paraId="368CD23B" w14:textId="77777777" w:rsidR="007B601C" w:rsidRDefault="007B601C">
      <w:pPr>
        <w:pStyle w:val="FootnoteText"/>
        <w:rPr>
          <w:color w:val="000000"/>
          <w:u w:val="single"/>
        </w:rPr>
      </w:pPr>
      <w:r>
        <w:rPr>
          <w:rStyle w:val="FootnoteReference"/>
        </w:rPr>
        <w:footnoteRef/>
      </w:r>
      <w:r>
        <w:t xml:space="preserve"> See eg, </w:t>
      </w:r>
      <w:r>
        <w:rPr>
          <w:color w:val="000000"/>
        </w:rPr>
        <w:t> </w:t>
      </w:r>
      <w:r w:rsidRPr="001551FD">
        <w:rPr>
          <w:color w:val="000000"/>
          <w:u w:val="single"/>
        </w:rPr>
        <w:t>Mandalia v Secretary of State for the Home Department</w:t>
      </w:r>
      <w:r>
        <w:rPr>
          <w:color w:val="000000"/>
        </w:rPr>
        <w:t xml:space="preserve"> [2015] 1 WLR 4546 [2015] UKSC 59, </w:t>
      </w:r>
      <w:r>
        <w:t>paragraph 29 and</w:t>
      </w:r>
      <w:r>
        <w:rPr>
          <w:color w:val="000000"/>
        </w:rPr>
        <w:t xml:space="preserve"> </w:t>
      </w:r>
      <w:r>
        <w:rPr>
          <w:color w:val="000000"/>
          <w:u w:val="single"/>
        </w:rPr>
        <w:t>Re</w:t>
      </w:r>
      <w:r w:rsidRPr="001551FD">
        <w:rPr>
          <w:color w:val="000000"/>
          <w:u w:val="single"/>
        </w:rPr>
        <w:t xml:space="preserve"> Finucane’s Application for Judicial Review</w:t>
      </w:r>
      <w:r>
        <w:rPr>
          <w:color w:val="000000"/>
          <w:u w:val="single"/>
        </w:rPr>
        <w:t xml:space="preserve"> </w:t>
      </w:r>
      <w:r>
        <w:rPr>
          <w:color w:val="000000"/>
        </w:rPr>
        <w:t xml:space="preserve">[2019] NI 292, [2019] UKSC 7, paragraph 59,  </w:t>
      </w:r>
      <w:r w:rsidRPr="00BF23DB">
        <w:rPr>
          <w:color w:val="000000"/>
          <w:u w:val="single"/>
        </w:rPr>
        <w:t xml:space="preserve">Keyu v Secretary of State for Foreign and Commonwealth Affairs </w:t>
      </w:r>
      <w:r>
        <w:rPr>
          <w:color w:val="000000"/>
        </w:rPr>
        <w:t xml:space="preserve">[2015] UKSC 69, [2016] AC 1355, paras 131-134, </w:t>
      </w:r>
      <w:r w:rsidRPr="00BF23DB">
        <w:rPr>
          <w:color w:val="000000"/>
          <w:u w:val="single"/>
        </w:rPr>
        <w:t>Kennedy v Charity Commission</w:t>
      </w:r>
      <w:r w:rsidRPr="00BF23DB">
        <w:rPr>
          <w:color w:val="000000"/>
        </w:rPr>
        <w:t xml:space="preserve"> </w:t>
      </w:r>
      <w:r>
        <w:rPr>
          <w:color w:val="000000"/>
        </w:rPr>
        <w:t> [2015] AC 435,</w:t>
      </w:r>
      <w:r w:rsidRPr="00BF23DB">
        <w:rPr>
          <w:color w:val="000000"/>
        </w:rPr>
        <w:t xml:space="preserve"> [2014] UKSC 20</w:t>
      </w:r>
      <w:r>
        <w:rPr>
          <w:color w:val="000000"/>
        </w:rPr>
        <w:t xml:space="preserve">, paragraph 51, and </w:t>
      </w:r>
      <w:r w:rsidRPr="00BF23DB">
        <w:rPr>
          <w:color w:val="000000"/>
          <w:u w:val="single"/>
        </w:rPr>
        <w:t xml:space="preserve">Pham v Secretary of </w:t>
      </w:r>
    </w:p>
    <w:p w14:paraId="3AEAE268" w14:textId="749FEE7B" w:rsidR="007B601C" w:rsidRDefault="007B601C">
      <w:pPr>
        <w:pStyle w:val="FootnoteText"/>
      </w:pPr>
      <w:r w:rsidRPr="00BF23DB">
        <w:rPr>
          <w:color w:val="000000"/>
          <w:u w:val="single"/>
        </w:rPr>
        <w:t xml:space="preserve">State for the Home Department </w:t>
      </w:r>
      <w:r>
        <w:rPr>
          <w:color w:val="000000"/>
        </w:rPr>
        <w:t>[2015] 1 WLR 1591,  [2015] UKSC 19, paragraphs 60, 94-96, 113-119</w:t>
      </w:r>
    </w:p>
  </w:footnote>
  <w:footnote w:id="27">
    <w:p w14:paraId="43056335" w14:textId="5190D4BA" w:rsidR="007B601C" w:rsidRDefault="007B601C">
      <w:pPr>
        <w:pStyle w:val="FootnoteText"/>
      </w:pPr>
      <w:r>
        <w:rPr>
          <w:rStyle w:val="FootnoteReference"/>
        </w:rPr>
        <w:footnoteRef/>
      </w:r>
      <w:r>
        <w:t xml:space="preserve"> Buller J in </w:t>
      </w:r>
      <w:r w:rsidRPr="00360113">
        <w:rPr>
          <w:u w:val="single"/>
        </w:rPr>
        <w:t>Lickbarrow v. Mason</w:t>
      </w:r>
      <w:r>
        <w:t xml:space="preserve"> (1787) 2 TR 63, 73,</w:t>
      </w:r>
    </w:p>
  </w:footnote>
  <w:footnote w:id="28">
    <w:p w14:paraId="1E282C16" w14:textId="348275C1" w:rsidR="007B601C" w:rsidRPr="00360113" w:rsidRDefault="007B601C">
      <w:pPr>
        <w:pStyle w:val="FootnoteText"/>
      </w:pPr>
      <w:r>
        <w:rPr>
          <w:rStyle w:val="FootnoteReference"/>
        </w:rPr>
        <w:footnoteRef/>
      </w:r>
      <w:r>
        <w:t xml:space="preserve"> </w:t>
      </w:r>
      <w:r w:rsidR="00601888">
        <w:t xml:space="preserve">See e.g. </w:t>
      </w:r>
      <w:r w:rsidRPr="00360113">
        <w:rPr>
          <w:u w:val="single"/>
        </w:rPr>
        <w:t>Luke v Lyde</w:t>
      </w:r>
      <w:r>
        <w:t xml:space="preserve"> (1759) 2 Burr 882 at 887, cited by Scrutton, </w:t>
      </w:r>
      <w:r w:rsidRPr="00360113">
        <w:rPr>
          <w:u w:val="single"/>
        </w:rPr>
        <w:t xml:space="preserve">General Survey of the History of the Law Merchant </w:t>
      </w:r>
      <w:r w:rsidRPr="00DD1E12">
        <w:t>in</w:t>
      </w:r>
      <w:r w:rsidRPr="00360113">
        <w:rPr>
          <w:u w:val="single"/>
        </w:rPr>
        <w:t xml:space="preserve"> Select essays in Anglo-American Legal History</w:t>
      </w:r>
      <w:r>
        <w:t xml:space="preserve">, (Boston, 1909) vol 3, and by Bradlee, </w:t>
      </w:r>
      <w:r w:rsidRPr="00360113">
        <w:rPr>
          <w:u w:val="single"/>
        </w:rPr>
        <w:t>History of the Law Merchant</w:t>
      </w:r>
      <w:r>
        <w:t xml:space="preserve"> (Boston 1929)</w:t>
      </w:r>
    </w:p>
  </w:footnote>
  <w:footnote w:id="29">
    <w:p w14:paraId="69CD76DD" w14:textId="4623E7FD" w:rsidR="007B601C" w:rsidRPr="009433BA" w:rsidRDefault="007B601C">
      <w:pPr>
        <w:pStyle w:val="FootnoteText"/>
      </w:pPr>
      <w:r>
        <w:rPr>
          <w:rStyle w:val="FootnoteReference"/>
        </w:rPr>
        <w:footnoteRef/>
      </w:r>
      <w:r>
        <w:t xml:space="preserve"> </w:t>
      </w:r>
      <w:r w:rsidR="00750EDE" w:rsidRPr="00F952C8">
        <w:rPr>
          <w:u w:val="single"/>
        </w:rPr>
        <w:t>R (on the application of Bhatt Murphy (a firm)) v Independent Assessor</w:t>
      </w:r>
      <w:r w:rsidR="00750EDE" w:rsidRPr="00F952C8">
        <w:t xml:space="preserve"> [2008] EWCA Civ 755</w:t>
      </w:r>
      <w:r>
        <w:t>, paragraph 51</w:t>
      </w:r>
    </w:p>
  </w:footnote>
  <w:footnote w:id="30">
    <w:p w14:paraId="3B584F50" w14:textId="77777777" w:rsidR="007B601C" w:rsidRPr="0016121C" w:rsidRDefault="007B601C" w:rsidP="009433BA">
      <w:pPr>
        <w:pStyle w:val="FootnoteText"/>
      </w:pPr>
      <w:r>
        <w:rPr>
          <w:rStyle w:val="FootnoteReference"/>
        </w:rPr>
        <w:footnoteRef/>
      </w:r>
      <w:r>
        <w:t xml:space="preserve"> </w:t>
      </w:r>
      <w:r>
        <w:rPr>
          <w:i/>
          <w:iCs/>
        </w:rPr>
        <w:t xml:space="preserve">Ibid </w:t>
      </w:r>
      <w:r>
        <w:t>paragraph 50</w:t>
      </w:r>
    </w:p>
  </w:footnote>
  <w:footnote w:id="31">
    <w:p w14:paraId="373AF99E" w14:textId="3EF66142" w:rsidR="007B601C" w:rsidRPr="009433BA" w:rsidRDefault="007B601C">
      <w:pPr>
        <w:pStyle w:val="FootnoteText"/>
      </w:pPr>
      <w:r>
        <w:rPr>
          <w:rStyle w:val="FootnoteReference"/>
        </w:rPr>
        <w:footnoteRef/>
      </w:r>
      <w:r>
        <w:t xml:space="preserve"> </w:t>
      </w:r>
      <w:r>
        <w:rPr>
          <w:i/>
          <w:iCs/>
        </w:rPr>
        <w:t>Ibid</w:t>
      </w:r>
      <w:r>
        <w:t>, paragraph 68</w:t>
      </w:r>
    </w:p>
  </w:footnote>
  <w:footnote w:id="32">
    <w:p w14:paraId="7B353551" w14:textId="47D09209" w:rsidR="007B601C" w:rsidRDefault="007B601C">
      <w:pPr>
        <w:pStyle w:val="FootnoteText"/>
      </w:pPr>
      <w:r>
        <w:rPr>
          <w:rStyle w:val="FootnoteReference"/>
        </w:rPr>
        <w:footnoteRef/>
      </w:r>
      <w:r>
        <w:rPr>
          <w:color w:val="000000"/>
        </w:rPr>
        <w:t xml:space="preserve"> </w:t>
      </w:r>
      <w:r w:rsidRPr="009433BA">
        <w:rPr>
          <w:color w:val="000000"/>
          <w:u w:val="single"/>
        </w:rPr>
        <w:t>Re Finucane’s Application for Judicial Review</w:t>
      </w:r>
      <w:r>
        <w:rPr>
          <w:color w:val="000000"/>
        </w:rPr>
        <w:t xml:space="preserve"> [2019] UKSC 7,  [2019] 2 All ER 191, paragraph 60</w:t>
      </w:r>
    </w:p>
  </w:footnote>
  <w:footnote w:id="33">
    <w:p w14:paraId="75EBE00D" w14:textId="51583343" w:rsidR="007B601C" w:rsidRPr="00DF495B" w:rsidRDefault="007B601C">
      <w:pPr>
        <w:pStyle w:val="FootnoteText"/>
      </w:pPr>
      <w:r>
        <w:rPr>
          <w:rStyle w:val="FootnoteReference"/>
        </w:rPr>
        <w:footnoteRef/>
      </w:r>
      <w:r>
        <w:t xml:space="preserve"> </w:t>
      </w:r>
      <w:r>
        <w:rPr>
          <w:u w:val="single"/>
        </w:rPr>
        <w:t>Bhatt Murphy</w:t>
      </w:r>
      <w:r>
        <w:t>,</w:t>
      </w:r>
      <w:r>
        <w:rPr>
          <w:i/>
          <w:iCs/>
        </w:rPr>
        <w:t xml:space="preserve"> </w:t>
      </w:r>
      <w:r>
        <w:t>paragraph 43</w:t>
      </w:r>
    </w:p>
  </w:footnote>
  <w:footnote w:id="34">
    <w:p w14:paraId="676088C8" w14:textId="06DE757E" w:rsidR="007B601C" w:rsidRDefault="007B601C">
      <w:pPr>
        <w:pStyle w:val="FootnoteText"/>
      </w:pPr>
      <w:r>
        <w:rPr>
          <w:rStyle w:val="FootnoteReference"/>
        </w:rPr>
        <w:footnoteRef/>
      </w:r>
      <w:r>
        <w:t xml:space="preserve"> </w:t>
      </w:r>
      <w:r>
        <w:rPr>
          <w:color w:val="000000"/>
        </w:rPr>
        <w:t> </w:t>
      </w:r>
      <w:r w:rsidRPr="00DF495B">
        <w:rPr>
          <w:color w:val="000000"/>
          <w:u w:val="single"/>
        </w:rPr>
        <w:t>R (on the application of Davies) v Revenue and Custo</w:t>
      </w:r>
      <w:r>
        <w:rPr>
          <w:color w:val="000000"/>
          <w:u w:val="single"/>
        </w:rPr>
        <w:t>ms</w:t>
      </w:r>
      <w:r w:rsidRPr="00DF495B">
        <w:rPr>
          <w:color w:val="000000"/>
        </w:rPr>
        <w:t xml:space="preserve"> </w:t>
      </w:r>
      <w:r>
        <w:rPr>
          <w:color w:val="000000"/>
        </w:rPr>
        <w:t>[2011] 1 WLR 2625, [2011] UKSC 47, paragraph 49</w:t>
      </w:r>
    </w:p>
  </w:footnote>
  <w:footnote w:id="35">
    <w:p w14:paraId="2E973E73" w14:textId="60CFEF6A" w:rsidR="007B601C" w:rsidRDefault="007B601C">
      <w:pPr>
        <w:pStyle w:val="FootnoteText"/>
      </w:pPr>
      <w:r>
        <w:rPr>
          <w:rStyle w:val="FootnoteReference"/>
        </w:rPr>
        <w:footnoteRef/>
      </w:r>
      <w:r>
        <w:t xml:space="preserve"> </w:t>
      </w:r>
      <w:r w:rsidRPr="007E568D">
        <w:rPr>
          <w:u w:val="single"/>
        </w:rPr>
        <w:t>Is the High Court the Guardian of Fundamental Constitutional Rights</w:t>
      </w:r>
      <w:r>
        <w:rPr>
          <w:u w:val="single"/>
        </w:rPr>
        <w:t>?</w:t>
      </w:r>
      <w:r w:rsidRPr="007E568D">
        <w:t xml:space="preserve"> [1993] Public Law 59</w:t>
      </w:r>
    </w:p>
  </w:footnote>
  <w:footnote w:id="36">
    <w:p w14:paraId="42B37BB8" w14:textId="1014A640" w:rsidR="007B601C" w:rsidRDefault="007B601C">
      <w:pPr>
        <w:pStyle w:val="FootnoteText"/>
      </w:pPr>
      <w:r w:rsidRPr="00303F5B">
        <w:rPr>
          <w:rStyle w:val="FootnoteReference"/>
          <w:u w:val="single"/>
        </w:rPr>
        <w:footnoteRef/>
      </w:r>
      <w:r w:rsidRPr="00303F5B">
        <w:rPr>
          <w:u w:val="single"/>
        </w:rPr>
        <w:t xml:space="preserve"> R (Al Rawi) v Secretary of State for Foreign and Commonwealth Affairs</w:t>
      </w:r>
      <w:r w:rsidRPr="00303F5B">
        <w:t xml:space="preserve"> </w:t>
      </w:r>
      <w:r w:rsidR="0050045F">
        <w:rPr>
          <w:color w:val="000000"/>
          <w:shd w:val="clear" w:color="auto" w:fill="FFFFFF"/>
        </w:rPr>
        <w:t>[2006] EWCA Civ 1279,</w:t>
      </w:r>
      <w:r w:rsidR="0050045F" w:rsidRPr="00303F5B">
        <w:t xml:space="preserve"> </w:t>
      </w:r>
      <w:r w:rsidRPr="00303F5B">
        <w:t>[2008] QB 289, paras 146-148</w:t>
      </w:r>
    </w:p>
  </w:footnote>
  <w:footnote w:id="37">
    <w:p w14:paraId="28E01CD9" w14:textId="0FD533C5" w:rsidR="007B601C" w:rsidRDefault="007B601C">
      <w:pPr>
        <w:pStyle w:val="FootnoteText"/>
      </w:pPr>
      <w:r>
        <w:rPr>
          <w:rStyle w:val="FootnoteReference"/>
        </w:rPr>
        <w:footnoteRef/>
      </w:r>
      <w:r>
        <w:rPr>
          <w:color w:val="000000"/>
        </w:rPr>
        <w:t xml:space="preserve"> </w:t>
      </w:r>
      <w:r w:rsidRPr="00303F5B">
        <w:rPr>
          <w:color w:val="000000"/>
          <w:u w:val="single"/>
        </w:rPr>
        <w:t>R (on the application of Lord Carlile of Berriew QC) v Secretary of State for the Home Department</w:t>
      </w:r>
      <w:r>
        <w:rPr>
          <w:color w:val="000000"/>
        </w:rPr>
        <w:t xml:space="preserve"> [2014] UKSC 60, [2015] 1 AC 945, paragraph 33</w:t>
      </w:r>
    </w:p>
  </w:footnote>
  <w:footnote w:id="38">
    <w:p w14:paraId="7DDEE1AA" w14:textId="77777777" w:rsidR="007B601C" w:rsidRDefault="007B601C" w:rsidP="00EE103C">
      <w:pPr>
        <w:pStyle w:val="FootnoteText"/>
      </w:pPr>
      <w:r>
        <w:rPr>
          <w:rStyle w:val="FootnoteReference"/>
        </w:rPr>
        <w:footnoteRef/>
      </w:r>
      <w:r>
        <w:t xml:space="preserve"> </w:t>
      </w:r>
      <w:r w:rsidRPr="00520529">
        <w:t xml:space="preserve"> </w:t>
      </w:r>
      <w:r w:rsidRPr="00520529">
        <w:rPr>
          <w:u w:val="single"/>
        </w:rPr>
        <w:t>R (Wood) v Com</w:t>
      </w:r>
      <w:r>
        <w:rPr>
          <w:u w:val="single"/>
        </w:rPr>
        <w:t>missione</w:t>
      </w:r>
      <w:r w:rsidRPr="00520529">
        <w:rPr>
          <w:u w:val="single"/>
        </w:rPr>
        <w:t>r of Police of the Metropolis</w:t>
      </w:r>
      <w:r w:rsidRPr="00520529">
        <w:t xml:space="preserve"> [2009] EWCA Civ 414, [2010] 1 WLR 123</w:t>
      </w:r>
    </w:p>
  </w:footnote>
  <w:footnote w:id="39">
    <w:p w14:paraId="556061FB" w14:textId="77777777" w:rsidR="007B601C" w:rsidRDefault="007B601C" w:rsidP="00EE103C">
      <w:pPr>
        <w:pStyle w:val="FootnoteText"/>
      </w:pPr>
      <w:r>
        <w:rPr>
          <w:rStyle w:val="FootnoteReference"/>
        </w:rPr>
        <w:footnoteRef/>
      </w:r>
      <w:r>
        <w:t xml:space="preserve"> </w:t>
      </w:r>
      <w:r>
        <w:rPr>
          <w:color w:val="000000"/>
        </w:rPr>
        <w:t> </w:t>
      </w:r>
      <w:r w:rsidRPr="00BD5DC6">
        <w:rPr>
          <w:color w:val="000000"/>
          <w:u w:val="single"/>
        </w:rPr>
        <w:t>Re J38 Application for Judicial Review (Northern Irelan</w:t>
      </w:r>
      <w:r>
        <w:rPr>
          <w:color w:val="000000"/>
          <w:u w:val="single"/>
        </w:rPr>
        <w:t>d)</w:t>
      </w:r>
      <w:r>
        <w:rPr>
          <w:color w:val="000000"/>
        </w:rPr>
        <w:t xml:space="preserve"> [2015] UKSC 42, [2016] AC 1131</w:t>
      </w:r>
    </w:p>
  </w:footnote>
  <w:footnote w:id="40">
    <w:p w14:paraId="6D9BB49F" w14:textId="35E9BBB9" w:rsidR="007B601C" w:rsidRPr="00520529" w:rsidRDefault="007B601C" w:rsidP="00EE103C">
      <w:pPr>
        <w:pStyle w:val="FootnoteText"/>
      </w:pPr>
      <w:r>
        <w:rPr>
          <w:rStyle w:val="FootnoteReference"/>
        </w:rPr>
        <w:footnoteRef/>
      </w:r>
      <w:r>
        <w:t xml:space="preserve"> </w:t>
      </w:r>
      <w:r>
        <w:rPr>
          <w:u w:val="single"/>
        </w:rPr>
        <w:t>J38</w:t>
      </w:r>
      <w:r>
        <w:t>, paragraphs 85</w:t>
      </w:r>
      <w:r w:rsidR="00955D95">
        <w:t>-</w:t>
      </w:r>
      <w:r>
        <w:t>86 and 105</w:t>
      </w:r>
    </w:p>
  </w:footnote>
  <w:footnote w:id="41">
    <w:p w14:paraId="096D1AD2" w14:textId="25AC78E2" w:rsidR="007B601C" w:rsidRPr="00520529" w:rsidRDefault="007B601C" w:rsidP="00EE103C">
      <w:pPr>
        <w:pStyle w:val="FootnoteText"/>
      </w:pPr>
      <w:r>
        <w:rPr>
          <w:rStyle w:val="FootnoteReference"/>
        </w:rPr>
        <w:footnoteRef/>
      </w:r>
      <w:r>
        <w:t xml:space="preserve"> </w:t>
      </w:r>
      <w:r>
        <w:rPr>
          <w:u w:val="single"/>
        </w:rPr>
        <w:t>J38</w:t>
      </w:r>
      <w:r>
        <w:t>, paragraphs 85</w:t>
      </w:r>
      <w:r w:rsidR="00955D95">
        <w:t>-</w:t>
      </w:r>
      <w:r>
        <w:t>86</w:t>
      </w:r>
    </w:p>
  </w:footnote>
  <w:footnote w:id="42">
    <w:p w14:paraId="06DCDF63" w14:textId="4FD8ED3D" w:rsidR="007B601C" w:rsidRDefault="007B601C" w:rsidP="00E43EE6">
      <w:pPr>
        <w:pStyle w:val="FootnoteText"/>
      </w:pPr>
      <w:r>
        <w:rPr>
          <w:rStyle w:val="FootnoteReference"/>
        </w:rPr>
        <w:footnoteRef/>
      </w:r>
      <w:r>
        <w:t xml:space="preserve"> John Laws, </w:t>
      </w:r>
      <w:r>
        <w:rPr>
          <w:u w:val="single"/>
        </w:rPr>
        <w:t>Pu</w:t>
      </w:r>
      <w:r w:rsidRPr="00694FCA">
        <w:rPr>
          <w:u w:val="single"/>
        </w:rPr>
        <w:t>blic Law and Employment Law: Abuse of Power</w:t>
      </w:r>
      <w:r w:rsidRPr="00694FCA">
        <w:t xml:space="preserve"> </w:t>
      </w:r>
      <w:r w:rsidRPr="00A0376A">
        <w:t>[1997] P</w:t>
      </w:r>
      <w:r>
        <w:t xml:space="preserve">ublic Law </w:t>
      </w:r>
      <w:r w:rsidRPr="00A0376A">
        <w:t>455</w:t>
      </w:r>
    </w:p>
  </w:footnote>
  <w:footnote w:id="43">
    <w:p w14:paraId="5C699839" w14:textId="4C49FBCE" w:rsidR="007B601C" w:rsidRDefault="007B601C">
      <w:pPr>
        <w:pStyle w:val="FootnoteText"/>
      </w:pPr>
      <w:r>
        <w:rPr>
          <w:rStyle w:val="FootnoteReference"/>
        </w:rPr>
        <w:footnoteRef/>
      </w:r>
      <w:r>
        <w:t xml:space="preserve"> John Laws </w:t>
      </w:r>
      <w:r w:rsidRPr="00CC0BEA">
        <w:rPr>
          <w:u w:val="single"/>
        </w:rPr>
        <w:t>Law and Democracy</w:t>
      </w:r>
      <w:r w:rsidRPr="00CC0BEA">
        <w:t xml:space="preserve"> [1995] Public Law 72</w:t>
      </w:r>
    </w:p>
  </w:footnote>
  <w:footnote w:id="44">
    <w:p w14:paraId="0FA617CD" w14:textId="49C57B52" w:rsidR="000822BA" w:rsidRPr="000822BA" w:rsidRDefault="000822BA">
      <w:pPr>
        <w:pStyle w:val="FootnoteText"/>
      </w:pPr>
      <w:r>
        <w:rPr>
          <w:rStyle w:val="FootnoteReference"/>
        </w:rPr>
        <w:footnoteRef/>
      </w:r>
      <w:r>
        <w:t xml:space="preserve"> Sir John Laws, </w:t>
      </w:r>
      <w:r w:rsidRPr="000822BA">
        <w:rPr>
          <w:u w:val="single"/>
        </w:rPr>
        <w:t>The Common Law Constitution</w:t>
      </w:r>
      <w:r>
        <w:t>, Hamlyn Lectures</w:t>
      </w:r>
      <w:r w:rsidR="00B43273">
        <w:t xml:space="preserve"> 2013</w:t>
      </w:r>
    </w:p>
  </w:footnote>
  <w:footnote w:id="45">
    <w:p w14:paraId="162B5928" w14:textId="7D5A49C6" w:rsidR="00046133" w:rsidRPr="00046133" w:rsidRDefault="00046133">
      <w:pPr>
        <w:pStyle w:val="FootnoteText"/>
      </w:pPr>
      <w:r>
        <w:rPr>
          <w:rStyle w:val="FootnoteReference"/>
        </w:rPr>
        <w:footnoteRef/>
      </w:r>
      <w:r>
        <w:t xml:space="preserve"> </w:t>
      </w:r>
      <w:r>
        <w:rPr>
          <w:i/>
          <w:iCs/>
        </w:rPr>
        <w:t>Ibid</w:t>
      </w:r>
      <w:r>
        <w:t>, preface, page xiii</w:t>
      </w:r>
    </w:p>
  </w:footnote>
  <w:footnote w:id="46">
    <w:p w14:paraId="17AA61B9" w14:textId="3803B08A" w:rsidR="00046133" w:rsidRPr="00046133" w:rsidRDefault="00046133">
      <w:pPr>
        <w:pStyle w:val="FootnoteText"/>
        <w:rPr>
          <w:i/>
          <w:iCs/>
        </w:rPr>
      </w:pPr>
      <w:r>
        <w:rPr>
          <w:rStyle w:val="FootnoteReference"/>
        </w:rPr>
        <w:footnoteRef/>
      </w:r>
      <w:r>
        <w:t xml:space="preserve"> </w:t>
      </w:r>
      <w:r>
        <w:rPr>
          <w:i/>
          <w:iCs/>
        </w:rPr>
        <w:t>Ibid</w:t>
      </w:r>
    </w:p>
  </w:footnote>
  <w:footnote w:id="47">
    <w:p w14:paraId="7FC859EA" w14:textId="16B004FD" w:rsidR="007B601C" w:rsidRPr="00A61326" w:rsidRDefault="007B601C">
      <w:pPr>
        <w:pStyle w:val="FootnoteText"/>
      </w:pPr>
      <w:r>
        <w:rPr>
          <w:rStyle w:val="FootnoteReference"/>
        </w:rPr>
        <w:footnoteRef/>
      </w:r>
      <w:r>
        <w:t xml:space="preserve"> John Laws </w:t>
      </w:r>
      <w:r>
        <w:rPr>
          <w:u w:val="single"/>
        </w:rPr>
        <w:t>Judicial Activism</w:t>
      </w:r>
      <w:r>
        <w:t xml:space="preserve"> </w:t>
      </w:r>
      <w:hyperlink r:id="rId1" w:history="1">
        <w:r>
          <w:rPr>
            <w:rStyle w:val="Hyperlink"/>
          </w:rPr>
          <w:t>http://judicialpowerproject.org.uk/wp-content/uploads/2016/12/Laws-text-final.pdf</w:t>
        </w:r>
      </w:hyperlink>
    </w:p>
  </w:footnote>
  <w:footnote w:id="48">
    <w:p w14:paraId="62ECE957" w14:textId="77777777" w:rsidR="007B601C" w:rsidRDefault="007B601C" w:rsidP="00520082">
      <w:pPr>
        <w:pStyle w:val="FootnoteText"/>
      </w:pPr>
      <w:r>
        <w:rPr>
          <w:rStyle w:val="FootnoteReference"/>
        </w:rPr>
        <w:footnoteRef/>
      </w:r>
      <w:r>
        <w:t xml:space="preserve"> </w:t>
      </w:r>
      <w:r w:rsidRPr="00DE6191">
        <w:rPr>
          <w:bCs/>
          <w:u w:val="single"/>
        </w:rPr>
        <w:t xml:space="preserve">R v Lord Chancellor, </w:t>
      </w:r>
      <w:r w:rsidRPr="00DE6191">
        <w:rPr>
          <w:bCs/>
          <w:i/>
          <w:iCs/>
          <w:u w:val="single"/>
        </w:rPr>
        <w:t>ex parte</w:t>
      </w:r>
      <w:r w:rsidRPr="00DE6191">
        <w:rPr>
          <w:bCs/>
          <w:u w:val="single"/>
        </w:rPr>
        <w:t xml:space="preserve"> Witham</w:t>
      </w:r>
      <w:r w:rsidRPr="00DE6191">
        <w:rPr>
          <w:bCs/>
        </w:rPr>
        <w:t xml:space="preserve"> [1998] QB 575, 58</w:t>
      </w:r>
      <w:r>
        <w:rPr>
          <w:bCs/>
        </w:rPr>
        <w:t>1</w:t>
      </w:r>
    </w:p>
  </w:footnote>
  <w:footnote w:id="49">
    <w:p w14:paraId="35C08F1D" w14:textId="77777777" w:rsidR="007B601C" w:rsidRDefault="007B601C" w:rsidP="00520082">
      <w:pPr>
        <w:pStyle w:val="FootnoteText"/>
      </w:pPr>
      <w:r>
        <w:rPr>
          <w:rStyle w:val="FootnoteReference"/>
        </w:rPr>
        <w:footnoteRef/>
      </w:r>
      <w:r>
        <w:t xml:space="preserve"> Most notably </w:t>
      </w:r>
      <w:r w:rsidRPr="00DE6191">
        <w:rPr>
          <w:u w:val="single"/>
        </w:rPr>
        <w:t>C</w:t>
      </w:r>
      <w:r w:rsidRPr="00DE6191">
        <w:rPr>
          <w:color w:val="000000"/>
          <w:u w:val="single"/>
        </w:rPr>
        <w:t>ullen v. Chief Constable of the Royal Ulster Constabulary</w:t>
      </w:r>
      <w:r>
        <w:rPr>
          <w:color w:val="000000"/>
        </w:rPr>
        <w:t xml:space="preserve"> [2003] UKHL 39, [2003] 1 WLR 1763, paragraphs 18 (Lord Bingham), 45 (Lord Hutton), and 87 (Lord Rodger); but also in </w:t>
      </w:r>
      <w:r w:rsidRPr="00A113C6">
        <w:rPr>
          <w:color w:val="000000"/>
          <w:u w:val="single"/>
        </w:rPr>
        <w:t>Watkins v Home Office</w:t>
      </w:r>
      <w:r>
        <w:rPr>
          <w:color w:val="000000"/>
        </w:rPr>
        <w:t xml:space="preserve"> [2006] UKHL 17, [2006] 2 AC 395, paragraphs 24 and 58, </w:t>
      </w:r>
      <w:r w:rsidRPr="00A113C6">
        <w:rPr>
          <w:color w:val="000000"/>
          <w:u w:val="single"/>
        </w:rPr>
        <w:t>R v</w:t>
      </w:r>
      <w:r w:rsidRPr="00A113C6">
        <w:rPr>
          <w:color w:val="000000"/>
          <w:u w:val="single"/>
          <w:shd w:val="clear" w:color="auto" w:fill="FFFFFF"/>
        </w:rPr>
        <w:t xml:space="preserve"> Secretary of State for the Home Department, </w:t>
      </w:r>
      <w:r>
        <w:rPr>
          <w:i/>
          <w:iCs/>
          <w:color w:val="000000"/>
          <w:u w:val="single"/>
          <w:shd w:val="clear" w:color="auto" w:fill="FFFFFF"/>
        </w:rPr>
        <w:t>e</w:t>
      </w:r>
      <w:r w:rsidRPr="00A113C6">
        <w:rPr>
          <w:i/>
          <w:iCs/>
          <w:color w:val="000000"/>
          <w:u w:val="single"/>
          <w:shd w:val="clear" w:color="auto" w:fill="FFFFFF"/>
        </w:rPr>
        <w:t xml:space="preserve">x </w:t>
      </w:r>
      <w:r>
        <w:rPr>
          <w:i/>
          <w:iCs/>
          <w:color w:val="000000"/>
          <w:u w:val="single"/>
          <w:shd w:val="clear" w:color="auto" w:fill="FFFFFF"/>
        </w:rPr>
        <w:t>p</w:t>
      </w:r>
      <w:r w:rsidRPr="00A113C6">
        <w:rPr>
          <w:i/>
          <w:iCs/>
          <w:color w:val="000000"/>
          <w:u w:val="single"/>
          <w:shd w:val="clear" w:color="auto" w:fill="FFFFFF"/>
        </w:rPr>
        <w:t>arte</w:t>
      </w:r>
      <w:r w:rsidRPr="00A113C6">
        <w:rPr>
          <w:color w:val="000000"/>
          <w:u w:val="single"/>
          <w:shd w:val="clear" w:color="auto" w:fill="FFFFFF"/>
        </w:rPr>
        <w:t xml:space="preserve"> Pierson</w:t>
      </w:r>
      <w:r>
        <w:rPr>
          <w:color w:val="000000"/>
          <w:shd w:val="clear" w:color="auto" w:fill="FFFFFF"/>
        </w:rPr>
        <w:t xml:space="preserve"> [1997] UKHL 37; [1998] AC 539, </w:t>
      </w:r>
      <w:r w:rsidRPr="00A113C6">
        <w:rPr>
          <w:color w:val="000000"/>
          <w:u w:val="single"/>
          <w:shd w:val="clear" w:color="auto" w:fill="FFFFFF"/>
        </w:rPr>
        <w:t>H</w:t>
      </w:r>
      <w:r w:rsidRPr="00A113C6">
        <w:rPr>
          <w:color w:val="000000"/>
          <w:u w:val="single"/>
        </w:rPr>
        <w:t>M Treasury v Ahmed</w:t>
      </w:r>
      <w:r>
        <w:rPr>
          <w:color w:val="000000"/>
        </w:rPr>
        <w:t xml:space="preserve"> [2010] UKSC 2 ( [2010] 4 All ER 829, paragraph 240, </w:t>
      </w:r>
      <w:r w:rsidRPr="00A113C6">
        <w:rPr>
          <w:color w:val="000000"/>
          <w:u w:val="single"/>
        </w:rPr>
        <w:t>R (on the application of Gujra) v Crown Prosecution Service</w:t>
      </w:r>
      <w:r>
        <w:rPr>
          <w:color w:val="000000"/>
        </w:rPr>
        <w:t xml:space="preserve"> [2012] UKSC 52, [2013] 1 AC 484, paragraph 107, and </w:t>
      </w:r>
      <w:r w:rsidRPr="00914A23">
        <w:rPr>
          <w:color w:val="000000"/>
          <w:u w:val="single"/>
        </w:rPr>
        <w:t>R (on the application of UNISON) v Lord Chancellor</w:t>
      </w:r>
      <w:r>
        <w:rPr>
          <w:color w:val="000000"/>
        </w:rPr>
        <w:t xml:space="preserve"> [2017] UKSC 51, [2017] 3 WLR 409, paragraphs 83-84</w:t>
      </w:r>
    </w:p>
  </w:footnote>
  <w:footnote w:id="50">
    <w:p w14:paraId="7D58557A" w14:textId="30744524" w:rsidR="007B601C" w:rsidRDefault="007B601C">
      <w:pPr>
        <w:pStyle w:val="FootnoteText"/>
      </w:pPr>
      <w:r>
        <w:rPr>
          <w:rStyle w:val="FootnoteReference"/>
        </w:rPr>
        <w:footnoteRef/>
      </w:r>
      <w:r>
        <w:t xml:space="preserve"> </w:t>
      </w:r>
      <w:r w:rsidRPr="00E449E7">
        <w:rPr>
          <w:color w:val="000000"/>
          <w:u w:val="single"/>
        </w:rPr>
        <w:t>Thoburn v Sunderland City Council</w:t>
      </w:r>
      <w:r>
        <w:rPr>
          <w:color w:val="000000"/>
        </w:rPr>
        <w:t xml:space="preserve"> [2003] QB 151, [2002] EWHC 195 (Admin),</w:t>
      </w:r>
    </w:p>
  </w:footnote>
  <w:footnote w:id="51">
    <w:p w14:paraId="546C9906" w14:textId="0E3E8B77" w:rsidR="007B601C" w:rsidRPr="0089165C" w:rsidRDefault="007B601C">
      <w:pPr>
        <w:pStyle w:val="FootnoteText"/>
      </w:pPr>
      <w:r>
        <w:rPr>
          <w:rStyle w:val="FootnoteReference"/>
        </w:rPr>
        <w:footnoteRef/>
      </w:r>
      <w:r>
        <w:t xml:space="preserve"> </w:t>
      </w:r>
      <w:r>
        <w:rPr>
          <w:i/>
          <w:iCs/>
        </w:rPr>
        <w:t>Ibid</w:t>
      </w:r>
      <w:r>
        <w:t>, paragraph 62</w:t>
      </w:r>
    </w:p>
  </w:footnote>
  <w:footnote w:id="52">
    <w:p w14:paraId="14572EF6" w14:textId="5E596F27" w:rsidR="007B601C" w:rsidRPr="00C70F5B" w:rsidRDefault="007B601C">
      <w:pPr>
        <w:pStyle w:val="FootnoteText"/>
      </w:pPr>
      <w:r>
        <w:rPr>
          <w:rStyle w:val="FootnoteReference"/>
        </w:rPr>
        <w:footnoteRef/>
      </w:r>
      <w:r>
        <w:t xml:space="preserve"> </w:t>
      </w:r>
      <w:r>
        <w:rPr>
          <w:i/>
          <w:iCs/>
        </w:rPr>
        <w:t>Ibid</w:t>
      </w:r>
      <w:r>
        <w:t>, paragraph 64</w:t>
      </w:r>
    </w:p>
  </w:footnote>
  <w:footnote w:id="53">
    <w:p w14:paraId="3E31E560" w14:textId="77777777" w:rsidR="006615C3" w:rsidRPr="00C70F5B" w:rsidRDefault="006615C3" w:rsidP="006615C3">
      <w:pPr>
        <w:pStyle w:val="FootnoteText"/>
      </w:pPr>
      <w:r>
        <w:rPr>
          <w:rStyle w:val="FootnoteReference"/>
        </w:rPr>
        <w:footnoteRef/>
      </w:r>
      <w:r>
        <w:t xml:space="preserve"> </w:t>
      </w:r>
      <w:r>
        <w:rPr>
          <w:i/>
          <w:iCs/>
        </w:rPr>
        <w:t>Ibid</w:t>
      </w:r>
      <w:r>
        <w:t>, paragraph 63</w:t>
      </w:r>
    </w:p>
  </w:footnote>
  <w:footnote w:id="54">
    <w:p w14:paraId="6271FB83" w14:textId="3AD9B8DE" w:rsidR="00B43273" w:rsidRDefault="00B43273" w:rsidP="00B43273">
      <w:pPr>
        <w:pStyle w:val="FootnoteText"/>
      </w:pPr>
      <w:r>
        <w:rPr>
          <w:rStyle w:val="FootnoteReference"/>
        </w:rPr>
        <w:footnoteRef/>
      </w:r>
      <w:r>
        <w:rPr>
          <w:color w:val="000000"/>
        </w:rPr>
        <w:t xml:space="preserve"> </w:t>
      </w:r>
      <w:r w:rsidRPr="00172A48">
        <w:rPr>
          <w:color w:val="000000"/>
          <w:u w:val="single"/>
        </w:rPr>
        <w:t>R (on the application of HS2 Action Alliance Ltd) v The Secretary of State for Transport</w:t>
      </w:r>
      <w:r>
        <w:rPr>
          <w:color w:val="000000"/>
        </w:rPr>
        <w:t xml:space="preserve">  [2014] UKSC 3, [2014] WLR 324, paragraphs 207-208 ,</w:t>
      </w:r>
      <w:r w:rsidRPr="00172A48">
        <w:rPr>
          <w:color w:val="000000"/>
        </w:rPr>
        <w:t xml:space="preserve"> </w:t>
      </w:r>
      <w:r w:rsidRPr="00172A48">
        <w:rPr>
          <w:color w:val="000000"/>
          <w:u w:val="single"/>
        </w:rPr>
        <w:t xml:space="preserve">R (on the application of Miller) v Secretary of State for Exiting the European Union </w:t>
      </w:r>
      <w:r w:rsidRPr="00172A48">
        <w:rPr>
          <w:color w:val="000000"/>
        </w:rPr>
        <w:t>[2017] UKSC 5, [2018] AC 61</w:t>
      </w:r>
      <w:r>
        <w:rPr>
          <w:color w:val="000000"/>
        </w:rPr>
        <w:t xml:space="preserve">, paragraph 67, </w:t>
      </w:r>
      <w:r w:rsidRPr="00172A48">
        <w:rPr>
          <w:color w:val="000000"/>
          <w:u w:val="single"/>
        </w:rPr>
        <w:t>Privacy International</w:t>
      </w:r>
      <w:r w:rsidR="003F2D1D">
        <w:rPr>
          <w:color w:val="000000"/>
        </w:rPr>
        <w:t xml:space="preserve">, </w:t>
      </w:r>
      <w:r>
        <w:rPr>
          <w:color w:val="000000"/>
        </w:rPr>
        <w:t>paragraph 120.</w:t>
      </w:r>
    </w:p>
  </w:footnote>
  <w:footnote w:id="55">
    <w:p w14:paraId="49CABF55" w14:textId="77777777" w:rsidR="00B43273" w:rsidRPr="00C5513B" w:rsidRDefault="00B43273" w:rsidP="00B43273">
      <w:pPr>
        <w:pStyle w:val="FootnoteText"/>
      </w:pPr>
      <w:r>
        <w:rPr>
          <w:rStyle w:val="FootnoteReference"/>
        </w:rPr>
        <w:footnoteRef/>
      </w:r>
      <w:r>
        <w:t xml:space="preserve"> </w:t>
      </w:r>
      <w:r>
        <w:rPr>
          <w:u w:val="single"/>
        </w:rPr>
        <w:t>HS2 Alliance</w:t>
      </w:r>
      <w:r>
        <w:t>, paragraph 208</w:t>
      </w:r>
    </w:p>
  </w:footnote>
  <w:footnote w:id="56">
    <w:p w14:paraId="7EAE1CDA" w14:textId="77777777" w:rsidR="006615C3" w:rsidRDefault="006615C3" w:rsidP="006615C3">
      <w:pPr>
        <w:pStyle w:val="FootnoteText"/>
      </w:pPr>
      <w:r>
        <w:rPr>
          <w:rStyle w:val="FootnoteReference"/>
        </w:rPr>
        <w:footnoteRef/>
      </w:r>
      <w:r>
        <w:t xml:space="preserve"> </w:t>
      </w:r>
      <w:r w:rsidRPr="00384C5B">
        <w:rPr>
          <w:color w:val="000000"/>
          <w:u w:val="single"/>
        </w:rPr>
        <w:t>McFarlane v Relate Avon Ltd</w:t>
      </w:r>
      <w:r>
        <w:rPr>
          <w:color w:val="000000"/>
        </w:rPr>
        <w:t xml:space="preserve"> [2010] EWCA Civ 880, [2010] IRLR 872, paragraph 21</w:t>
      </w:r>
    </w:p>
  </w:footnote>
  <w:footnote w:id="57">
    <w:p w14:paraId="729EFEE1" w14:textId="5C9BA493" w:rsidR="00FC35B5" w:rsidRPr="00FC35B5" w:rsidRDefault="00FC35B5">
      <w:pPr>
        <w:pStyle w:val="FootnoteText"/>
      </w:pPr>
      <w:r>
        <w:rPr>
          <w:rStyle w:val="FootnoteReference"/>
        </w:rPr>
        <w:footnoteRef/>
      </w:r>
      <w:r>
        <w:t xml:space="preserve"> </w:t>
      </w:r>
      <w:r>
        <w:rPr>
          <w:u w:val="single"/>
        </w:rPr>
        <w:t>Hamlet</w:t>
      </w:r>
      <w:r>
        <w:t>, Act III, Scene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52E"/>
    <w:multiLevelType w:val="multilevel"/>
    <w:tmpl w:val="8EF4ADE6"/>
    <w:lvl w:ilvl="0">
      <w:start w:val="1"/>
      <w:numFmt w:val="decimal"/>
      <w:lvlText w:val="%1. "/>
      <w:lvlJc w:val="left"/>
      <w:pPr>
        <w:ind w:left="567" w:hanging="567"/>
      </w:pPr>
      <w:rPr>
        <w:rFonts w:hint="default"/>
        <w:color w:val="auto"/>
      </w:rPr>
    </w:lvl>
    <w:lvl w:ilvl="1">
      <w:start w:val="1"/>
      <w:numFmt w:val="decimal"/>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521240"/>
    <w:multiLevelType w:val="multilevel"/>
    <w:tmpl w:val="8EF4ADE6"/>
    <w:lvl w:ilvl="0">
      <w:start w:val="1"/>
      <w:numFmt w:val="decimal"/>
      <w:lvlText w:val="%1. "/>
      <w:lvlJc w:val="left"/>
      <w:pPr>
        <w:ind w:left="567" w:hanging="567"/>
      </w:pPr>
      <w:rPr>
        <w:rFonts w:hint="default"/>
        <w:color w:val="auto"/>
      </w:rPr>
    </w:lvl>
    <w:lvl w:ilvl="1">
      <w:start w:val="1"/>
      <w:numFmt w:val="decimal"/>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E30679"/>
    <w:multiLevelType w:val="multilevel"/>
    <w:tmpl w:val="8C0C3E24"/>
    <w:lvl w:ilvl="0">
      <w:start w:val="1"/>
      <w:numFmt w:val="decimal"/>
      <w:lvlText w:val="%1. "/>
      <w:lvlJc w:val="left"/>
      <w:pPr>
        <w:ind w:left="567" w:hanging="567"/>
      </w:pPr>
      <w:rPr>
        <w:rFonts w:hint="default"/>
        <w:color w:val="auto"/>
      </w:rPr>
    </w:lvl>
    <w:lvl w:ilvl="1">
      <w:start w:val="1"/>
      <w:numFmt w:val="decimal"/>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1B23F5"/>
    <w:multiLevelType w:val="multilevel"/>
    <w:tmpl w:val="8C0C3E24"/>
    <w:lvl w:ilvl="0">
      <w:start w:val="1"/>
      <w:numFmt w:val="decimal"/>
      <w:lvlText w:val="%1. "/>
      <w:lvlJc w:val="left"/>
      <w:pPr>
        <w:ind w:left="567" w:hanging="567"/>
      </w:pPr>
      <w:rPr>
        <w:rFonts w:hint="default"/>
        <w:color w:val="auto"/>
      </w:rPr>
    </w:lvl>
    <w:lvl w:ilvl="1">
      <w:start w:val="1"/>
      <w:numFmt w:val="decimal"/>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D146AF"/>
    <w:multiLevelType w:val="hybridMultilevel"/>
    <w:tmpl w:val="F82C4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9D"/>
    <w:rsid w:val="00007184"/>
    <w:rsid w:val="00046133"/>
    <w:rsid w:val="00050E22"/>
    <w:rsid w:val="000579ED"/>
    <w:rsid w:val="000714DA"/>
    <w:rsid w:val="000822BA"/>
    <w:rsid w:val="000B43C4"/>
    <w:rsid w:val="000C13AE"/>
    <w:rsid w:val="000E5A1A"/>
    <w:rsid w:val="00100B6C"/>
    <w:rsid w:val="00107A3F"/>
    <w:rsid w:val="001551FD"/>
    <w:rsid w:val="0016121C"/>
    <w:rsid w:val="00172A48"/>
    <w:rsid w:val="001A6013"/>
    <w:rsid w:val="001D01EF"/>
    <w:rsid w:val="001D5B2E"/>
    <w:rsid w:val="00210BC4"/>
    <w:rsid w:val="0022125A"/>
    <w:rsid w:val="00252E75"/>
    <w:rsid w:val="00277320"/>
    <w:rsid w:val="002864CD"/>
    <w:rsid w:val="002B62EA"/>
    <w:rsid w:val="00303F5B"/>
    <w:rsid w:val="003057F0"/>
    <w:rsid w:val="0030772B"/>
    <w:rsid w:val="00340333"/>
    <w:rsid w:val="00357556"/>
    <w:rsid w:val="00360113"/>
    <w:rsid w:val="00384C5B"/>
    <w:rsid w:val="00390772"/>
    <w:rsid w:val="003D05EF"/>
    <w:rsid w:val="003E79CD"/>
    <w:rsid w:val="003F2D1D"/>
    <w:rsid w:val="004128F8"/>
    <w:rsid w:val="00436B77"/>
    <w:rsid w:val="00436EB7"/>
    <w:rsid w:val="004539FE"/>
    <w:rsid w:val="00453ABE"/>
    <w:rsid w:val="00461DA3"/>
    <w:rsid w:val="0048188C"/>
    <w:rsid w:val="00495115"/>
    <w:rsid w:val="004A1BDC"/>
    <w:rsid w:val="004E5B13"/>
    <w:rsid w:val="004F1C2A"/>
    <w:rsid w:val="004F31C9"/>
    <w:rsid w:val="004F3EF8"/>
    <w:rsid w:val="004F43BD"/>
    <w:rsid w:val="004F4BC5"/>
    <w:rsid w:val="0050045F"/>
    <w:rsid w:val="00520082"/>
    <w:rsid w:val="00520529"/>
    <w:rsid w:val="00563B66"/>
    <w:rsid w:val="005724FC"/>
    <w:rsid w:val="005732F4"/>
    <w:rsid w:val="005916EB"/>
    <w:rsid w:val="00592975"/>
    <w:rsid w:val="005A45BC"/>
    <w:rsid w:val="005E29B2"/>
    <w:rsid w:val="005E7674"/>
    <w:rsid w:val="00601888"/>
    <w:rsid w:val="00620EF2"/>
    <w:rsid w:val="006462E5"/>
    <w:rsid w:val="006615C3"/>
    <w:rsid w:val="00661BAA"/>
    <w:rsid w:val="006637CB"/>
    <w:rsid w:val="006850DF"/>
    <w:rsid w:val="00694FCA"/>
    <w:rsid w:val="006952A8"/>
    <w:rsid w:val="006A022F"/>
    <w:rsid w:val="00724B68"/>
    <w:rsid w:val="00743193"/>
    <w:rsid w:val="00746A24"/>
    <w:rsid w:val="00750EDE"/>
    <w:rsid w:val="00756BAD"/>
    <w:rsid w:val="00757116"/>
    <w:rsid w:val="00772FAF"/>
    <w:rsid w:val="007A7083"/>
    <w:rsid w:val="007B601C"/>
    <w:rsid w:val="007C2E0D"/>
    <w:rsid w:val="007E549D"/>
    <w:rsid w:val="007E568D"/>
    <w:rsid w:val="007F12E4"/>
    <w:rsid w:val="008157A7"/>
    <w:rsid w:val="00817414"/>
    <w:rsid w:val="00823410"/>
    <w:rsid w:val="00833A40"/>
    <w:rsid w:val="0087123B"/>
    <w:rsid w:val="0089165C"/>
    <w:rsid w:val="00894F34"/>
    <w:rsid w:val="008B1CD0"/>
    <w:rsid w:val="008C331C"/>
    <w:rsid w:val="008D5F67"/>
    <w:rsid w:val="008E3AFC"/>
    <w:rsid w:val="008E49D6"/>
    <w:rsid w:val="008E6A42"/>
    <w:rsid w:val="00914A23"/>
    <w:rsid w:val="0092681C"/>
    <w:rsid w:val="0093159F"/>
    <w:rsid w:val="009433BA"/>
    <w:rsid w:val="00955D95"/>
    <w:rsid w:val="00970DFB"/>
    <w:rsid w:val="00974BD3"/>
    <w:rsid w:val="009A1581"/>
    <w:rsid w:val="009C16A0"/>
    <w:rsid w:val="009F2E42"/>
    <w:rsid w:val="009F3DF4"/>
    <w:rsid w:val="009F55C6"/>
    <w:rsid w:val="00A113C6"/>
    <w:rsid w:val="00A24CF3"/>
    <w:rsid w:val="00A26B21"/>
    <w:rsid w:val="00A41693"/>
    <w:rsid w:val="00A61326"/>
    <w:rsid w:val="00A72851"/>
    <w:rsid w:val="00AB07D4"/>
    <w:rsid w:val="00B1171B"/>
    <w:rsid w:val="00B319AB"/>
    <w:rsid w:val="00B35821"/>
    <w:rsid w:val="00B43273"/>
    <w:rsid w:val="00B60450"/>
    <w:rsid w:val="00B66DAC"/>
    <w:rsid w:val="00BB655E"/>
    <w:rsid w:val="00BC49C1"/>
    <w:rsid w:val="00BD5DC6"/>
    <w:rsid w:val="00BE2BEE"/>
    <w:rsid w:val="00BF23DB"/>
    <w:rsid w:val="00C37E39"/>
    <w:rsid w:val="00C475DE"/>
    <w:rsid w:val="00C50A26"/>
    <w:rsid w:val="00C53172"/>
    <w:rsid w:val="00C5513B"/>
    <w:rsid w:val="00C628B1"/>
    <w:rsid w:val="00C70F5B"/>
    <w:rsid w:val="00C87744"/>
    <w:rsid w:val="00CB2AF2"/>
    <w:rsid w:val="00CB630A"/>
    <w:rsid w:val="00CC0BEA"/>
    <w:rsid w:val="00D07075"/>
    <w:rsid w:val="00D37E6C"/>
    <w:rsid w:val="00D7592F"/>
    <w:rsid w:val="00D9093F"/>
    <w:rsid w:val="00DB46E3"/>
    <w:rsid w:val="00DB52CC"/>
    <w:rsid w:val="00DC78BB"/>
    <w:rsid w:val="00DD1E12"/>
    <w:rsid w:val="00DD2BA3"/>
    <w:rsid w:val="00DE1C89"/>
    <w:rsid w:val="00DE6191"/>
    <w:rsid w:val="00DF495B"/>
    <w:rsid w:val="00E21CD0"/>
    <w:rsid w:val="00E22390"/>
    <w:rsid w:val="00E43EE6"/>
    <w:rsid w:val="00E449E7"/>
    <w:rsid w:val="00E95CB9"/>
    <w:rsid w:val="00EE103C"/>
    <w:rsid w:val="00EE6AB4"/>
    <w:rsid w:val="00F07DCE"/>
    <w:rsid w:val="00F42C23"/>
    <w:rsid w:val="00F524CD"/>
    <w:rsid w:val="00F8369B"/>
    <w:rsid w:val="00F952C8"/>
    <w:rsid w:val="00FC35B5"/>
    <w:rsid w:val="00FC54B6"/>
    <w:rsid w:val="00FE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97554"/>
  <w15:chartTrackingRefBased/>
  <w15:docId w15:val="{257B0271-458A-4148-944E-A9DF6048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9D"/>
    <w:pPr>
      <w:ind w:left="720"/>
      <w:contextualSpacing/>
    </w:pPr>
  </w:style>
  <w:style w:type="paragraph" w:styleId="FootnoteText">
    <w:name w:val="footnote text"/>
    <w:basedOn w:val="Normal"/>
    <w:link w:val="FootnoteTextChar"/>
    <w:uiPriority w:val="99"/>
    <w:unhideWhenUsed/>
    <w:rsid w:val="00620EF2"/>
    <w:pPr>
      <w:spacing w:after="0" w:line="240" w:lineRule="auto"/>
    </w:pPr>
    <w:rPr>
      <w:sz w:val="20"/>
      <w:szCs w:val="20"/>
    </w:rPr>
  </w:style>
  <w:style w:type="character" w:customStyle="1" w:styleId="FootnoteTextChar">
    <w:name w:val="Footnote Text Char"/>
    <w:basedOn w:val="DefaultParagraphFont"/>
    <w:link w:val="FootnoteText"/>
    <w:uiPriority w:val="99"/>
    <w:rsid w:val="00620EF2"/>
    <w:rPr>
      <w:sz w:val="20"/>
      <w:szCs w:val="20"/>
    </w:rPr>
  </w:style>
  <w:style w:type="character" w:styleId="FootnoteReference">
    <w:name w:val="footnote reference"/>
    <w:basedOn w:val="DefaultParagraphFont"/>
    <w:uiPriority w:val="99"/>
    <w:semiHidden/>
    <w:unhideWhenUsed/>
    <w:rsid w:val="00620EF2"/>
    <w:rPr>
      <w:vertAlign w:val="superscript"/>
    </w:rPr>
  </w:style>
  <w:style w:type="paragraph" w:styleId="BalloonText">
    <w:name w:val="Balloon Text"/>
    <w:basedOn w:val="Normal"/>
    <w:link w:val="BalloonTextChar"/>
    <w:uiPriority w:val="99"/>
    <w:semiHidden/>
    <w:unhideWhenUsed/>
    <w:rsid w:val="009A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581"/>
    <w:rPr>
      <w:rFonts w:ascii="Segoe UI" w:hAnsi="Segoe UI" w:cs="Segoe UI"/>
      <w:sz w:val="18"/>
      <w:szCs w:val="18"/>
    </w:rPr>
  </w:style>
  <w:style w:type="character" w:styleId="Hyperlink">
    <w:name w:val="Hyperlink"/>
    <w:basedOn w:val="DefaultParagraphFont"/>
    <w:uiPriority w:val="99"/>
    <w:semiHidden/>
    <w:unhideWhenUsed/>
    <w:rsid w:val="00A61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8809">
      <w:bodyDiv w:val="1"/>
      <w:marLeft w:val="0"/>
      <w:marRight w:val="0"/>
      <w:marTop w:val="0"/>
      <w:marBottom w:val="0"/>
      <w:divBdr>
        <w:top w:val="none" w:sz="0" w:space="0" w:color="auto"/>
        <w:left w:val="none" w:sz="0" w:space="0" w:color="auto"/>
        <w:bottom w:val="none" w:sz="0" w:space="0" w:color="auto"/>
        <w:right w:val="none" w:sz="0" w:space="0" w:color="auto"/>
      </w:divBdr>
      <w:divsChild>
        <w:div w:id="127625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672888">
      <w:bodyDiv w:val="1"/>
      <w:marLeft w:val="0"/>
      <w:marRight w:val="0"/>
      <w:marTop w:val="0"/>
      <w:marBottom w:val="0"/>
      <w:divBdr>
        <w:top w:val="none" w:sz="0" w:space="0" w:color="auto"/>
        <w:left w:val="none" w:sz="0" w:space="0" w:color="auto"/>
        <w:bottom w:val="none" w:sz="0" w:space="0" w:color="auto"/>
        <w:right w:val="none" w:sz="0" w:space="0" w:color="auto"/>
      </w:divBdr>
      <w:divsChild>
        <w:div w:id="2099129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5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1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udicialpowerproject.org.uk/wp-content/uploads/2016/12/Laws-tex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54EF-56FF-47A8-87AB-CD5D17E7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6431</Words>
  <Characters>32060</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Susan Monteiro</cp:lastModifiedBy>
  <cp:revision>2</cp:revision>
  <dcterms:created xsi:type="dcterms:W3CDTF">2020-07-21T14:50:00Z</dcterms:created>
  <dcterms:modified xsi:type="dcterms:W3CDTF">2020-07-21T14:50:00Z</dcterms:modified>
</cp:coreProperties>
</file>