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D856" w14:textId="023024C4" w:rsidR="00E94324" w:rsidRPr="00911F40" w:rsidRDefault="006A763A" w:rsidP="00E94324">
      <w:pPr>
        <w:spacing w:line="360" w:lineRule="auto"/>
        <w:jc w:val="center"/>
        <w:rPr>
          <w:rFonts w:asciiTheme="majorHAnsi" w:hAnsiTheme="majorHAnsi" w:cstheme="majorHAnsi"/>
          <w:sz w:val="24"/>
          <w:szCs w:val="24"/>
        </w:rPr>
      </w:pPr>
      <w:r w:rsidRPr="00911F40">
        <w:rPr>
          <w:rFonts w:asciiTheme="majorHAnsi" w:hAnsiTheme="majorHAnsi" w:cstheme="majorHAnsi"/>
          <w:noProof/>
          <w:color w:val="D92051"/>
          <w:sz w:val="24"/>
          <w:szCs w:val="24"/>
          <w:lang w:eastAsia="en-GB"/>
        </w:rPr>
        <w:drawing>
          <wp:inline distT="0" distB="0" distL="0" distR="0" wp14:anchorId="1DF7DA14" wp14:editId="1DF7DA15">
            <wp:extent cx="3329305" cy="1711325"/>
            <wp:effectExtent l="19050" t="0" r="4445" b="0"/>
            <wp:docPr id="1" name="logo" descr="AL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LBA">
                      <a:hlinkClick r:id="rId11"/>
                    </pic:cNvPr>
                    <pic:cNvPicPr>
                      <a:picLocks noChangeAspect="1" noChangeArrowheads="1"/>
                    </pic:cNvPicPr>
                  </pic:nvPicPr>
                  <pic:blipFill>
                    <a:blip r:embed="rId12"/>
                    <a:srcRect/>
                    <a:stretch>
                      <a:fillRect/>
                    </a:stretch>
                  </pic:blipFill>
                  <pic:spPr bwMode="auto">
                    <a:xfrm>
                      <a:off x="0" y="0"/>
                      <a:ext cx="3329305" cy="1711325"/>
                    </a:xfrm>
                    <a:prstGeom prst="rect">
                      <a:avLst/>
                    </a:prstGeom>
                    <a:noFill/>
                    <a:ln w="9525">
                      <a:noFill/>
                      <a:miter lim="800000"/>
                      <a:headEnd/>
                      <a:tailEnd/>
                    </a:ln>
                  </pic:spPr>
                </pic:pic>
              </a:graphicData>
            </a:graphic>
          </wp:inline>
        </w:drawing>
      </w:r>
    </w:p>
    <w:p w14:paraId="1DF7D857" w14:textId="77777777" w:rsidR="006A763A" w:rsidRPr="00911F40" w:rsidRDefault="006A763A" w:rsidP="00E94324">
      <w:pPr>
        <w:spacing w:line="360" w:lineRule="auto"/>
        <w:ind w:left="360"/>
        <w:jc w:val="center"/>
        <w:rPr>
          <w:rFonts w:asciiTheme="majorHAnsi" w:hAnsiTheme="majorHAnsi" w:cstheme="majorHAnsi"/>
          <w:b/>
          <w:sz w:val="24"/>
          <w:szCs w:val="24"/>
        </w:rPr>
      </w:pPr>
    </w:p>
    <w:p w14:paraId="1DF7D858" w14:textId="77777777" w:rsidR="00E94324" w:rsidRPr="00911F40" w:rsidRDefault="00E94324"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INTRODUCTION TO JUDICIAL REVIEW</w:t>
      </w:r>
    </w:p>
    <w:p w14:paraId="4785E0E4" w14:textId="77777777" w:rsidR="009D0ADD" w:rsidRPr="00911F40" w:rsidRDefault="009D0ADD" w:rsidP="00E94324">
      <w:pPr>
        <w:spacing w:line="360" w:lineRule="auto"/>
        <w:ind w:left="360"/>
        <w:jc w:val="center"/>
        <w:rPr>
          <w:rFonts w:asciiTheme="majorHAnsi" w:hAnsiTheme="majorHAnsi" w:cstheme="majorHAnsi"/>
          <w:b/>
          <w:sz w:val="24"/>
          <w:szCs w:val="24"/>
        </w:rPr>
      </w:pPr>
    </w:p>
    <w:p w14:paraId="1DF7D859" w14:textId="3682806F" w:rsidR="00E94324" w:rsidRPr="00911F40" w:rsidRDefault="00E94324"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 xml:space="preserve">PREPARATION FOR THE SUBSTANTIVE HEARING </w:t>
      </w:r>
    </w:p>
    <w:p w14:paraId="1DF7D85A" w14:textId="77777777" w:rsidR="00E94324" w:rsidRPr="00911F40" w:rsidRDefault="00E94324" w:rsidP="00E94324">
      <w:pPr>
        <w:spacing w:line="360" w:lineRule="auto"/>
        <w:ind w:left="360"/>
        <w:jc w:val="center"/>
        <w:rPr>
          <w:rFonts w:asciiTheme="majorHAnsi" w:hAnsiTheme="majorHAnsi" w:cstheme="majorHAnsi"/>
          <w:b/>
          <w:sz w:val="24"/>
          <w:szCs w:val="24"/>
        </w:rPr>
      </w:pPr>
    </w:p>
    <w:p w14:paraId="1DF7D85B" w14:textId="759E7739" w:rsidR="006A763A" w:rsidRPr="00911F40" w:rsidRDefault="00334E26"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 xml:space="preserve">Martin Westgate QC </w:t>
      </w:r>
    </w:p>
    <w:p w14:paraId="42EDE29A" w14:textId="77777777" w:rsidR="00A80D3E" w:rsidRPr="00911F40" w:rsidRDefault="00A80D3E" w:rsidP="00A80D3E">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Leonie Hirst</w:t>
      </w:r>
    </w:p>
    <w:p w14:paraId="1DF7D85C" w14:textId="77F7AF3F" w:rsidR="006A763A" w:rsidRPr="00911F40" w:rsidRDefault="006A763A"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Doughty Street Chambers</w:t>
      </w:r>
    </w:p>
    <w:p w14:paraId="1DF7D85E" w14:textId="7FD33E75" w:rsidR="00E94324" w:rsidRPr="00911F40" w:rsidRDefault="00490B23" w:rsidP="00E94324">
      <w:pPr>
        <w:spacing w:line="360" w:lineRule="auto"/>
        <w:ind w:left="360"/>
        <w:jc w:val="center"/>
        <w:rPr>
          <w:rFonts w:asciiTheme="majorHAnsi" w:hAnsiTheme="majorHAnsi" w:cstheme="majorHAnsi"/>
          <w:b/>
          <w:sz w:val="24"/>
          <w:szCs w:val="24"/>
        </w:rPr>
      </w:pPr>
      <w:r>
        <w:rPr>
          <w:rFonts w:asciiTheme="majorHAnsi" w:hAnsiTheme="majorHAnsi" w:cstheme="majorHAnsi"/>
          <w:b/>
          <w:sz w:val="24"/>
          <w:szCs w:val="24"/>
        </w:rPr>
        <w:t>1 December</w:t>
      </w:r>
      <w:r w:rsidR="00A80D3E" w:rsidRPr="00911F40">
        <w:rPr>
          <w:rFonts w:asciiTheme="majorHAnsi" w:hAnsiTheme="majorHAnsi" w:cstheme="majorHAnsi"/>
          <w:b/>
          <w:sz w:val="24"/>
          <w:szCs w:val="24"/>
        </w:rPr>
        <w:t xml:space="preserve"> 2021</w:t>
      </w:r>
      <w:r w:rsidR="00334E26" w:rsidRPr="00911F40">
        <w:rPr>
          <w:rStyle w:val="FootnoteReference"/>
          <w:rFonts w:asciiTheme="majorHAnsi" w:hAnsiTheme="majorHAnsi" w:cstheme="majorHAnsi"/>
          <w:b/>
          <w:sz w:val="24"/>
          <w:szCs w:val="24"/>
        </w:rPr>
        <w:footnoteReference w:id="2"/>
      </w:r>
    </w:p>
    <w:p w14:paraId="1DF7D85F" w14:textId="77777777" w:rsidR="006A763A" w:rsidRPr="00911F40" w:rsidRDefault="006A763A" w:rsidP="00E94324">
      <w:pPr>
        <w:spacing w:line="360" w:lineRule="auto"/>
        <w:ind w:left="360"/>
        <w:jc w:val="center"/>
        <w:rPr>
          <w:rFonts w:asciiTheme="majorHAnsi" w:hAnsiTheme="majorHAnsi" w:cstheme="majorHAnsi"/>
          <w:b/>
          <w:sz w:val="24"/>
          <w:szCs w:val="24"/>
        </w:rPr>
      </w:pPr>
    </w:p>
    <w:p w14:paraId="1DF7D860" w14:textId="77777777" w:rsidR="006A763A" w:rsidRPr="00911F40" w:rsidRDefault="006A763A" w:rsidP="00E94324">
      <w:pPr>
        <w:spacing w:line="360" w:lineRule="auto"/>
        <w:ind w:left="360"/>
        <w:jc w:val="center"/>
        <w:rPr>
          <w:rFonts w:asciiTheme="majorHAnsi" w:hAnsiTheme="majorHAnsi" w:cstheme="majorHAnsi"/>
          <w:b/>
          <w:sz w:val="24"/>
          <w:szCs w:val="24"/>
        </w:rPr>
      </w:pPr>
    </w:p>
    <w:p w14:paraId="1DF7D861" w14:textId="77777777" w:rsidR="00E94324" w:rsidRPr="00911F40" w:rsidRDefault="00E94324" w:rsidP="00E94324">
      <w:pPr>
        <w:spacing w:line="360" w:lineRule="auto"/>
        <w:rPr>
          <w:rFonts w:asciiTheme="majorHAnsi" w:hAnsiTheme="majorHAnsi" w:cstheme="majorHAnsi"/>
          <w:i/>
          <w:sz w:val="24"/>
          <w:szCs w:val="24"/>
        </w:rPr>
      </w:pPr>
    </w:p>
    <w:p w14:paraId="2DF96E11" w14:textId="77777777" w:rsidR="00911F40" w:rsidRDefault="00911F40" w:rsidP="00911F40">
      <w:pPr>
        <w:rPr>
          <w:rFonts w:asciiTheme="majorHAnsi" w:hAnsiTheme="majorHAnsi" w:cstheme="majorHAnsi"/>
          <w:b/>
          <w:sz w:val="24"/>
          <w:szCs w:val="24"/>
        </w:rPr>
      </w:pPr>
    </w:p>
    <w:p w14:paraId="0655FF7A" w14:textId="77777777" w:rsidR="00911F40" w:rsidRDefault="00911F40" w:rsidP="00911F40">
      <w:pPr>
        <w:rPr>
          <w:rFonts w:asciiTheme="majorHAnsi" w:hAnsiTheme="majorHAnsi" w:cstheme="majorHAnsi"/>
          <w:b/>
          <w:sz w:val="24"/>
          <w:szCs w:val="24"/>
        </w:rPr>
      </w:pPr>
    </w:p>
    <w:p w14:paraId="495C686A" w14:textId="77777777" w:rsidR="00911F40" w:rsidRDefault="00911F40" w:rsidP="00911F40">
      <w:pPr>
        <w:rPr>
          <w:rFonts w:asciiTheme="majorHAnsi" w:hAnsiTheme="majorHAnsi" w:cstheme="majorHAnsi"/>
          <w:b/>
          <w:sz w:val="24"/>
          <w:szCs w:val="24"/>
        </w:rPr>
      </w:pPr>
    </w:p>
    <w:p w14:paraId="245A89E6" w14:textId="77777777" w:rsidR="00911F40" w:rsidRDefault="00911F40" w:rsidP="00911F40">
      <w:pPr>
        <w:rPr>
          <w:rFonts w:asciiTheme="majorHAnsi" w:hAnsiTheme="majorHAnsi" w:cstheme="majorHAnsi"/>
          <w:b/>
          <w:sz w:val="24"/>
          <w:szCs w:val="24"/>
        </w:rPr>
      </w:pPr>
    </w:p>
    <w:p w14:paraId="1A47F578" w14:textId="77777777" w:rsidR="00911F40" w:rsidRDefault="00911F40" w:rsidP="00911F40">
      <w:pPr>
        <w:rPr>
          <w:rFonts w:asciiTheme="majorHAnsi" w:hAnsiTheme="majorHAnsi" w:cstheme="majorHAnsi"/>
          <w:b/>
          <w:sz w:val="24"/>
          <w:szCs w:val="24"/>
        </w:rPr>
      </w:pPr>
    </w:p>
    <w:p w14:paraId="2C894DBE" w14:textId="40691499" w:rsidR="006A763A" w:rsidRPr="00911F40" w:rsidRDefault="004709E9" w:rsidP="00911F40">
      <w:pPr>
        <w:spacing w:line="240" w:lineRule="auto"/>
        <w:jc w:val="center"/>
        <w:rPr>
          <w:rFonts w:asciiTheme="majorHAnsi" w:hAnsiTheme="majorHAnsi" w:cstheme="majorHAnsi"/>
          <w:i/>
          <w:sz w:val="24"/>
          <w:szCs w:val="24"/>
        </w:rPr>
      </w:pPr>
      <w:r w:rsidRPr="00911F40">
        <w:rPr>
          <w:rFonts w:asciiTheme="majorHAnsi" w:hAnsiTheme="majorHAnsi" w:cstheme="majorHAnsi"/>
          <w:b/>
          <w:sz w:val="24"/>
          <w:szCs w:val="24"/>
        </w:rPr>
        <w:lastRenderedPageBreak/>
        <w:t>CONTENTS</w:t>
      </w:r>
    </w:p>
    <w:p w14:paraId="1DF7D864" w14:textId="77777777" w:rsidR="006A763A" w:rsidRPr="00911F40" w:rsidRDefault="006A763A" w:rsidP="00911F40">
      <w:pPr>
        <w:spacing w:after="0" w:line="240" w:lineRule="auto"/>
        <w:ind w:firstLine="360"/>
        <w:jc w:val="both"/>
        <w:rPr>
          <w:rFonts w:asciiTheme="majorHAnsi" w:hAnsiTheme="majorHAnsi" w:cstheme="majorHAnsi"/>
          <w:sz w:val="24"/>
          <w:szCs w:val="24"/>
        </w:rPr>
      </w:pPr>
    </w:p>
    <w:p w14:paraId="1DF7D865" w14:textId="77777777" w:rsidR="006A763A" w:rsidRPr="00911F40" w:rsidRDefault="006A763A"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Immediate Next Steps Following the Grant of Permission</w:t>
      </w:r>
    </w:p>
    <w:p w14:paraId="1DF7D866"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1DF7D867" w14:textId="77777777" w:rsidR="006A763A" w:rsidRPr="00911F40" w:rsidRDefault="006A763A"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Interim Applications</w:t>
      </w:r>
    </w:p>
    <w:p w14:paraId="1DF7D868"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Amendment of the Claimant’s Case</w:t>
      </w:r>
    </w:p>
    <w:p w14:paraId="1DF7D869"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Further Evidence</w:t>
      </w:r>
    </w:p>
    <w:p w14:paraId="1DF7D86A"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Disclosure</w:t>
      </w:r>
    </w:p>
    <w:p w14:paraId="1DF7D86B"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Cross-examination</w:t>
      </w:r>
    </w:p>
    <w:p w14:paraId="1DF7D86C"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Part 18 CPR</w:t>
      </w:r>
    </w:p>
    <w:p w14:paraId="1DF7D86D"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Procedure – interim applications</w:t>
      </w:r>
    </w:p>
    <w:p w14:paraId="1DF7D86E"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1DF7D86F" w14:textId="77777777" w:rsidR="006A763A"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Listing</w:t>
      </w:r>
    </w:p>
    <w:p w14:paraId="1DF7D870" w14:textId="77777777" w:rsidR="009C7ED6" w:rsidRPr="00911F40" w:rsidRDefault="009C7ED6" w:rsidP="00911F40">
      <w:pPr>
        <w:pStyle w:val="ListParagraph"/>
        <w:numPr>
          <w:ilvl w:val="0"/>
          <w:numId w:val="24"/>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Time estimate</w:t>
      </w:r>
    </w:p>
    <w:p w14:paraId="1DF7D871" w14:textId="77777777" w:rsidR="009C7ED6" w:rsidRPr="00911F40" w:rsidRDefault="009C7ED6" w:rsidP="00911F40">
      <w:pPr>
        <w:pStyle w:val="ListParagraph"/>
        <w:numPr>
          <w:ilvl w:val="0"/>
          <w:numId w:val="24"/>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Reading time</w:t>
      </w:r>
    </w:p>
    <w:p w14:paraId="1DF7D872" w14:textId="77777777" w:rsidR="009C7ED6" w:rsidRPr="00911F40" w:rsidRDefault="009C7ED6" w:rsidP="00911F40">
      <w:pPr>
        <w:pStyle w:val="ListParagraph"/>
        <w:numPr>
          <w:ilvl w:val="0"/>
          <w:numId w:val="24"/>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Securing a listing</w:t>
      </w:r>
    </w:p>
    <w:p w14:paraId="1DF7D873" w14:textId="77777777" w:rsidR="009C7ED6" w:rsidRPr="00911F40" w:rsidRDefault="009C7ED6" w:rsidP="00911F40">
      <w:pPr>
        <w:pStyle w:val="ListParagraph"/>
        <w:spacing w:after="0" w:line="240" w:lineRule="auto"/>
        <w:ind w:left="1440"/>
        <w:jc w:val="both"/>
        <w:rPr>
          <w:rFonts w:asciiTheme="majorHAnsi" w:hAnsiTheme="majorHAnsi" w:cstheme="majorHAnsi"/>
          <w:sz w:val="24"/>
          <w:szCs w:val="24"/>
        </w:rPr>
      </w:pPr>
    </w:p>
    <w:p w14:paraId="1DF7D874" w14:textId="77777777" w:rsidR="009C7ED6"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Settlement and Discontinuance</w:t>
      </w:r>
    </w:p>
    <w:p w14:paraId="1DF7D875"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1DF7D876" w14:textId="77777777" w:rsidR="009C7ED6"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Preparation for the Hearing</w:t>
      </w:r>
    </w:p>
    <w:p w14:paraId="1DF7D877"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Determination without a hearing</w:t>
      </w:r>
    </w:p>
    <w:p w14:paraId="1DF7D878"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Bundles</w:t>
      </w:r>
    </w:p>
    <w:p w14:paraId="1DF7D879"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Skeleton Arguments</w:t>
      </w:r>
    </w:p>
    <w:p w14:paraId="1DF7D87A"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Authorities Bundles</w:t>
      </w:r>
    </w:p>
    <w:p w14:paraId="1DF7D87B" w14:textId="77777777" w:rsidR="009C7ED6" w:rsidRPr="00911F40" w:rsidRDefault="009C7ED6" w:rsidP="00911F40">
      <w:pPr>
        <w:pStyle w:val="ListParagraph"/>
        <w:spacing w:line="240" w:lineRule="auto"/>
        <w:ind w:left="1440"/>
        <w:rPr>
          <w:rFonts w:asciiTheme="majorHAnsi" w:hAnsiTheme="majorHAnsi" w:cstheme="majorHAnsi"/>
          <w:sz w:val="24"/>
          <w:szCs w:val="24"/>
        </w:rPr>
      </w:pPr>
    </w:p>
    <w:p w14:paraId="1DF7D87C" w14:textId="77777777" w:rsidR="009C7ED6"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Hearing</w:t>
      </w:r>
    </w:p>
    <w:p w14:paraId="1DF7D87D"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Composition of the Court</w:t>
      </w:r>
    </w:p>
    <w:p w14:paraId="1DF7D87E"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Timetabling of oral submissions</w:t>
      </w:r>
    </w:p>
    <w:p w14:paraId="1DF7D87F"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Approach to certain issues: standing, delay, limited permission</w:t>
      </w:r>
    </w:p>
    <w:p w14:paraId="1DF7D880"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“Any difference” / academic claims</w:t>
      </w:r>
    </w:p>
    <w:p w14:paraId="1DF7D881"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2A783469" w14:textId="77777777" w:rsidR="004709E9" w:rsidRPr="00911F40" w:rsidRDefault="004709E9"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Orders and Appeals</w:t>
      </w:r>
    </w:p>
    <w:p w14:paraId="607F776F" w14:textId="77777777" w:rsidR="004709E9" w:rsidRPr="00911F40" w:rsidRDefault="004709E9" w:rsidP="00911F40">
      <w:pPr>
        <w:pStyle w:val="ListParagraph"/>
        <w:spacing w:after="0" w:line="240" w:lineRule="auto"/>
        <w:jc w:val="both"/>
        <w:rPr>
          <w:rFonts w:asciiTheme="majorHAnsi" w:hAnsiTheme="majorHAnsi" w:cstheme="majorHAnsi"/>
          <w:sz w:val="24"/>
          <w:szCs w:val="24"/>
        </w:rPr>
      </w:pPr>
    </w:p>
    <w:p w14:paraId="1DF7D883" w14:textId="1515CE9E" w:rsidR="006A763A" w:rsidRPr="00911F40" w:rsidRDefault="004709E9"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Costs</w:t>
      </w:r>
    </w:p>
    <w:p w14:paraId="1DF7D884" w14:textId="77777777" w:rsidR="006A763A" w:rsidRPr="00911F40" w:rsidRDefault="006A763A" w:rsidP="006A763A">
      <w:pPr>
        <w:spacing w:after="0" w:line="360" w:lineRule="auto"/>
        <w:ind w:firstLine="360"/>
        <w:jc w:val="both"/>
        <w:rPr>
          <w:rFonts w:asciiTheme="majorHAnsi" w:hAnsiTheme="majorHAnsi" w:cstheme="majorHAnsi"/>
          <w:i/>
          <w:sz w:val="24"/>
          <w:szCs w:val="24"/>
        </w:rPr>
      </w:pPr>
    </w:p>
    <w:p w14:paraId="1DF7D885" w14:textId="77777777" w:rsidR="009C7ED6" w:rsidRPr="00911F40" w:rsidRDefault="009C7ED6">
      <w:pPr>
        <w:rPr>
          <w:rFonts w:asciiTheme="majorHAnsi" w:hAnsiTheme="majorHAnsi" w:cstheme="majorHAnsi"/>
          <w:i/>
          <w:sz w:val="24"/>
          <w:szCs w:val="24"/>
        </w:rPr>
      </w:pPr>
      <w:r w:rsidRPr="00911F40">
        <w:rPr>
          <w:rFonts w:asciiTheme="majorHAnsi" w:hAnsiTheme="majorHAnsi" w:cstheme="majorHAnsi"/>
          <w:i/>
          <w:sz w:val="24"/>
          <w:szCs w:val="24"/>
        </w:rPr>
        <w:br w:type="page"/>
      </w:r>
    </w:p>
    <w:p w14:paraId="1DF7D886" w14:textId="77777777" w:rsidR="009C7ED6" w:rsidRPr="00911F40" w:rsidRDefault="009C7ED6" w:rsidP="009C7ED6">
      <w:pPr>
        <w:pStyle w:val="ListParagraph"/>
        <w:numPr>
          <w:ilvl w:val="0"/>
          <w:numId w:val="30"/>
        </w:numPr>
        <w:spacing w:after="0" w:line="360" w:lineRule="auto"/>
        <w:jc w:val="center"/>
        <w:rPr>
          <w:rFonts w:asciiTheme="majorHAnsi" w:hAnsiTheme="majorHAnsi" w:cstheme="majorHAnsi"/>
          <w:b/>
          <w:smallCaps/>
          <w:sz w:val="24"/>
          <w:szCs w:val="24"/>
        </w:rPr>
      </w:pPr>
      <w:r w:rsidRPr="00911F40">
        <w:rPr>
          <w:rFonts w:asciiTheme="majorHAnsi" w:hAnsiTheme="majorHAnsi" w:cstheme="majorHAnsi"/>
          <w:b/>
          <w:smallCaps/>
          <w:sz w:val="24"/>
          <w:szCs w:val="24"/>
        </w:rPr>
        <w:lastRenderedPageBreak/>
        <w:t>Immediate Next Steps Following the Grant of Permission</w:t>
      </w:r>
    </w:p>
    <w:p w14:paraId="1DF7D887" w14:textId="77777777" w:rsidR="006A763A" w:rsidRPr="00911F40" w:rsidRDefault="006A763A" w:rsidP="009D0ADD">
      <w:pPr>
        <w:spacing w:after="0" w:line="360" w:lineRule="auto"/>
        <w:ind w:firstLine="360"/>
        <w:jc w:val="both"/>
        <w:rPr>
          <w:rFonts w:asciiTheme="majorHAnsi" w:hAnsiTheme="majorHAnsi" w:cstheme="majorHAnsi"/>
          <w:i/>
          <w:sz w:val="24"/>
          <w:szCs w:val="24"/>
        </w:rPr>
      </w:pPr>
    </w:p>
    <w:p w14:paraId="1DF7D888" w14:textId="77777777" w:rsidR="009C7ED6"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There are certain routine steps which should take place following the grant of</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permission in all judicial reviews: the filing of Detailed Grounds of Resistance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and any supporting evidence by the Defendant; a listing date being secured;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exchange of Skeleton Arguments; the hearing itself.</w:t>
      </w:r>
      <w:r w:rsidR="009C7ED6" w:rsidRPr="00911F40">
        <w:rPr>
          <w:rFonts w:asciiTheme="majorHAnsi" w:hAnsiTheme="majorHAnsi" w:cstheme="majorHAnsi"/>
          <w:sz w:val="24"/>
          <w:szCs w:val="24"/>
        </w:rPr>
        <w:t xml:space="preserve"> </w:t>
      </w:r>
    </w:p>
    <w:p w14:paraId="1DF7D889" w14:textId="77777777" w:rsidR="009C7ED6" w:rsidRPr="00911F40" w:rsidRDefault="009C7ED6" w:rsidP="009D0ADD">
      <w:pPr>
        <w:pStyle w:val="ListParagraph"/>
        <w:autoSpaceDE w:val="0"/>
        <w:autoSpaceDN w:val="0"/>
        <w:adjustRightInd w:val="0"/>
        <w:spacing w:after="0" w:line="360" w:lineRule="auto"/>
        <w:jc w:val="both"/>
        <w:rPr>
          <w:rFonts w:asciiTheme="majorHAnsi" w:hAnsiTheme="majorHAnsi" w:cstheme="majorHAnsi"/>
          <w:sz w:val="24"/>
          <w:szCs w:val="24"/>
        </w:rPr>
      </w:pPr>
    </w:p>
    <w:p w14:paraId="1DF7D88A" w14:textId="77777777"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There are, however, many variations on that theme, depending upon matters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such as the directions made at permission stage, the urgency of the case,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issues, whether the Claimant wishes to file further evidence or amend his or</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her Grounds, whether interim relief is sought, and whether there are any third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party interveners.</w:t>
      </w:r>
    </w:p>
    <w:p w14:paraId="1DF7D88B" w14:textId="77777777" w:rsidR="009C7ED6" w:rsidRPr="00911F40" w:rsidRDefault="009C7ED6" w:rsidP="009D0ADD">
      <w:pPr>
        <w:pStyle w:val="ListParagraph"/>
        <w:jc w:val="both"/>
        <w:rPr>
          <w:rFonts w:asciiTheme="majorHAnsi" w:hAnsiTheme="majorHAnsi" w:cstheme="majorHAnsi"/>
          <w:sz w:val="24"/>
          <w:szCs w:val="24"/>
        </w:rPr>
      </w:pPr>
    </w:p>
    <w:p w14:paraId="1DF7D88C" w14:textId="050087D6" w:rsidR="009C7ED6" w:rsidRPr="00911F40" w:rsidRDefault="009C7ED6"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first immediate step to take is the payment by the Claimant of the continuation fee.</w:t>
      </w:r>
      <w:r w:rsidR="009D0ADD" w:rsidRPr="00911F40">
        <w:rPr>
          <w:rStyle w:val="FootnoteReference"/>
          <w:rFonts w:asciiTheme="majorHAnsi" w:hAnsiTheme="majorHAnsi" w:cstheme="majorHAnsi"/>
          <w:sz w:val="24"/>
          <w:szCs w:val="24"/>
        </w:rPr>
        <w:footnoteReference w:id="3"/>
      </w:r>
      <w:r w:rsidRPr="00911F40">
        <w:rPr>
          <w:rFonts w:asciiTheme="majorHAnsi" w:hAnsiTheme="majorHAnsi" w:cstheme="majorHAnsi"/>
          <w:sz w:val="24"/>
          <w:szCs w:val="24"/>
        </w:rPr>
        <w:t xml:space="preserve"> The CPR then envisages the next stage being the filing and service of the Defendant’s Detailed Grounds and evidence. </w:t>
      </w:r>
    </w:p>
    <w:p w14:paraId="1DF7D88D" w14:textId="77777777" w:rsidR="009C7ED6" w:rsidRPr="00911F40" w:rsidRDefault="009C7ED6" w:rsidP="009D0ADD">
      <w:pPr>
        <w:pStyle w:val="ListParagraph"/>
        <w:jc w:val="both"/>
        <w:rPr>
          <w:rFonts w:asciiTheme="majorHAnsi" w:hAnsiTheme="majorHAnsi" w:cstheme="majorHAnsi"/>
          <w:sz w:val="24"/>
          <w:szCs w:val="24"/>
        </w:rPr>
      </w:pPr>
    </w:p>
    <w:p w14:paraId="1DF7D88E" w14:textId="6FEBED23"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CPR 54.10(1) provides that where permission to proceed is given the court</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may also give directions. The content of these </w:t>
      </w:r>
      <w:r w:rsidR="009D0ADD" w:rsidRPr="00911F40">
        <w:rPr>
          <w:rFonts w:asciiTheme="majorHAnsi" w:hAnsiTheme="majorHAnsi" w:cstheme="majorHAnsi"/>
          <w:sz w:val="24"/>
          <w:szCs w:val="24"/>
        </w:rPr>
        <w:t>directions will</w:t>
      </w:r>
      <w:r w:rsidRPr="00911F40">
        <w:rPr>
          <w:rFonts w:asciiTheme="majorHAnsi" w:hAnsiTheme="majorHAnsi" w:cstheme="majorHAnsi"/>
          <w:sz w:val="24"/>
          <w:szCs w:val="24"/>
        </w:rPr>
        <w:t xml:space="preserve"> vary depending on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nature of the case, but typical directions made </w:t>
      </w:r>
      <w:r w:rsidR="009C7ED6" w:rsidRPr="00911F40">
        <w:rPr>
          <w:rFonts w:asciiTheme="majorHAnsi" w:hAnsiTheme="majorHAnsi" w:cstheme="majorHAnsi"/>
          <w:sz w:val="24"/>
          <w:szCs w:val="24"/>
        </w:rPr>
        <w:t xml:space="preserve">at permission stage are </w:t>
      </w:r>
      <w:r w:rsidRPr="00911F40">
        <w:rPr>
          <w:rFonts w:asciiTheme="majorHAnsi" w:hAnsiTheme="majorHAnsi" w:cstheme="majorHAnsi"/>
          <w:sz w:val="24"/>
          <w:szCs w:val="24"/>
        </w:rPr>
        <w:t>as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follows:</w:t>
      </w:r>
    </w:p>
    <w:p w14:paraId="1DF7D88F" w14:textId="77777777" w:rsidR="009C7ED6"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Permission to apply for Judicial Review is granted.</w:t>
      </w:r>
    </w:p>
    <w:p w14:paraId="1DF7D890" w14:textId="453A8D8D"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Defendant </w:t>
      </w:r>
      <w:r w:rsidR="009D0ADD" w:rsidRPr="00911F40">
        <w:rPr>
          <w:rFonts w:asciiTheme="majorHAnsi" w:hAnsiTheme="majorHAnsi" w:cstheme="majorHAnsi"/>
          <w:sz w:val="24"/>
          <w:szCs w:val="24"/>
        </w:rPr>
        <w:t>shall</w:t>
      </w:r>
      <w:r w:rsidRPr="00911F40">
        <w:rPr>
          <w:rFonts w:asciiTheme="majorHAnsi" w:hAnsiTheme="majorHAnsi" w:cstheme="majorHAnsi"/>
          <w:sz w:val="24"/>
          <w:szCs w:val="24"/>
        </w:rPr>
        <w:t xml:space="preserve"> file with the Court and serve on the Claimant</w:t>
      </w:r>
      <w:r w:rsidR="009C7ED6" w:rsidRPr="00911F40">
        <w:rPr>
          <w:rFonts w:asciiTheme="majorHAnsi" w:hAnsiTheme="majorHAnsi" w:cstheme="majorHAnsi"/>
          <w:sz w:val="24"/>
          <w:szCs w:val="24"/>
        </w:rPr>
        <w:t xml:space="preserve"> Detailed G</w:t>
      </w:r>
      <w:r w:rsidRPr="00911F40">
        <w:rPr>
          <w:rFonts w:asciiTheme="majorHAnsi" w:hAnsiTheme="majorHAnsi" w:cstheme="majorHAnsi"/>
          <w:sz w:val="24"/>
          <w:szCs w:val="24"/>
        </w:rPr>
        <w:t>rounds for contesting the application and any written</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evidence within 35 days from the date of service of this Order.</w:t>
      </w:r>
    </w:p>
    <w:p w14:paraId="1DF7D891" w14:textId="77777777"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Any reply and any application by the Claimant to adduce further</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evidence must be filed within 14 days of service of </w:t>
      </w:r>
      <w:r w:rsidR="009C7ED6" w:rsidRPr="00911F40">
        <w:rPr>
          <w:rFonts w:asciiTheme="majorHAnsi" w:hAnsiTheme="majorHAnsi" w:cstheme="majorHAnsi"/>
          <w:sz w:val="24"/>
          <w:szCs w:val="24"/>
        </w:rPr>
        <w:t>the Detailed G</w:t>
      </w:r>
      <w:r w:rsidRPr="00911F40">
        <w:rPr>
          <w:rFonts w:asciiTheme="majorHAnsi" w:hAnsiTheme="majorHAnsi" w:cstheme="majorHAnsi"/>
          <w:sz w:val="24"/>
          <w:szCs w:val="24"/>
        </w:rPr>
        <w:t>rounds.</w:t>
      </w:r>
    </w:p>
    <w:p w14:paraId="1DF7D892" w14:textId="77777777"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application shall be listed on the first available date thereafter</w:t>
      </w:r>
      <w:r w:rsidR="009C7ED6" w:rsidRPr="00911F40">
        <w:rPr>
          <w:rFonts w:asciiTheme="majorHAnsi" w:hAnsiTheme="majorHAnsi" w:cstheme="majorHAnsi"/>
          <w:sz w:val="24"/>
          <w:szCs w:val="24"/>
        </w:rPr>
        <w:t xml:space="preserve"> / after a specific date with a time estimate of X, [to take place in any event no later than Y].</w:t>
      </w:r>
    </w:p>
    <w:p w14:paraId="1DF7D893" w14:textId="725539C1"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Claimant must file with the Court and serve on the Defendant a</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skeleton argument no later than 21 days before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hearing of the judicial review.</w:t>
      </w:r>
    </w:p>
    <w:p w14:paraId="1DF7D894" w14:textId="4A9591A8" w:rsidR="009C7ED6"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The Defendant must file with the Court and serve on the Claimant a</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skeleton argument not later than 14 days before the hearing of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judicial review.</w:t>
      </w:r>
    </w:p>
    <w:p w14:paraId="6701AD46" w14:textId="3B87123C" w:rsidR="009D0ADD" w:rsidRPr="00911F40" w:rsidRDefault="009D0ADD"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An agreed hearing bundle must be filed and served by the Claimant no later than 14 days before the hearing of the judicial review.</w:t>
      </w:r>
    </w:p>
    <w:p w14:paraId="1DF7D895" w14:textId="227E3A93"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w:t>
      </w:r>
      <w:r w:rsidR="009D0ADD" w:rsidRPr="00911F40">
        <w:rPr>
          <w:rFonts w:asciiTheme="majorHAnsi" w:hAnsiTheme="majorHAnsi" w:cstheme="majorHAnsi"/>
          <w:sz w:val="24"/>
          <w:szCs w:val="24"/>
        </w:rPr>
        <w:t>Claimant</w:t>
      </w:r>
      <w:r w:rsidRPr="00911F40">
        <w:rPr>
          <w:rFonts w:asciiTheme="majorHAnsi" w:hAnsiTheme="majorHAnsi" w:cstheme="majorHAnsi"/>
          <w:sz w:val="24"/>
          <w:szCs w:val="24"/>
        </w:rPr>
        <w:t xml:space="preserve"> must file </w:t>
      </w:r>
      <w:r w:rsidR="009C7ED6" w:rsidRPr="00911F40">
        <w:rPr>
          <w:rFonts w:asciiTheme="majorHAnsi" w:hAnsiTheme="majorHAnsi" w:cstheme="majorHAnsi"/>
          <w:sz w:val="24"/>
          <w:szCs w:val="24"/>
        </w:rPr>
        <w:t>and serve an agreed bundle of authorities</w:t>
      </w:r>
      <w:r w:rsidRPr="00911F40">
        <w:rPr>
          <w:rFonts w:asciiTheme="majorHAnsi" w:hAnsiTheme="majorHAnsi" w:cstheme="majorHAnsi"/>
          <w:sz w:val="24"/>
          <w:szCs w:val="24"/>
        </w:rPr>
        <w:t xml:space="preserve"> not less than</w:t>
      </w:r>
    </w:p>
    <w:p w14:paraId="1DF7D896" w14:textId="77777777" w:rsidR="006A763A" w:rsidRPr="00911F40" w:rsidRDefault="009C7ED6" w:rsidP="009D0ADD">
      <w:pPr>
        <w:spacing w:after="0" w:line="360" w:lineRule="auto"/>
        <w:ind w:left="720" w:firstLine="360"/>
        <w:jc w:val="both"/>
        <w:rPr>
          <w:rFonts w:asciiTheme="majorHAnsi" w:hAnsiTheme="majorHAnsi" w:cstheme="majorHAnsi"/>
          <w:sz w:val="24"/>
          <w:szCs w:val="24"/>
        </w:rPr>
      </w:pPr>
      <w:r w:rsidRPr="00911F40">
        <w:rPr>
          <w:rFonts w:asciiTheme="majorHAnsi" w:hAnsiTheme="majorHAnsi" w:cstheme="majorHAnsi"/>
          <w:sz w:val="24"/>
          <w:szCs w:val="24"/>
        </w:rPr>
        <w:t>7</w:t>
      </w:r>
      <w:r w:rsidR="006A763A" w:rsidRPr="00911F40">
        <w:rPr>
          <w:rFonts w:asciiTheme="majorHAnsi" w:hAnsiTheme="majorHAnsi" w:cstheme="majorHAnsi"/>
          <w:sz w:val="24"/>
          <w:szCs w:val="24"/>
        </w:rPr>
        <w:t xml:space="preserve"> days before the date of the hearing of the judicial review.</w:t>
      </w:r>
    </w:p>
    <w:p w14:paraId="1DF7D897" w14:textId="77777777" w:rsidR="006A763A" w:rsidRPr="00911F40" w:rsidRDefault="006A763A" w:rsidP="006A763A">
      <w:pPr>
        <w:spacing w:after="0" w:line="360" w:lineRule="auto"/>
        <w:ind w:firstLine="360"/>
        <w:rPr>
          <w:rFonts w:asciiTheme="majorHAnsi" w:hAnsiTheme="majorHAnsi" w:cstheme="majorHAnsi"/>
          <w:i/>
          <w:sz w:val="24"/>
          <w:szCs w:val="24"/>
        </w:rPr>
      </w:pPr>
    </w:p>
    <w:p w14:paraId="1DF7D898" w14:textId="77777777" w:rsidR="006A763A" w:rsidRPr="00911F40" w:rsidRDefault="006A763A" w:rsidP="009C7ED6">
      <w:pPr>
        <w:pStyle w:val="ListParagraph"/>
        <w:numPr>
          <w:ilvl w:val="0"/>
          <w:numId w:val="31"/>
        </w:numPr>
        <w:autoSpaceDE w:val="0"/>
        <w:autoSpaceDN w:val="0"/>
        <w:adjustRightInd w:val="0"/>
        <w:spacing w:after="0" w:line="360" w:lineRule="auto"/>
        <w:rPr>
          <w:rFonts w:asciiTheme="majorHAnsi" w:hAnsiTheme="majorHAnsi" w:cstheme="majorHAnsi"/>
          <w:sz w:val="24"/>
          <w:szCs w:val="24"/>
        </w:rPr>
      </w:pPr>
      <w:r w:rsidRPr="00911F40">
        <w:rPr>
          <w:rFonts w:asciiTheme="majorHAnsi" w:hAnsiTheme="majorHAnsi" w:cstheme="majorHAnsi"/>
          <w:sz w:val="24"/>
          <w:szCs w:val="24"/>
        </w:rPr>
        <w:t>The reference to the Defendant filing its Detailed Grounds for contesting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claim arises from CPR r.54.14:</w:t>
      </w:r>
    </w:p>
    <w:p w14:paraId="1DF7D899" w14:textId="77777777" w:rsidR="009C7ED6" w:rsidRPr="00911F40" w:rsidRDefault="009C7ED6" w:rsidP="009C7ED6">
      <w:pPr>
        <w:autoSpaceDE w:val="0"/>
        <w:autoSpaceDN w:val="0"/>
        <w:adjustRightInd w:val="0"/>
        <w:spacing w:after="0" w:line="360" w:lineRule="auto"/>
        <w:ind w:left="1440"/>
        <w:rPr>
          <w:rFonts w:asciiTheme="majorHAnsi" w:hAnsiTheme="majorHAnsi" w:cstheme="majorHAnsi"/>
          <w:i/>
          <w:iCs/>
          <w:sz w:val="24"/>
          <w:szCs w:val="24"/>
        </w:rPr>
      </w:pPr>
    </w:p>
    <w:p w14:paraId="1DF7D89C" w14:textId="0F248BB8"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(1) A defendant and any other person served with the claim form</w:t>
      </w:r>
      <w:r w:rsidR="009D0ADD" w:rsidRPr="00911F40">
        <w:rPr>
          <w:rFonts w:asciiTheme="majorHAnsi" w:hAnsiTheme="majorHAnsi" w:cstheme="majorHAnsi"/>
          <w:i/>
          <w:iCs/>
          <w:sz w:val="24"/>
          <w:szCs w:val="24"/>
        </w:rPr>
        <w:t xml:space="preserve"> </w:t>
      </w:r>
      <w:r w:rsidRPr="00911F40">
        <w:rPr>
          <w:rFonts w:asciiTheme="majorHAnsi" w:hAnsiTheme="majorHAnsi" w:cstheme="majorHAnsi"/>
          <w:i/>
          <w:iCs/>
          <w:sz w:val="24"/>
          <w:szCs w:val="24"/>
        </w:rPr>
        <w:t>who wishes to contest the claim or support it on additional</w:t>
      </w:r>
      <w:r w:rsidR="009D0ADD" w:rsidRPr="00911F40">
        <w:rPr>
          <w:rFonts w:asciiTheme="majorHAnsi" w:hAnsiTheme="majorHAnsi" w:cstheme="majorHAnsi"/>
          <w:i/>
          <w:iCs/>
          <w:sz w:val="24"/>
          <w:szCs w:val="24"/>
        </w:rPr>
        <w:t xml:space="preserve"> </w:t>
      </w:r>
      <w:r w:rsidRPr="00911F40">
        <w:rPr>
          <w:rFonts w:asciiTheme="majorHAnsi" w:hAnsiTheme="majorHAnsi" w:cstheme="majorHAnsi"/>
          <w:i/>
          <w:iCs/>
          <w:sz w:val="24"/>
          <w:szCs w:val="24"/>
        </w:rPr>
        <w:t>grounds must file and serve –</w:t>
      </w:r>
    </w:p>
    <w:p w14:paraId="1DF7D89E" w14:textId="38F240E9"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(a) detailed grounds for contesting the claim or supporting it</w:t>
      </w:r>
      <w:r w:rsidR="009D0ADD" w:rsidRPr="00911F40">
        <w:rPr>
          <w:rFonts w:asciiTheme="majorHAnsi" w:hAnsiTheme="majorHAnsi" w:cstheme="majorHAnsi"/>
          <w:i/>
          <w:iCs/>
          <w:sz w:val="24"/>
          <w:szCs w:val="24"/>
        </w:rPr>
        <w:t xml:space="preserve"> </w:t>
      </w:r>
      <w:r w:rsidRPr="00911F40">
        <w:rPr>
          <w:rFonts w:asciiTheme="majorHAnsi" w:hAnsiTheme="majorHAnsi" w:cstheme="majorHAnsi"/>
          <w:i/>
          <w:iCs/>
          <w:sz w:val="24"/>
          <w:szCs w:val="24"/>
        </w:rPr>
        <w:t>on additional grounds; and</w:t>
      </w:r>
    </w:p>
    <w:p w14:paraId="1DF7D89F" w14:textId="77777777"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(b) any written evidence,</w:t>
      </w:r>
    </w:p>
    <w:p w14:paraId="1DF7D8A0" w14:textId="77777777"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within 35 days after service of the order giving permission.</w:t>
      </w:r>
    </w:p>
    <w:p w14:paraId="1DF7D8A1" w14:textId="77777777" w:rsidR="009C7ED6" w:rsidRPr="00911F40" w:rsidRDefault="009C7ED6" w:rsidP="009C7ED6">
      <w:pPr>
        <w:autoSpaceDE w:val="0"/>
        <w:autoSpaceDN w:val="0"/>
        <w:adjustRightInd w:val="0"/>
        <w:spacing w:after="0" w:line="360" w:lineRule="auto"/>
        <w:rPr>
          <w:rFonts w:asciiTheme="majorHAnsi" w:hAnsiTheme="majorHAnsi" w:cstheme="majorHAnsi"/>
          <w:sz w:val="24"/>
          <w:szCs w:val="24"/>
        </w:rPr>
      </w:pPr>
    </w:p>
    <w:p w14:paraId="1DF7D8A2" w14:textId="77777777"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This standard 35-day timetable will not apply if the Judge when granting</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permission has made bespoke directions setting a different timetable.</w:t>
      </w:r>
    </w:p>
    <w:p w14:paraId="1DF7D8A3" w14:textId="77777777" w:rsidR="009C7ED6" w:rsidRPr="00911F40" w:rsidRDefault="009C7ED6" w:rsidP="009D0ADD">
      <w:pPr>
        <w:pStyle w:val="ListParagraph"/>
        <w:autoSpaceDE w:val="0"/>
        <w:autoSpaceDN w:val="0"/>
        <w:adjustRightInd w:val="0"/>
        <w:spacing w:after="0" w:line="360" w:lineRule="auto"/>
        <w:jc w:val="both"/>
        <w:rPr>
          <w:rFonts w:asciiTheme="majorHAnsi" w:hAnsiTheme="majorHAnsi" w:cstheme="majorHAnsi"/>
          <w:sz w:val="24"/>
          <w:szCs w:val="24"/>
        </w:rPr>
      </w:pPr>
    </w:p>
    <w:p w14:paraId="1DF7D8A4" w14:textId="2061B241" w:rsidR="009C7ED6"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CPR Part 54 does not explicitly envisage Claimants responding to the Detailed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Grounds and evidence. However, it is now</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increasingly common for the Permission Judge to build into the timetable an</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opportunity for the Claimant to respond to the Detailed Grounds and file any</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further evidence</w:t>
      </w:r>
      <w:r w:rsidR="009D0ADD" w:rsidRPr="00911F40">
        <w:rPr>
          <w:rFonts w:asciiTheme="majorHAnsi" w:hAnsiTheme="majorHAnsi" w:cstheme="majorHAnsi"/>
          <w:sz w:val="24"/>
          <w:szCs w:val="24"/>
        </w:rPr>
        <w:t>. I</w:t>
      </w:r>
      <w:r w:rsidRPr="00911F40">
        <w:rPr>
          <w:rFonts w:asciiTheme="majorHAnsi" w:hAnsiTheme="majorHAnsi" w:cstheme="majorHAnsi"/>
          <w:sz w:val="24"/>
          <w:szCs w:val="24"/>
        </w:rPr>
        <w:t>f acting for a Claimant, it is sensible to request that this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be provided for in the order granting permission</w:t>
      </w:r>
      <w:r w:rsidR="009D0ADD" w:rsidRPr="00911F40">
        <w:rPr>
          <w:rFonts w:asciiTheme="majorHAnsi" w:hAnsiTheme="majorHAnsi" w:cstheme="majorHAnsi"/>
          <w:sz w:val="24"/>
          <w:szCs w:val="24"/>
        </w:rPr>
        <w:t xml:space="preserve"> – bear this in mind as in most cases it should be built into your initial drafting when preparing the Claim Form and Statement of Facts and Grounds, at the outset of the claim</w:t>
      </w:r>
      <w:r w:rsidRPr="00911F40">
        <w:rPr>
          <w:rFonts w:asciiTheme="majorHAnsi" w:hAnsiTheme="majorHAnsi" w:cstheme="majorHAnsi"/>
          <w:sz w:val="24"/>
          <w:szCs w:val="24"/>
        </w:rPr>
        <w:t xml:space="preserve">. </w:t>
      </w:r>
    </w:p>
    <w:p w14:paraId="1DF7D8A5" w14:textId="77777777" w:rsidR="009C7ED6" w:rsidRPr="00911F40" w:rsidRDefault="009C7ED6" w:rsidP="009D0ADD">
      <w:pPr>
        <w:pStyle w:val="ListParagraph"/>
        <w:spacing w:after="0" w:line="360" w:lineRule="auto"/>
        <w:jc w:val="both"/>
        <w:rPr>
          <w:rFonts w:asciiTheme="majorHAnsi" w:hAnsiTheme="majorHAnsi" w:cstheme="majorHAnsi"/>
          <w:sz w:val="24"/>
          <w:szCs w:val="24"/>
        </w:rPr>
      </w:pPr>
    </w:p>
    <w:p w14:paraId="1DF7D8A6" w14:textId="2E319FDA"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Listing is dealt with in more detail below. However, if the claim is urgent, and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the permission order recognises this, then steps should be taken very</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promptly after the grant of permission to ensure that a speedy listing is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secured. In such cases, it is sensible for the Claimant’s solicitor to contact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Administrative Court list office (if in London – 020 7947 6655 – select option 3)</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or the nominated court lawyer. The solicitor can emphasise </w:t>
      </w:r>
      <w:r w:rsidRPr="00911F40">
        <w:rPr>
          <w:rFonts w:asciiTheme="majorHAnsi" w:hAnsiTheme="majorHAnsi" w:cstheme="majorHAnsi"/>
          <w:sz w:val="24"/>
          <w:szCs w:val="24"/>
        </w:rPr>
        <w:lastRenderedPageBreak/>
        <w:t>the need for an</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urgent hearing, as per the Permission Judge’s order, and press to secure a</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speedy listing. It will usually be the Claimant’s solicitor who is anxious to</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ensure that the case gets listed promptly, although in some cases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Defendant may wish to take these steps (for example where there is costly</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interim relief in place).</w:t>
      </w:r>
      <w:r w:rsidR="00D1639F">
        <w:rPr>
          <w:rFonts w:asciiTheme="majorHAnsi" w:hAnsiTheme="majorHAnsi" w:cstheme="majorHAnsi"/>
          <w:sz w:val="24"/>
          <w:szCs w:val="24"/>
        </w:rPr>
        <w:t xml:space="preserve"> An urgent hearing should not be requested unless the matter is genuinely urgent</w:t>
      </w:r>
      <w:r w:rsidR="00B96785">
        <w:rPr>
          <w:rFonts w:asciiTheme="majorHAnsi" w:hAnsiTheme="majorHAnsi" w:cstheme="majorHAnsi"/>
          <w:sz w:val="24"/>
          <w:szCs w:val="24"/>
        </w:rPr>
        <w:t>, and abuse of the urgent listings procedure will result in sanctions</w:t>
      </w:r>
      <w:r w:rsidR="00D1639F">
        <w:rPr>
          <w:rFonts w:asciiTheme="majorHAnsi" w:hAnsiTheme="majorHAnsi" w:cstheme="majorHAnsi"/>
          <w:sz w:val="24"/>
          <w:szCs w:val="24"/>
        </w:rPr>
        <w:t xml:space="preserve">: </w:t>
      </w:r>
      <w:r w:rsidR="00D1639F">
        <w:rPr>
          <w:rFonts w:asciiTheme="majorHAnsi" w:hAnsiTheme="majorHAnsi" w:cstheme="majorHAnsi"/>
          <w:i/>
          <w:iCs/>
          <w:sz w:val="24"/>
          <w:szCs w:val="24"/>
        </w:rPr>
        <w:t>R (DVP) v SSHD</w:t>
      </w:r>
      <w:r w:rsidR="00D1639F">
        <w:rPr>
          <w:rFonts w:asciiTheme="majorHAnsi" w:hAnsiTheme="majorHAnsi" w:cstheme="majorHAnsi"/>
          <w:sz w:val="24"/>
          <w:szCs w:val="24"/>
        </w:rPr>
        <w:t xml:space="preserve"> [2021] EWHC 606 (Admin)</w:t>
      </w:r>
    </w:p>
    <w:p w14:paraId="1DF7D8A7" w14:textId="77777777" w:rsidR="006F53FC" w:rsidRPr="00911F40" w:rsidRDefault="006F53FC" w:rsidP="006F53FC">
      <w:pPr>
        <w:pStyle w:val="ListParagraph"/>
        <w:rPr>
          <w:rFonts w:asciiTheme="majorHAnsi" w:hAnsiTheme="majorHAnsi" w:cstheme="majorHAnsi"/>
          <w:sz w:val="24"/>
          <w:szCs w:val="24"/>
        </w:rPr>
      </w:pPr>
    </w:p>
    <w:p w14:paraId="1DF7D8A8" w14:textId="1E890B8E" w:rsidR="006A763A" w:rsidRDefault="006A763A"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In other cases, the list office will usually contact counsels’ clerks to discuss</w:t>
      </w:r>
      <w:r w:rsidR="006F53FC" w:rsidRPr="00911F40">
        <w:rPr>
          <w:rFonts w:asciiTheme="majorHAnsi" w:hAnsiTheme="majorHAnsi" w:cstheme="majorHAnsi"/>
          <w:sz w:val="24"/>
          <w:szCs w:val="24"/>
        </w:rPr>
        <w:t xml:space="preserve"> </w:t>
      </w:r>
      <w:r w:rsidRPr="00911F40">
        <w:rPr>
          <w:rFonts w:asciiTheme="majorHAnsi" w:hAnsiTheme="majorHAnsi" w:cstheme="majorHAnsi"/>
          <w:sz w:val="24"/>
          <w:szCs w:val="24"/>
        </w:rPr>
        <w:t>listing dates a number of weeks or months after permission has been granted.</w:t>
      </w:r>
    </w:p>
    <w:p w14:paraId="0A8D0395" w14:textId="3D4918EA" w:rsidR="00D1639F" w:rsidRDefault="00D1639F" w:rsidP="00D1639F">
      <w:pPr>
        <w:pStyle w:val="ListParagraph"/>
        <w:autoSpaceDE w:val="0"/>
        <w:autoSpaceDN w:val="0"/>
        <w:adjustRightInd w:val="0"/>
        <w:spacing w:after="0" w:line="360" w:lineRule="auto"/>
        <w:jc w:val="both"/>
        <w:rPr>
          <w:rFonts w:asciiTheme="majorHAnsi" w:hAnsiTheme="majorHAnsi" w:cstheme="majorHAnsi"/>
          <w:sz w:val="24"/>
          <w:szCs w:val="24"/>
        </w:rPr>
      </w:pPr>
    </w:p>
    <w:p w14:paraId="17221CD9" w14:textId="77777777" w:rsidR="00D1639F" w:rsidRPr="00911F40" w:rsidRDefault="00D1639F" w:rsidP="00D1639F">
      <w:pPr>
        <w:pStyle w:val="ListParagraph"/>
        <w:numPr>
          <w:ilvl w:val="0"/>
          <w:numId w:val="30"/>
        </w:numPr>
        <w:jc w:val="center"/>
        <w:rPr>
          <w:rFonts w:asciiTheme="majorHAnsi" w:hAnsiTheme="majorHAnsi" w:cstheme="majorHAnsi"/>
          <w:b/>
          <w:smallCaps/>
          <w:sz w:val="24"/>
          <w:szCs w:val="24"/>
        </w:rPr>
      </w:pPr>
      <w:r w:rsidRPr="00911F40">
        <w:rPr>
          <w:rFonts w:asciiTheme="majorHAnsi" w:hAnsiTheme="majorHAnsi" w:cstheme="majorHAnsi"/>
          <w:b/>
          <w:smallCaps/>
          <w:sz w:val="24"/>
          <w:szCs w:val="24"/>
        </w:rPr>
        <w:t xml:space="preserve">Interim Applications </w:t>
      </w:r>
    </w:p>
    <w:p w14:paraId="384DAE3D" w14:textId="77777777" w:rsidR="00D1639F" w:rsidRDefault="00D1639F" w:rsidP="00D1639F">
      <w:pPr>
        <w:pStyle w:val="ListParagraph"/>
        <w:autoSpaceDE w:val="0"/>
        <w:autoSpaceDN w:val="0"/>
        <w:adjustRightInd w:val="0"/>
        <w:spacing w:after="0" w:line="360" w:lineRule="auto"/>
        <w:jc w:val="both"/>
        <w:rPr>
          <w:rFonts w:asciiTheme="majorHAnsi" w:hAnsiTheme="majorHAnsi" w:cstheme="majorHAnsi"/>
          <w:sz w:val="24"/>
          <w:szCs w:val="24"/>
        </w:rPr>
      </w:pPr>
    </w:p>
    <w:p w14:paraId="54413BBA" w14:textId="634900D3" w:rsidR="003B6418" w:rsidRPr="00D1639F" w:rsidRDefault="003B6418" w:rsidP="00D1639F">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D1639F">
        <w:rPr>
          <w:rFonts w:asciiTheme="majorHAnsi" w:hAnsiTheme="majorHAnsi" w:cstheme="majorHAnsi"/>
          <w:iCs/>
          <w:sz w:val="24"/>
          <w:szCs w:val="24"/>
        </w:rPr>
        <w:t>Formerly, many procedural issues in the Administrative Court were dealt with informally</w:t>
      </w:r>
      <w:r w:rsidR="00D1639F">
        <w:rPr>
          <w:rFonts w:asciiTheme="majorHAnsi" w:hAnsiTheme="majorHAnsi" w:cstheme="majorHAnsi"/>
          <w:iCs/>
          <w:sz w:val="24"/>
          <w:szCs w:val="24"/>
        </w:rPr>
        <w:t>.</w:t>
      </w:r>
      <w:r w:rsidRPr="00D1639F">
        <w:rPr>
          <w:rFonts w:asciiTheme="majorHAnsi" w:hAnsiTheme="majorHAnsi" w:cstheme="majorHAnsi"/>
          <w:iCs/>
          <w:sz w:val="24"/>
          <w:szCs w:val="24"/>
        </w:rPr>
        <w:t xml:space="preserve"> There has been a significant change in approach and recent cases have stressed the need for procedural rigour and the need for formal applications to be made in good time. As the preface to the current ACO guide states:</w:t>
      </w:r>
    </w:p>
    <w:p w14:paraId="57F64365" w14:textId="1D845DCC" w:rsidR="003B6418" w:rsidRPr="00911F40" w:rsidRDefault="003B6418" w:rsidP="006F53FC">
      <w:pPr>
        <w:pStyle w:val="ListParagraph"/>
        <w:spacing w:after="0" w:line="360" w:lineRule="auto"/>
        <w:rPr>
          <w:rFonts w:asciiTheme="majorHAnsi" w:hAnsiTheme="majorHAnsi" w:cstheme="majorHAnsi"/>
          <w:iCs/>
          <w:sz w:val="24"/>
          <w:szCs w:val="24"/>
        </w:rPr>
      </w:pPr>
    </w:p>
    <w:p w14:paraId="7A0F285B" w14:textId="641275BB" w:rsidR="003B6418" w:rsidRPr="00911F40" w:rsidRDefault="003B6418" w:rsidP="006F53FC">
      <w:pPr>
        <w:pStyle w:val="ListParagraph"/>
        <w:spacing w:after="0" w:line="360" w:lineRule="auto"/>
        <w:rPr>
          <w:rFonts w:asciiTheme="majorHAnsi" w:hAnsiTheme="majorHAnsi" w:cstheme="majorHAnsi"/>
          <w:iCs/>
          <w:sz w:val="24"/>
          <w:szCs w:val="24"/>
        </w:rPr>
      </w:pPr>
      <w:r w:rsidRPr="00911F40">
        <w:rPr>
          <w:rFonts w:asciiTheme="majorHAnsi" w:hAnsiTheme="majorHAnsi" w:cstheme="majorHAnsi"/>
          <w:sz w:val="24"/>
          <w:szCs w:val="24"/>
        </w:rPr>
        <w:t xml:space="preserve">“The Court has had occasion recently to restate that the CPR are there to ensure fairness to all parties. The conduct of litigation in accordance with the rules is integral to the overriding objective set out in the first part of the CPR and to the wider public interest in the fair and efficient disposal of claims (R (AB) v Chief Constable of Hampshire &amp; Others [2019] EWHC 3461 (Admin)). This Guide sets out in clear terms what is expected. </w:t>
      </w:r>
      <w:r w:rsidRPr="00911F40">
        <w:rPr>
          <w:rFonts w:asciiTheme="majorHAnsi" w:hAnsiTheme="majorHAnsi" w:cstheme="majorHAnsi"/>
          <w:b/>
          <w:bCs/>
          <w:sz w:val="24"/>
          <w:szCs w:val="24"/>
        </w:rPr>
        <w:t>Parties may be subject to sanctions if they fail to comply</w:t>
      </w:r>
      <w:r w:rsidRPr="00911F40">
        <w:rPr>
          <w:rFonts w:asciiTheme="majorHAnsi" w:hAnsiTheme="majorHAnsi" w:cstheme="majorHAnsi"/>
          <w:sz w:val="24"/>
          <w:szCs w:val="24"/>
        </w:rPr>
        <w:t xml:space="preserve">” (added emphasis) </w:t>
      </w:r>
    </w:p>
    <w:p w14:paraId="6E253E21" w14:textId="659D208A" w:rsidR="003B6418" w:rsidRPr="00911F40" w:rsidRDefault="003B6418" w:rsidP="006F53FC">
      <w:pPr>
        <w:pStyle w:val="ListParagraph"/>
        <w:spacing w:after="0" w:line="360" w:lineRule="auto"/>
        <w:rPr>
          <w:rFonts w:asciiTheme="majorHAnsi" w:hAnsiTheme="majorHAnsi" w:cstheme="majorHAnsi"/>
          <w:iCs/>
          <w:sz w:val="24"/>
          <w:szCs w:val="24"/>
        </w:rPr>
      </w:pPr>
      <w:r w:rsidRPr="00911F40">
        <w:rPr>
          <w:rFonts w:asciiTheme="majorHAnsi" w:hAnsiTheme="majorHAnsi" w:cstheme="majorHAnsi"/>
          <w:iCs/>
          <w:sz w:val="24"/>
          <w:szCs w:val="24"/>
        </w:rPr>
        <w:t xml:space="preserve"> </w:t>
      </w:r>
    </w:p>
    <w:p w14:paraId="5D4F3756" w14:textId="6DB30815" w:rsidR="003B6418" w:rsidRPr="00911F40" w:rsidRDefault="003B6418" w:rsidP="006F53FC">
      <w:pPr>
        <w:pStyle w:val="ListParagraph"/>
        <w:spacing w:after="0" w:line="360" w:lineRule="auto"/>
        <w:rPr>
          <w:rFonts w:asciiTheme="majorHAnsi" w:hAnsiTheme="majorHAnsi" w:cstheme="majorHAnsi"/>
          <w:iCs/>
          <w:sz w:val="24"/>
          <w:szCs w:val="24"/>
        </w:rPr>
      </w:pPr>
      <w:r w:rsidRPr="00911F40">
        <w:rPr>
          <w:rFonts w:asciiTheme="majorHAnsi" w:hAnsiTheme="majorHAnsi" w:cstheme="majorHAnsi"/>
          <w:iCs/>
          <w:sz w:val="24"/>
          <w:szCs w:val="24"/>
        </w:rPr>
        <w:t>This is particularly important where a party is considering amending or adding to the way in which they put their case or they wish to adduce new evidence. In such case</w:t>
      </w:r>
      <w:r w:rsidR="00D1639F">
        <w:rPr>
          <w:rFonts w:asciiTheme="majorHAnsi" w:hAnsiTheme="majorHAnsi" w:cstheme="majorHAnsi"/>
          <w:iCs/>
          <w:sz w:val="24"/>
          <w:szCs w:val="24"/>
        </w:rPr>
        <w:t>s</w:t>
      </w:r>
      <w:r w:rsidRPr="00911F40">
        <w:rPr>
          <w:rFonts w:asciiTheme="majorHAnsi" w:hAnsiTheme="majorHAnsi" w:cstheme="majorHAnsi"/>
          <w:iCs/>
          <w:sz w:val="24"/>
          <w:szCs w:val="24"/>
        </w:rPr>
        <w:t xml:space="preserve"> it will be necessary to make a properly formulated application</w:t>
      </w:r>
      <w:r w:rsidR="006E447C" w:rsidRPr="00911F40">
        <w:rPr>
          <w:rFonts w:asciiTheme="majorHAnsi" w:hAnsiTheme="majorHAnsi" w:cstheme="majorHAnsi"/>
          <w:iCs/>
          <w:sz w:val="24"/>
          <w:szCs w:val="24"/>
        </w:rPr>
        <w:t xml:space="preserve"> </w:t>
      </w:r>
      <w:r w:rsidR="006E447C" w:rsidRPr="00911F40">
        <w:rPr>
          <w:rFonts w:asciiTheme="majorHAnsi" w:hAnsiTheme="majorHAnsi" w:cstheme="majorHAnsi"/>
          <w:i/>
          <w:sz w:val="24"/>
          <w:szCs w:val="24"/>
        </w:rPr>
        <w:t>R (Spahiu) v SSHD</w:t>
      </w:r>
      <w:r w:rsidR="006E447C" w:rsidRPr="00911F40">
        <w:rPr>
          <w:rFonts w:asciiTheme="majorHAnsi" w:hAnsiTheme="majorHAnsi" w:cstheme="majorHAnsi"/>
          <w:sz w:val="24"/>
          <w:szCs w:val="24"/>
        </w:rPr>
        <w:t xml:space="preserve"> [2019] 1 WLR 1297 para 25). </w:t>
      </w:r>
      <w:r w:rsidRPr="00911F40">
        <w:rPr>
          <w:rFonts w:asciiTheme="majorHAnsi" w:hAnsiTheme="majorHAnsi" w:cstheme="majorHAnsi"/>
          <w:iCs/>
          <w:sz w:val="24"/>
          <w:szCs w:val="24"/>
        </w:rPr>
        <w:t xml:space="preserve"> </w:t>
      </w:r>
    </w:p>
    <w:p w14:paraId="5961FEB2" w14:textId="77777777" w:rsidR="003B6418" w:rsidRPr="00911F40" w:rsidRDefault="003B6418" w:rsidP="006F53FC">
      <w:pPr>
        <w:pStyle w:val="ListParagraph"/>
        <w:spacing w:after="0" w:line="360" w:lineRule="auto"/>
        <w:rPr>
          <w:rFonts w:asciiTheme="majorHAnsi" w:hAnsiTheme="majorHAnsi" w:cstheme="majorHAnsi"/>
          <w:iCs/>
          <w:sz w:val="24"/>
          <w:szCs w:val="24"/>
        </w:rPr>
      </w:pPr>
    </w:p>
    <w:p w14:paraId="1A047892" w14:textId="77777777" w:rsidR="00987B73" w:rsidRPr="00987B73" w:rsidRDefault="00407CC0"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Pr>
          <w:rFonts w:asciiTheme="majorHAnsi" w:hAnsiTheme="majorHAnsi" w:cstheme="majorHAnsi"/>
          <w:iCs/>
          <w:sz w:val="24"/>
          <w:szCs w:val="24"/>
        </w:rPr>
        <w:t xml:space="preserve">Particular care must be taken with urgent interim relief applications, which must be made in accordance with the new Practice Direction 54B. Applicants must ensure that </w:t>
      </w:r>
      <w:r w:rsidR="00987B73">
        <w:rPr>
          <w:rFonts w:asciiTheme="majorHAnsi" w:hAnsiTheme="majorHAnsi" w:cstheme="majorHAnsi"/>
          <w:iCs/>
          <w:sz w:val="24"/>
          <w:szCs w:val="24"/>
        </w:rPr>
        <w:t xml:space="preserve">all matters material to the application have been investigated, that the application is supported by evidence, and that the need for urgency is explained. In without notice applications or </w:t>
      </w:r>
      <w:r w:rsidR="00987B73">
        <w:rPr>
          <w:rFonts w:asciiTheme="majorHAnsi" w:hAnsiTheme="majorHAnsi" w:cstheme="majorHAnsi"/>
          <w:iCs/>
          <w:sz w:val="24"/>
          <w:szCs w:val="24"/>
        </w:rPr>
        <w:lastRenderedPageBreak/>
        <w:t xml:space="preserve">those likely to be determined </w:t>
      </w:r>
      <w:r w:rsidR="00987B73">
        <w:rPr>
          <w:rFonts w:asciiTheme="majorHAnsi" w:hAnsiTheme="majorHAnsi" w:cstheme="majorHAnsi"/>
          <w:i/>
          <w:sz w:val="24"/>
          <w:szCs w:val="24"/>
        </w:rPr>
        <w:t>ex parte</w:t>
      </w:r>
      <w:r w:rsidR="00987B73">
        <w:rPr>
          <w:rFonts w:asciiTheme="majorHAnsi" w:hAnsiTheme="majorHAnsi" w:cstheme="majorHAnsi"/>
          <w:iCs/>
          <w:sz w:val="24"/>
          <w:szCs w:val="24"/>
        </w:rPr>
        <w:t xml:space="preserve">, the court must be made aware of all matters relevant to whether or not interim relief should be granted, including those undermining the application (cf paragraph 2 of Practice Direction 54B). </w:t>
      </w:r>
    </w:p>
    <w:p w14:paraId="39C8A1EF" w14:textId="72DCC1D2" w:rsidR="00407CC0" w:rsidRDefault="00407CC0" w:rsidP="00987B73">
      <w:pPr>
        <w:pStyle w:val="ListParagraph"/>
        <w:autoSpaceDE w:val="0"/>
        <w:autoSpaceDN w:val="0"/>
        <w:adjustRightInd w:val="0"/>
        <w:spacing w:after="0" w:line="360" w:lineRule="auto"/>
        <w:jc w:val="both"/>
        <w:rPr>
          <w:rFonts w:asciiTheme="majorHAnsi" w:hAnsiTheme="majorHAnsi" w:cstheme="majorHAnsi"/>
          <w:sz w:val="24"/>
          <w:szCs w:val="24"/>
        </w:rPr>
      </w:pPr>
      <w:r>
        <w:rPr>
          <w:rFonts w:asciiTheme="majorHAnsi" w:hAnsiTheme="majorHAnsi" w:cstheme="majorHAnsi"/>
          <w:iCs/>
          <w:sz w:val="24"/>
          <w:szCs w:val="24"/>
        </w:rPr>
        <w:t xml:space="preserve"> </w:t>
      </w:r>
    </w:p>
    <w:p w14:paraId="6E1471EA" w14:textId="77777777" w:rsidR="00407CC0" w:rsidRPr="00911F40" w:rsidRDefault="00407CC0" w:rsidP="00987B73">
      <w:pPr>
        <w:pStyle w:val="ListParagraph"/>
        <w:spacing w:after="0" w:line="360" w:lineRule="auto"/>
        <w:rPr>
          <w:rFonts w:asciiTheme="majorHAnsi" w:hAnsiTheme="majorHAnsi" w:cstheme="majorHAnsi"/>
          <w:i/>
          <w:sz w:val="24"/>
          <w:szCs w:val="24"/>
        </w:rPr>
      </w:pPr>
      <w:r w:rsidRPr="00911F40">
        <w:rPr>
          <w:rFonts w:asciiTheme="majorHAnsi" w:hAnsiTheme="majorHAnsi" w:cstheme="majorHAnsi"/>
          <w:i/>
          <w:sz w:val="24"/>
          <w:szCs w:val="24"/>
        </w:rPr>
        <w:t>Further evidence and amendment of the Claimant’s case</w:t>
      </w:r>
    </w:p>
    <w:p w14:paraId="4DAAC203" w14:textId="77777777" w:rsidR="00407CC0" w:rsidRDefault="00407CC0" w:rsidP="00987B73">
      <w:pPr>
        <w:pStyle w:val="ListParagraph"/>
        <w:autoSpaceDE w:val="0"/>
        <w:autoSpaceDN w:val="0"/>
        <w:adjustRightInd w:val="0"/>
        <w:spacing w:after="0" w:line="360" w:lineRule="auto"/>
        <w:jc w:val="both"/>
        <w:rPr>
          <w:rFonts w:asciiTheme="majorHAnsi" w:hAnsiTheme="majorHAnsi" w:cstheme="majorHAnsi"/>
          <w:sz w:val="24"/>
          <w:szCs w:val="24"/>
        </w:rPr>
      </w:pPr>
    </w:p>
    <w:p w14:paraId="75607034" w14:textId="60F90E69" w:rsidR="00593FB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Part 54</w:t>
      </w:r>
      <w:r w:rsidR="006F53FC" w:rsidRPr="00911F40">
        <w:rPr>
          <w:rFonts w:asciiTheme="majorHAnsi" w:hAnsiTheme="majorHAnsi" w:cstheme="majorHAnsi"/>
          <w:sz w:val="24"/>
          <w:szCs w:val="24"/>
        </w:rPr>
        <w:t xml:space="preserve"> CPR</w:t>
      </w:r>
      <w:r w:rsidRPr="00911F40">
        <w:rPr>
          <w:rFonts w:asciiTheme="majorHAnsi" w:hAnsiTheme="majorHAnsi" w:cstheme="majorHAnsi"/>
          <w:sz w:val="24"/>
          <w:szCs w:val="24"/>
        </w:rPr>
        <w:t xml:space="preserve"> contemplates that the evidence and issues will crystallise </w:t>
      </w:r>
      <w:r w:rsidR="00593FBC" w:rsidRPr="00911F40">
        <w:rPr>
          <w:rFonts w:asciiTheme="majorHAnsi" w:hAnsiTheme="majorHAnsi" w:cstheme="majorHAnsi"/>
          <w:sz w:val="24"/>
          <w:szCs w:val="24"/>
        </w:rPr>
        <w:t>at the time of the Defendant’s Detailed G</w:t>
      </w:r>
      <w:r w:rsidRPr="00911F40">
        <w:rPr>
          <w:rFonts w:asciiTheme="majorHAnsi" w:hAnsiTheme="majorHAnsi" w:cstheme="majorHAnsi"/>
          <w:sz w:val="24"/>
          <w:szCs w:val="24"/>
        </w:rPr>
        <w:t xml:space="preserve">rounds and evidence. </w:t>
      </w:r>
    </w:p>
    <w:p w14:paraId="6FA18212" w14:textId="77777777" w:rsidR="00593FBC" w:rsidRPr="00911F40" w:rsidRDefault="00593FBC" w:rsidP="00593FBC">
      <w:pPr>
        <w:pStyle w:val="ListParagraph"/>
        <w:autoSpaceDE w:val="0"/>
        <w:autoSpaceDN w:val="0"/>
        <w:adjustRightInd w:val="0"/>
        <w:spacing w:after="0" w:line="360" w:lineRule="auto"/>
        <w:jc w:val="both"/>
        <w:rPr>
          <w:rFonts w:asciiTheme="majorHAnsi" w:hAnsiTheme="majorHAnsi" w:cstheme="majorHAnsi"/>
          <w:sz w:val="24"/>
          <w:szCs w:val="24"/>
        </w:rPr>
      </w:pPr>
    </w:p>
    <w:p w14:paraId="1DF7D8AD" w14:textId="0FBD6392" w:rsidR="006F53FC" w:rsidRPr="00911F40" w:rsidRDefault="00E94324" w:rsidP="00593FB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rules do not provide for the Claimant to </w:t>
      </w:r>
      <w:r w:rsidR="006F53FC" w:rsidRPr="00911F40">
        <w:rPr>
          <w:rFonts w:asciiTheme="majorHAnsi" w:hAnsiTheme="majorHAnsi" w:cstheme="majorHAnsi"/>
          <w:sz w:val="24"/>
          <w:szCs w:val="24"/>
        </w:rPr>
        <w:t xml:space="preserve">serve evidence in response and in many cases </w:t>
      </w:r>
      <w:r w:rsidRPr="00911F40">
        <w:rPr>
          <w:rFonts w:asciiTheme="majorHAnsi" w:hAnsiTheme="majorHAnsi" w:cstheme="majorHAnsi"/>
          <w:sz w:val="24"/>
          <w:szCs w:val="24"/>
        </w:rPr>
        <w:t>this will be unnecessary</w:t>
      </w:r>
      <w:r w:rsidR="006F53FC" w:rsidRPr="00911F40">
        <w:rPr>
          <w:rFonts w:asciiTheme="majorHAnsi" w:hAnsiTheme="majorHAnsi" w:cstheme="majorHAnsi"/>
          <w:sz w:val="24"/>
          <w:szCs w:val="24"/>
        </w:rPr>
        <w:t>, although increasingly provision is made at permission stage for further evidence and a reply, and it is prudent for Claimants to seek this from the outset in order to preserve their positions and to enable them to address unexpected issues without the need for a further application</w:t>
      </w:r>
      <w:r w:rsidRPr="00911F40">
        <w:rPr>
          <w:rFonts w:asciiTheme="majorHAnsi" w:hAnsiTheme="majorHAnsi" w:cstheme="majorHAnsi"/>
          <w:sz w:val="24"/>
          <w:szCs w:val="24"/>
        </w:rPr>
        <w:t xml:space="preserve">. </w:t>
      </w:r>
    </w:p>
    <w:p w14:paraId="1DF7D8AE" w14:textId="77777777" w:rsidR="006F53FC" w:rsidRPr="00911F40" w:rsidRDefault="006F53FC" w:rsidP="00593FBC">
      <w:pPr>
        <w:pStyle w:val="ListParagraph"/>
        <w:autoSpaceDE w:val="0"/>
        <w:autoSpaceDN w:val="0"/>
        <w:adjustRightInd w:val="0"/>
        <w:spacing w:after="0" w:line="360" w:lineRule="auto"/>
        <w:jc w:val="both"/>
        <w:rPr>
          <w:rFonts w:asciiTheme="majorHAnsi" w:hAnsiTheme="majorHAnsi" w:cstheme="majorHAnsi"/>
          <w:sz w:val="24"/>
          <w:szCs w:val="24"/>
        </w:rPr>
      </w:pPr>
    </w:p>
    <w:p w14:paraId="1DF7D8AF" w14:textId="77777777" w:rsidR="00E94324" w:rsidRPr="00911F40" w:rsidRDefault="00E94324" w:rsidP="00593FB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Permission may be given for further evidence under Part 54.16.</w:t>
      </w:r>
    </w:p>
    <w:p w14:paraId="1DF7D8B0" w14:textId="77777777" w:rsidR="006F53FC" w:rsidRPr="00911F40" w:rsidRDefault="006F53FC" w:rsidP="00593FBC">
      <w:pPr>
        <w:pStyle w:val="ListParagraph"/>
        <w:spacing w:after="0" w:line="360" w:lineRule="auto"/>
        <w:rPr>
          <w:rFonts w:asciiTheme="majorHAnsi" w:hAnsiTheme="majorHAnsi" w:cstheme="majorHAnsi"/>
          <w:sz w:val="24"/>
          <w:szCs w:val="24"/>
        </w:rPr>
      </w:pPr>
    </w:p>
    <w:p w14:paraId="4574F491" w14:textId="77777777" w:rsidR="00593FBC" w:rsidRPr="00911F40" w:rsidRDefault="00E94324" w:rsidP="00593FB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Permission is specifically required for any party to rely on expert evidence (even expert evidence relied on in the original grounds). This will not normally be heard live but CPR Part 35.4</w:t>
      </w:r>
      <w:r w:rsidR="00593FBC" w:rsidRPr="00911F40">
        <w:rPr>
          <w:rFonts w:asciiTheme="majorHAnsi" w:hAnsiTheme="majorHAnsi" w:cstheme="majorHAnsi"/>
          <w:sz w:val="24"/>
          <w:szCs w:val="24"/>
        </w:rPr>
        <w:t>(1)</w:t>
      </w:r>
      <w:r w:rsidRPr="00911F40">
        <w:rPr>
          <w:rFonts w:asciiTheme="majorHAnsi" w:hAnsiTheme="majorHAnsi" w:cstheme="majorHAnsi"/>
          <w:sz w:val="24"/>
          <w:szCs w:val="24"/>
        </w:rPr>
        <w:t xml:space="preserve"> still applies: </w:t>
      </w:r>
      <w:r w:rsidRPr="00911F40">
        <w:rPr>
          <w:rFonts w:asciiTheme="majorHAnsi" w:hAnsiTheme="majorHAnsi" w:cstheme="majorHAnsi"/>
          <w:i/>
          <w:sz w:val="24"/>
          <w:szCs w:val="24"/>
        </w:rPr>
        <w:t>“no party may call an expert or put in evidence an expert’s report without the court’s permission”</w:t>
      </w:r>
      <w:r w:rsidR="00593FBC" w:rsidRPr="00911F40">
        <w:rPr>
          <w:rFonts w:asciiTheme="majorHAnsi" w:hAnsiTheme="majorHAnsi" w:cstheme="majorHAnsi"/>
          <w:i/>
          <w:sz w:val="24"/>
          <w:szCs w:val="24"/>
        </w:rPr>
        <w:t xml:space="preserve"> (</w:t>
      </w:r>
      <w:r w:rsidRPr="00911F40">
        <w:rPr>
          <w:rFonts w:asciiTheme="majorHAnsi" w:hAnsiTheme="majorHAnsi" w:cstheme="majorHAnsi"/>
          <w:i/>
          <w:sz w:val="24"/>
          <w:szCs w:val="24"/>
        </w:rPr>
        <w:t>R</w:t>
      </w:r>
      <w:r w:rsidR="006F53FC" w:rsidRPr="00911F40">
        <w:rPr>
          <w:rFonts w:asciiTheme="majorHAnsi" w:hAnsiTheme="majorHAnsi" w:cstheme="majorHAnsi"/>
          <w:i/>
          <w:sz w:val="24"/>
          <w:szCs w:val="24"/>
        </w:rPr>
        <w:t xml:space="preserve"> (</w:t>
      </w:r>
      <w:r w:rsidRPr="00911F40">
        <w:rPr>
          <w:rFonts w:asciiTheme="majorHAnsi" w:hAnsiTheme="majorHAnsi" w:cstheme="majorHAnsi"/>
          <w:i/>
          <w:sz w:val="24"/>
          <w:szCs w:val="24"/>
        </w:rPr>
        <w:t>Kemp</w:t>
      </w:r>
      <w:r w:rsidR="006F53FC"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v Denbighshire Local Health Board</w:t>
      </w:r>
      <w:r w:rsidR="00593FBC" w:rsidRPr="00911F40">
        <w:rPr>
          <w:rFonts w:asciiTheme="majorHAnsi" w:hAnsiTheme="majorHAnsi" w:cstheme="majorHAnsi"/>
          <w:sz w:val="24"/>
          <w:szCs w:val="24"/>
        </w:rPr>
        <w:t xml:space="preserve"> [2006] EWHC 181 (Admin);</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 xml:space="preserve">R (HK Bulgaria) v SSHD </w:t>
      </w:r>
      <w:r w:rsidRPr="00911F40">
        <w:rPr>
          <w:rFonts w:asciiTheme="majorHAnsi" w:hAnsiTheme="majorHAnsi" w:cstheme="majorHAnsi"/>
          <w:sz w:val="24"/>
          <w:szCs w:val="24"/>
        </w:rPr>
        <w:t xml:space="preserve"> [2016] EWHC 857 (Admin), Garnham J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10</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18</w:t>
      </w:r>
      <w:r w:rsidR="006F53FC" w:rsidRPr="00911F40">
        <w:rPr>
          <w:rFonts w:asciiTheme="majorHAnsi" w:hAnsiTheme="majorHAnsi" w:cstheme="majorHAnsi"/>
          <w:sz w:val="24"/>
          <w:szCs w:val="24"/>
        </w:rPr>
        <w:t>]</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w:t>
      </w:r>
      <w:r w:rsidR="006F53FC"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 </w:t>
      </w:r>
    </w:p>
    <w:p w14:paraId="32D74687" w14:textId="77777777" w:rsidR="00593FBC" w:rsidRPr="00911F40" w:rsidRDefault="00593FBC" w:rsidP="00593FBC">
      <w:pPr>
        <w:pStyle w:val="ListParagraph"/>
        <w:rPr>
          <w:rFonts w:asciiTheme="majorHAnsi" w:hAnsiTheme="majorHAnsi" w:cstheme="majorHAnsi"/>
          <w:sz w:val="24"/>
          <w:szCs w:val="24"/>
        </w:rPr>
      </w:pPr>
    </w:p>
    <w:p w14:paraId="1DF7D8B1" w14:textId="71335429" w:rsidR="00E94324" w:rsidRPr="00911F40" w:rsidRDefault="0031680F" w:rsidP="00D75867">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In </w:t>
      </w:r>
      <w:r w:rsidRPr="00911F40">
        <w:rPr>
          <w:rFonts w:asciiTheme="majorHAnsi" w:hAnsiTheme="majorHAnsi" w:cstheme="majorHAnsi"/>
          <w:i/>
          <w:iCs/>
          <w:sz w:val="24"/>
          <w:szCs w:val="24"/>
        </w:rPr>
        <w:t>R (The Law Society) v The Lord Chancellor</w:t>
      </w:r>
      <w:r w:rsidRPr="00911F40">
        <w:rPr>
          <w:rFonts w:asciiTheme="majorHAnsi" w:hAnsiTheme="majorHAnsi" w:cstheme="majorHAnsi"/>
          <w:sz w:val="24"/>
          <w:szCs w:val="24"/>
        </w:rPr>
        <w:t xml:space="preserve"> [2018] EWHC 2094 (Admin) the Divisional Court reaffirmed that expert evidence is “seldom reasonably required” in judicial review proceedings, because the court is not assessing the merits of the decision challenged. </w:t>
      </w:r>
      <w:r w:rsidR="002004BA">
        <w:rPr>
          <w:rFonts w:asciiTheme="majorHAnsi" w:hAnsiTheme="majorHAnsi" w:cstheme="majorHAnsi"/>
          <w:sz w:val="24"/>
          <w:szCs w:val="24"/>
        </w:rPr>
        <w:t xml:space="preserve">Expert evidence may however be required to enable the court to appreciate the technical basis of a decision challenged on irrationality grounds: </w:t>
      </w:r>
      <w:r w:rsidR="002004BA">
        <w:rPr>
          <w:rFonts w:asciiTheme="majorHAnsi" w:hAnsiTheme="majorHAnsi" w:cstheme="majorHAnsi"/>
          <w:i/>
          <w:iCs/>
          <w:sz w:val="24"/>
          <w:szCs w:val="24"/>
        </w:rPr>
        <w:t xml:space="preserve">R (Transport Action Network Ltd) v Secretary of State for Transport </w:t>
      </w:r>
      <w:r w:rsidR="002004BA">
        <w:rPr>
          <w:rFonts w:asciiTheme="majorHAnsi" w:hAnsiTheme="majorHAnsi" w:cstheme="majorHAnsi"/>
          <w:sz w:val="24"/>
          <w:szCs w:val="24"/>
        </w:rPr>
        <w:t>[2021] EWHC 2095 (Admin). Witness statements which amount to expert evidence of opinion will be given little weight</w:t>
      </w:r>
      <w:r w:rsidR="00407CC0">
        <w:rPr>
          <w:rFonts w:asciiTheme="majorHAnsi" w:hAnsiTheme="majorHAnsi" w:cstheme="majorHAnsi"/>
          <w:sz w:val="24"/>
          <w:szCs w:val="24"/>
        </w:rPr>
        <w:t xml:space="preserve">: </w:t>
      </w:r>
      <w:r w:rsidR="00407CC0">
        <w:rPr>
          <w:rFonts w:asciiTheme="majorHAnsi" w:hAnsiTheme="majorHAnsi" w:cstheme="majorHAnsi"/>
          <w:i/>
          <w:iCs/>
          <w:sz w:val="24"/>
          <w:szCs w:val="24"/>
        </w:rPr>
        <w:t>R (Gardner &amp; Anor) v Secretary of State for Health &amp; Ors</w:t>
      </w:r>
      <w:r w:rsidR="00407CC0">
        <w:rPr>
          <w:rFonts w:asciiTheme="majorHAnsi" w:hAnsiTheme="majorHAnsi" w:cstheme="majorHAnsi"/>
          <w:sz w:val="24"/>
          <w:szCs w:val="24"/>
        </w:rPr>
        <w:t xml:space="preserve"> [2021] EWHC 2946.</w:t>
      </w:r>
    </w:p>
    <w:p w14:paraId="1DF7D8B2" w14:textId="77777777" w:rsidR="006F53FC" w:rsidRPr="00911F40" w:rsidRDefault="006F53FC" w:rsidP="006F53FC">
      <w:pPr>
        <w:pStyle w:val="ListParagraph"/>
        <w:rPr>
          <w:rFonts w:asciiTheme="majorHAnsi" w:hAnsiTheme="majorHAnsi" w:cstheme="majorHAnsi"/>
          <w:sz w:val="24"/>
          <w:szCs w:val="24"/>
        </w:rPr>
      </w:pPr>
    </w:p>
    <w:p w14:paraId="1DF7D8B3" w14:textId="77777777" w:rsidR="006F53F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lang w:val="en-US"/>
        </w:rPr>
        <w:lastRenderedPageBreak/>
        <w:t>In practice most applications to admit further evidence are dealt with by consent. The parties will often provide the court with evidence bringing the facts up to da</w:t>
      </w:r>
      <w:r w:rsidR="006F53FC" w:rsidRPr="00911F40">
        <w:rPr>
          <w:rFonts w:asciiTheme="majorHAnsi" w:hAnsiTheme="majorHAnsi" w:cstheme="majorHAnsi"/>
          <w:sz w:val="24"/>
          <w:szCs w:val="24"/>
          <w:lang w:val="en-US"/>
        </w:rPr>
        <w:t>te at the time of the hearing. Indeed, t</w:t>
      </w:r>
      <w:r w:rsidRPr="00911F40">
        <w:rPr>
          <w:rFonts w:asciiTheme="majorHAnsi" w:hAnsiTheme="majorHAnsi" w:cstheme="majorHAnsi"/>
          <w:sz w:val="24"/>
          <w:szCs w:val="24"/>
          <w:lang w:val="en-US"/>
        </w:rPr>
        <w:t xml:space="preserve">hey may be under a duty to do so to comply with the duty of candour. </w:t>
      </w:r>
    </w:p>
    <w:p w14:paraId="1DF7D8B4" w14:textId="77777777" w:rsidR="006F53FC" w:rsidRPr="00911F40" w:rsidRDefault="006F53FC" w:rsidP="006F53FC">
      <w:pPr>
        <w:pStyle w:val="ListParagraph"/>
        <w:rPr>
          <w:rFonts w:asciiTheme="majorHAnsi" w:hAnsiTheme="majorHAnsi" w:cstheme="majorHAnsi"/>
          <w:i/>
          <w:sz w:val="24"/>
          <w:szCs w:val="24"/>
        </w:rPr>
      </w:pPr>
    </w:p>
    <w:p w14:paraId="1DF7D8B6" w14:textId="4AF5AF63" w:rsidR="006F53FC" w:rsidRPr="00911F40" w:rsidRDefault="00E94324" w:rsidP="00D75867">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It may be necessary to change the focus of the Claimant’s case following receipt of the Defendant’s</w:t>
      </w:r>
      <w:r w:rsidR="006F53FC" w:rsidRPr="00911F40">
        <w:rPr>
          <w:rFonts w:asciiTheme="majorHAnsi" w:hAnsiTheme="majorHAnsi" w:cstheme="majorHAnsi"/>
          <w:sz w:val="24"/>
          <w:szCs w:val="24"/>
        </w:rPr>
        <w:t xml:space="preserve"> Detailed Grounds or</w:t>
      </w:r>
      <w:r w:rsidRPr="00911F40">
        <w:rPr>
          <w:rFonts w:asciiTheme="majorHAnsi" w:hAnsiTheme="majorHAnsi" w:cstheme="majorHAnsi"/>
          <w:sz w:val="24"/>
          <w:szCs w:val="24"/>
        </w:rPr>
        <w:t xml:space="preserve"> evidence</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or subsequently as the case develops (for example</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where a decision or further decision is made in a community care case).</w:t>
      </w:r>
      <w:r w:rsidR="00593FBC" w:rsidRPr="00911F40">
        <w:rPr>
          <w:rFonts w:asciiTheme="majorHAnsi" w:hAnsiTheme="majorHAnsi" w:cstheme="majorHAnsi"/>
          <w:sz w:val="24"/>
          <w:szCs w:val="24"/>
        </w:rPr>
        <w:t xml:space="preserve"> </w:t>
      </w:r>
    </w:p>
    <w:p w14:paraId="5CBE1C7C" w14:textId="77777777" w:rsidR="00593FBC" w:rsidRPr="00911F40" w:rsidRDefault="00593FBC" w:rsidP="00593FBC">
      <w:pPr>
        <w:pStyle w:val="ListParagraph"/>
        <w:rPr>
          <w:rFonts w:asciiTheme="majorHAnsi" w:hAnsiTheme="majorHAnsi" w:cstheme="majorHAnsi"/>
          <w:sz w:val="24"/>
          <w:szCs w:val="24"/>
        </w:rPr>
      </w:pPr>
    </w:p>
    <w:p w14:paraId="1DF7D8B7" w14:textId="74D9BA2A" w:rsidR="006F53F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 Claimant wishes to rely on grounds other than those for which permission was granted then </w:t>
      </w:r>
      <w:r w:rsidR="00593FBC" w:rsidRPr="00911F40">
        <w:rPr>
          <w:rFonts w:asciiTheme="majorHAnsi" w:hAnsiTheme="majorHAnsi" w:cstheme="majorHAnsi"/>
          <w:sz w:val="24"/>
          <w:szCs w:val="24"/>
        </w:rPr>
        <w:t>s/he</w:t>
      </w:r>
      <w:r w:rsidRPr="00911F40">
        <w:rPr>
          <w:rFonts w:asciiTheme="majorHAnsi" w:hAnsiTheme="majorHAnsi" w:cstheme="majorHAnsi"/>
          <w:sz w:val="24"/>
          <w:szCs w:val="24"/>
        </w:rPr>
        <w:t xml:space="preserve"> require</w:t>
      </w:r>
      <w:r w:rsidR="00593FBC" w:rsidRPr="00911F40">
        <w:rPr>
          <w:rFonts w:asciiTheme="majorHAnsi" w:hAnsiTheme="majorHAnsi" w:cstheme="majorHAnsi"/>
          <w:sz w:val="24"/>
          <w:szCs w:val="24"/>
        </w:rPr>
        <w:t>s</w:t>
      </w:r>
      <w:r w:rsidRPr="00911F40">
        <w:rPr>
          <w:rFonts w:asciiTheme="majorHAnsi" w:hAnsiTheme="majorHAnsi" w:cstheme="majorHAnsi"/>
          <w:sz w:val="24"/>
          <w:szCs w:val="24"/>
        </w:rPr>
        <w:t xml:space="preserve"> permission and must (Part 54.15 and PD</w:t>
      </w:r>
      <w:r w:rsidR="00593FBC" w:rsidRPr="00911F40">
        <w:rPr>
          <w:rFonts w:asciiTheme="majorHAnsi" w:hAnsiTheme="majorHAnsi" w:cstheme="majorHAnsi"/>
          <w:sz w:val="24"/>
          <w:szCs w:val="24"/>
        </w:rPr>
        <w:t xml:space="preserve"> 54A</w:t>
      </w:r>
      <w:r w:rsidRPr="00911F40">
        <w:rPr>
          <w:rFonts w:asciiTheme="majorHAnsi" w:hAnsiTheme="majorHAnsi" w:cstheme="majorHAnsi"/>
          <w:sz w:val="24"/>
          <w:szCs w:val="24"/>
        </w:rPr>
        <w:t xml:space="preserve"> </w:t>
      </w:r>
      <w:r w:rsidR="00593FBC" w:rsidRPr="00911F40">
        <w:rPr>
          <w:rFonts w:asciiTheme="majorHAnsi" w:hAnsiTheme="majorHAnsi" w:cstheme="majorHAnsi"/>
          <w:sz w:val="24"/>
          <w:szCs w:val="24"/>
        </w:rPr>
        <w:t>at [</w:t>
      </w:r>
      <w:r w:rsidRPr="00911F40">
        <w:rPr>
          <w:rFonts w:asciiTheme="majorHAnsi" w:hAnsiTheme="majorHAnsi" w:cstheme="majorHAnsi"/>
          <w:sz w:val="24"/>
          <w:szCs w:val="24"/>
        </w:rPr>
        <w:t>11</w:t>
      </w:r>
      <w:r w:rsidR="00593FBC" w:rsidRPr="00911F40">
        <w:rPr>
          <w:rFonts w:asciiTheme="majorHAnsi" w:hAnsiTheme="majorHAnsi" w:cstheme="majorHAnsi"/>
          <w:sz w:val="24"/>
          <w:szCs w:val="24"/>
        </w:rPr>
        <w:t>.1]</w:t>
      </w:r>
      <w:r w:rsidRPr="00911F40">
        <w:rPr>
          <w:rFonts w:asciiTheme="majorHAnsi" w:hAnsiTheme="majorHAnsi" w:cstheme="majorHAnsi"/>
          <w:sz w:val="24"/>
          <w:szCs w:val="24"/>
        </w:rPr>
        <w:t>) give not less than 7 clear days</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notice</w:t>
      </w:r>
      <w:r w:rsidR="00593FBC" w:rsidRPr="00911F40">
        <w:rPr>
          <w:rFonts w:asciiTheme="majorHAnsi" w:hAnsiTheme="majorHAnsi" w:cstheme="majorHAnsi"/>
          <w:sz w:val="24"/>
          <w:szCs w:val="24"/>
        </w:rPr>
        <w:t xml:space="preserve"> </w:t>
      </w:r>
      <w:r w:rsidR="00593FBC" w:rsidRPr="00911F40">
        <w:rPr>
          <w:rFonts w:asciiTheme="majorHAnsi" w:hAnsiTheme="majorHAnsi" w:cstheme="majorHAnsi"/>
          <w:i/>
          <w:sz w:val="24"/>
          <w:szCs w:val="24"/>
        </w:rPr>
        <w:t>“to the court and to any other person served with the claim form”</w:t>
      </w:r>
      <w:r w:rsidRPr="00911F40">
        <w:rPr>
          <w:rFonts w:asciiTheme="majorHAnsi" w:hAnsiTheme="majorHAnsi" w:cstheme="majorHAnsi"/>
          <w:sz w:val="24"/>
          <w:szCs w:val="24"/>
        </w:rPr>
        <w:t xml:space="preserve"> before the hearing date (or warned date). </w:t>
      </w:r>
      <w:r w:rsidR="00C90678" w:rsidRPr="00911F40">
        <w:rPr>
          <w:rFonts w:asciiTheme="majorHAnsi" w:hAnsiTheme="majorHAnsi" w:cstheme="majorHAnsi"/>
          <w:sz w:val="24"/>
          <w:szCs w:val="24"/>
        </w:rPr>
        <w:t xml:space="preserve">The ACO Guide states that permission must be sought by making an application under CPR Part 23 (para 9.2) and see further para 21 below. </w:t>
      </w:r>
    </w:p>
    <w:p w14:paraId="1DF7D8B8" w14:textId="77777777" w:rsidR="006F53FC" w:rsidRPr="00911F40" w:rsidRDefault="006F53FC" w:rsidP="006F53FC">
      <w:pPr>
        <w:pStyle w:val="ListParagraph"/>
        <w:rPr>
          <w:rFonts w:asciiTheme="majorHAnsi" w:hAnsiTheme="majorHAnsi" w:cstheme="majorHAnsi"/>
          <w:sz w:val="24"/>
          <w:szCs w:val="24"/>
        </w:rPr>
      </w:pPr>
    </w:p>
    <w:p w14:paraId="1DF7D8B9" w14:textId="04EC1D0E" w:rsidR="006F53F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 If the change goes further than adding to the grounds for the challenge to the original decision (for example</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if there has been a fresh decision or failure to deal with new material) then an amendment to the grounds may be necessary: (Munby J in </w:t>
      </w:r>
      <w:bookmarkStart w:id="0" w:name="para26"/>
      <w:r w:rsidRPr="00911F40">
        <w:rPr>
          <w:rFonts w:asciiTheme="majorHAnsi" w:hAnsiTheme="majorHAnsi" w:cstheme="majorHAnsi"/>
          <w:i/>
          <w:iCs/>
          <w:sz w:val="24"/>
          <w:szCs w:val="24"/>
        </w:rPr>
        <w:t xml:space="preserve">R (P, W, F and G) v Essex County Council </w:t>
      </w:r>
      <w:r w:rsidRPr="00911F40">
        <w:rPr>
          <w:rFonts w:asciiTheme="majorHAnsi" w:hAnsiTheme="majorHAnsi" w:cstheme="majorHAnsi"/>
          <w:sz w:val="24"/>
          <w:szCs w:val="24"/>
        </w:rPr>
        <w:t>[2004] EWHC 2027 (Admin)</w:t>
      </w:r>
      <w:bookmarkEnd w:id="0"/>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(MB) v Lambeth BC</w:t>
      </w:r>
      <w:r w:rsidRPr="00911F40">
        <w:rPr>
          <w:rFonts w:asciiTheme="majorHAnsi" w:hAnsiTheme="majorHAnsi" w:cstheme="majorHAnsi"/>
          <w:sz w:val="24"/>
          <w:szCs w:val="24"/>
        </w:rPr>
        <w:t xml:space="preserve">  [2006] EWHC 639, </w:t>
      </w:r>
      <w:r w:rsidRPr="00911F40">
        <w:rPr>
          <w:rFonts w:asciiTheme="majorHAnsi" w:hAnsiTheme="majorHAnsi" w:cstheme="majorHAnsi"/>
          <w:i/>
          <w:sz w:val="24"/>
          <w:szCs w:val="24"/>
        </w:rPr>
        <w:t>R (F) v Wirral BC)</w:t>
      </w:r>
      <w:r w:rsidRPr="00911F40">
        <w:rPr>
          <w:rFonts w:asciiTheme="majorHAnsi" w:hAnsiTheme="majorHAnsi" w:cstheme="majorHAnsi"/>
          <w:sz w:val="24"/>
          <w:szCs w:val="24"/>
        </w:rPr>
        <w:t xml:space="preserve"> [2009] EWHC 1626, </w:t>
      </w:r>
      <w:r w:rsidRPr="00911F40">
        <w:rPr>
          <w:rFonts w:asciiTheme="majorHAnsi" w:hAnsiTheme="majorHAnsi" w:cstheme="majorHAnsi"/>
          <w:i/>
          <w:sz w:val="24"/>
          <w:szCs w:val="24"/>
        </w:rPr>
        <w:t xml:space="preserve">R (O) v Hammersmith &amp; Fulham BC </w:t>
      </w:r>
      <w:r w:rsidRPr="00911F40">
        <w:rPr>
          <w:rFonts w:asciiTheme="majorHAnsi" w:hAnsiTheme="majorHAnsi" w:cstheme="majorHAnsi"/>
          <w:sz w:val="24"/>
          <w:szCs w:val="24"/>
        </w:rPr>
        <w:t xml:space="preserve">[2012] 1 WLR 1057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18</w:t>
      </w:r>
      <w:r w:rsidR="006F53FC" w:rsidRPr="00911F40">
        <w:rPr>
          <w:rFonts w:asciiTheme="majorHAnsi" w:hAnsiTheme="majorHAnsi" w:cstheme="majorHAnsi"/>
          <w:sz w:val="24"/>
          <w:szCs w:val="24"/>
        </w:rPr>
        <w:t>]</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At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35</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of the </w:t>
      </w:r>
      <w:r w:rsidRPr="00911F40">
        <w:rPr>
          <w:rFonts w:asciiTheme="majorHAnsi" w:hAnsiTheme="majorHAnsi" w:cstheme="majorHAnsi"/>
          <w:i/>
          <w:sz w:val="24"/>
          <w:szCs w:val="24"/>
        </w:rPr>
        <w:t>Essex</w:t>
      </w:r>
      <w:r w:rsidRPr="00911F40">
        <w:rPr>
          <w:rFonts w:asciiTheme="majorHAnsi" w:hAnsiTheme="majorHAnsi" w:cstheme="majorHAnsi"/>
          <w:sz w:val="24"/>
          <w:szCs w:val="24"/>
        </w:rPr>
        <w:t xml:space="preserve"> case Munby J </w:t>
      </w:r>
      <w:r w:rsidR="006F53FC" w:rsidRPr="00911F40">
        <w:rPr>
          <w:rFonts w:asciiTheme="majorHAnsi" w:hAnsiTheme="majorHAnsi" w:cstheme="majorHAnsi"/>
          <w:sz w:val="24"/>
          <w:szCs w:val="24"/>
        </w:rPr>
        <w:t xml:space="preserve">(as he then was) </w:t>
      </w:r>
      <w:r w:rsidRPr="00911F40">
        <w:rPr>
          <w:rFonts w:asciiTheme="majorHAnsi" w:hAnsiTheme="majorHAnsi" w:cstheme="majorHAnsi"/>
          <w:sz w:val="24"/>
          <w:szCs w:val="24"/>
        </w:rPr>
        <w:t xml:space="preserve">said: </w:t>
      </w:r>
    </w:p>
    <w:p w14:paraId="1DF7D8BA" w14:textId="77777777" w:rsidR="006F53FC" w:rsidRPr="00911F40" w:rsidRDefault="006F53FC" w:rsidP="009D0ADD">
      <w:pPr>
        <w:pStyle w:val="ListParagraph"/>
        <w:spacing w:after="0" w:line="240" w:lineRule="auto"/>
        <w:rPr>
          <w:rFonts w:asciiTheme="majorHAnsi" w:hAnsiTheme="majorHAnsi" w:cstheme="majorHAnsi"/>
          <w:sz w:val="24"/>
          <w:szCs w:val="24"/>
        </w:rPr>
      </w:pPr>
    </w:p>
    <w:p w14:paraId="1DF7D8BB" w14:textId="77777777" w:rsidR="006F53FC" w:rsidRPr="00911F40" w:rsidRDefault="006F53FC" w:rsidP="009D0ADD">
      <w:pPr>
        <w:spacing w:after="0" w:line="240" w:lineRule="auto"/>
        <w:ind w:left="1440"/>
        <w:jc w:val="both"/>
        <w:rPr>
          <w:rFonts w:asciiTheme="majorHAnsi" w:hAnsiTheme="majorHAnsi" w:cstheme="majorHAnsi"/>
          <w:i/>
          <w:sz w:val="24"/>
          <w:szCs w:val="24"/>
          <w:lang w:val="en-US"/>
        </w:rPr>
      </w:pPr>
      <w:r w:rsidRPr="00911F40">
        <w:rPr>
          <w:rFonts w:asciiTheme="majorHAnsi" w:hAnsiTheme="majorHAnsi" w:cstheme="majorHAnsi"/>
          <w:i/>
          <w:sz w:val="24"/>
          <w:szCs w:val="24"/>
          <w:lang w:val="en-US"/>
        </w:rPr>
        <w:t>“Where a claimant seeks to make a case sufficiently different from that set out in his Form N461 as to require an amendment to the Form N461 then it seems to me that it is incumbent on him (a) to seek permission to amend his N461, (b) to give notice of his wish to amend at the earliest possible moment and in any event no later than 7 clear days before the hearing and (c) to formulate the new or additional case he wishes to make in a properly drafted document setting out, in the manner and with the detail required by CPR Part 54.6 and by Form N461, the precise amendments for which he is seeking permission.”</w:t>
      </w:r>
    </w:p>
    <w:p w14:paraId="1DF7D8BC" w14:textId="77777777" w:rsidR="006F53FC" w:rsidRPr="00911F40" w:rsidRDefault="006F53FC" w:rsidP="006F53FC">
      <w:pPr>
        <w:pStyle w:val="ListParagraph"/>
        <w:autoSpaceDE w:val="0"/>
        <w:autoSpaceDN w:val="0"/>
        <w:adjustRightInd w:val="0"/>
        <w:spacing w:after="0" w:line="360" w:lineRule="auto"/>
        <w:jc w:val="both"/>
        <w:rPr>
          <w:rFonts w:asciiTheme="majorHAnsi" w:hAnsiTheme="majorHAnsi" w:cstheme="majorHAnsi"/>
          <w:sz w:val="24"/>
          <w:szCs w:val="24"/>
        </w:rPr>
      </w:pPr>
    </w:p>
    <w:p w14:paraId="3B8668C1" w14:textId="77777777" w:rsidR="006E447C" w:rsidRPr="00911F40" w:rsidRDefault="006E447C"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Sometimes, following a claim for judicial review the Defendant either makes a fresh decision or withdraws the decision and says they will make a new one. In that case: </w:t>
      </w:r>
    </w:p>
    <w:p w14:paraId="4D5DB7B4" w14:textId="47B0A8EE" w:rsidR="004211BB" w:rsidRDefault="00202A35" w:rsidP="004211BB">
      <w:pPr>
        <w:pStyle w:val="ListParagraph"/>
        <w:numPr>
          <w:ilvl w:val="1"/>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It may not be appropriate to stay the claim </w:t>
      </w:r>
      <w:r w:rsidR="006E447C" w:rsidRPr="00911F40">
        <w:rPr>
          <w:rFonts w:asciiTheme="majorHAnsi" w:hAnsiTheme="majorHAnsi" w:cstheme="majorHAnsi"/>
          <w:sz w:val="24"/>
          <w:szCs w:val="24"/>
        </w:rPr>
        <w:t xml:space="preserve">pending the fresh decision - </w:t>
      </w:r>
      <w:r w:rsidR="006E447C" w:rsidRPr="00911F40">
        <w:rPr>
          <w:rFonts w:asciiTheme="majorHAnsi" w:hAnsiTheme="majorHAnsi" w:cstheme="majorHAnsi"/>
          <w:i/>
          <w:sz w:val="24"/>
          <w:szCs w:val="24"/>
        </w:rPr>
        <w:t xml:space="preserve">Yousuf v SSHD </w:t>
      </w:r>
      <w:r w:rsidR="006E447C" w:rsidRPr="00911F40">
        <w:rPr>
          <w:rFonts w:asciiTheme="majorHAnsi" w:hAnsiTheme="majorHAnsi" w:cstheme="majorHAnsi"/>
          <w:sz w:val="24"/>
          <w:szCs w:val="24"/>
        </w:rPr>
        <w:t>[2016] EWHC 663 (Admin) (Holman J)</w:t>
      </w:r>
      <w:r w:rsidR="00911F40">
        <w:rPr>
          <w:rFonts w:asciiTheme="majorHAnsi" w:hAnsiTheme="majorHAnsi" w:cstheme="majorHAnsi"/>
          <w:sz w:val="24"/>
          <w:szCs w:val="24"/>
        </w:rPr>
        <w:t xml:space="preserve">; </w:t>
      </w:r>
      <w:r w:rsidR="00E94324" w:rsidRPr="00911F40">
        <w:rPr>
          <w:rFonts w:asciiTheme="majorHAnsi" w:hAnsiTheme="majorHAnsi" w:cstheme="majorHAnsi"/>
          <w:i/>
          <w:sz w:val="24"/>
          <w:szCs w:val="24"/>
        </w:rPr>
        <w:t xml:space="preserve">R (Bhatti) v Bury MBC </w:t>
      </w:r>
      <w:r w:rsidR="00E94324" w:rsidRPr="00911F40">
        <w:rPr>
          <w:rFonts w:asciiTheme="majorHAnsi" w:hAnsiTheme="majorHAnsi" w:cstheme="majorHAnsi"/>
          <w:sz w:val="24"/>
          <w:szCs w:val="24"/>
        </w:rPr>
        <w:t xml:space="preserve">[2013] EWHC 3093 (Admin) and ACG (Administrative Court Guide Judicial Review) </w:t>
      </w:r>
      <w:r w:rsidR="00593FBC" w:rsidRPr="00911F40">
        <w:rPr>
          <w:rFonts w:asciiTheme="majorHAnsi" w:hAnsiTheme="majorHAnsi" w:cstheme="majorHAnsi"/>
          <w:sz w:val="24"/>
          <w:szCs w:val="24"/>
        </w:rPr>
        <w:t>[</w:t>
      </w:r>
      <w:r w:rsidR="006F2F9C">
        <w:rPr>
          <w:rFonts w:asciiTheme="majorHAnsi" w:hAnsiTheme="majorHAnsi" w:cstheme="majorHAnsi"/>
          <w:sz w:val="24"/>
          <w:szCs w:val="24"/>
        </w:rPr>
        <w:t>7.11</w:t>
      </w:r>
      <w:r w:rsidR="00593FBC" w:rsidRPr="00911F40">
        <w:rPr>
          <w:rFonts w:asciiTheme="majorHAnsi" w:hAnsiTheme="majorHAnsi" w:cstheme="majorHAnsi"/>
          <w:sz w:val="24"/>
          <w:szCs w:val="24"/>
        </w:rPr>
        <w:t>]</w:t>
      </w:r>
      <w:r w:rsidR="00E94324" w:rsidRPr="004211BB">
        <w:rPr>
          <w:rFonts w:asciiTheme="majorHAnsi" w:hAnsiTheme="majorHAnsi" w:cstheme="majorHAnsi"/>
          <w:sz w:val="24"/>
          <w:szCs w:val="24"/>
        </w:rPr>
        <w:t xml:space="preserve"> for a discussion of the circumstances in which a challenge to a </w:t>
      </w:r>
      <w:r w:rsidR="00E94324" w:rsidRPr="004211BB">
        <w:rPr>
          <w:rFonts w:asciiTheme="majorHAnsi" w:hAnsiTheme="majorHAnsi" w:cstheme="majorHAnsi"/>
          <w:sz w:val="24"/>
          <w:szCs w:val="24"/>
          <w:u w:val="single"/>
        </w:rPr>
        <w:t>fresh</w:t>
      </w:r>
      <w:r w:rsidR="00E94324" w:rsidRPr="004211BB">
        <w:rPr>
          <w:rFonts w:asciiTheme="majorHAnsi" w:hAnsiTheme="majorHAnsi" w:cstheme="majorHAnsi"/>
          <w:sz w:val="24"/>
          <w:szCs w:val="24"/>
        </w:rPr>
        <w:t xml:space="preserve"> decision can be included in the original claim form at all. </w:t>
      </w:r>
    </w:p>
    <w:p w14:paraId="5EA528E0" w14:textId="77777777" w:rsidR="00987B73" w:rsidRDefault="00987B73" w:rsidP="00987B73">
      <w:pPr>
        <w:pStyle w:val="ListParagraph"/>
        <w:autoSpaceDE w:val="0"/>
        <w:autoSpaceDN w:val="0"/>
        <w:adjustRightInd w:val="0"/>
        <w:spacing w:after="0" w:line="360" w:lineRule="auto"/>
        <w:ind w:left="1440"/>
        <w:jc w:val="both"/>
        <w:rPr>
          <w:rFonts w:asciiTheme="majorHAnsi" w:hAnsiTheme="majorHAnsi" w:cstheme="majorHAnsi"/>
          <w:sz w:val="24"/>
          <w:szCs w:val="24"/>
        </w:rPr>
      </w:pPr>
    </w:p>
    <w:p w14:paraId="785F2DAE" w14:textId="76686554" w:rsidR="004211BB" w:rsidRDefault="00BC117F" w:rsidP="004211BB">
      <w:pPr>
        <w:pStyle w:val="ListParagraph"/>
        <w:numPr>
          <w:ilvl w:val="1"/>
          <w:numId w:val="31"/>
        </w:numPr>
        <w:autoSpaceDE w:val="0"/>
        <w:autoSpaceDN w:val="0"/>
        <w:adjustRightInd w:val="0"/>
        <w:spacing w:after="0" w:line="360" w:lineRule="auto"/>
        <w:jc w:val="both"/>
        <w:rPr>
          <w:rFonts w:asciiTheme="majorHAnsi" w:hAnsiTheme="majorHAnsi" w:cstheme="majorHAnsi"/>
          <w:sz w:val="24"/>
          <w:szCs w:val="24"/>
        </w:rPr>
      </w:pPr>
      <w:r w:rsidRPr="004211BB">
        <w:rPr>
          <w:rFonts w:asciiTheme="majorHAnsi" w:hAnsiTheme="majorHAnsi" w:cstheme="majorHAnsi"/>
          <w:sz w:val="24"/>
          <w:szCs w:val="24"/>
        </w:rPr>
        <w:t xml:space="preserve">Where there is already a fresh decision then </w:t>
      </w:r>
      <w:r w:rsidR="00D75867" w:rsidRPr="004211BB">
        <w:rPr>
          <w:rFonts w:asciiTheme="majorHAnsi" w:hAnsiTheme="majorHAnsi" w:cstheme="majorHAnsi"/>
          <w:sz w:val="24"/>
          <w:szCs w:val="24"/>
        </w:rPr>
        <w:t xml:space="preserve">it may be appropriate to allow an amendment : </w:t>
      </w:r>
    </w:p>
    <w:p w14:paraId="75477E3A" w14:textId="77777777" w:rsidR="004211BB" w:rsidRDefault="004211BB" w:rsidP="004211BB">
      <w:pPr>
        <w:pStyle w:val="ListParagraph"/>
        <w:autoSpaceDE w:val="0"/>
        <w:autoSpaceDN w:val="0"/>
        <w:adjustRightInd w:val="0"/>
        <w:spacing w:after="0" w:line="240" w:lineRule="auto"/>
        <w:ind w:left="1440"/>
        <w:jc w:val="both"/>
        <w:rPr>
          <w:rFonts w:asciiTheme="majorHAnsi" w:hAnsiTheme="majorHAnsi" w:cstheme="majorHAnsi"/>
          <w:color w:val="3D3D3D"/>
          <w:sz w:val="24"/>
          <w:szCs w:val="24"/>
          <w:shd w:val="clear" w:color="auto" w:fill="FFFFFF"/>
        </w:rPr>
      </w:pPr>
    </w:p>
    <w:p w14:paraId="1FACEE16" w14:textId="6319F136" w:rsidR="004211BB" w:rsidRPr="004211BB" w:rsidRDefault="004211BB" w:rsidP="004211BB">
      <w:pPr>
        <w:pStyle w:val="ListParagraph"/>
        <w:autoSpaceDE w:val="0"/>
        <w:autoSpaceDN w:val="0"/>
        <w:adjustRightInd w:val="0"/>
        <w:spacing w:after="0" w:line="240" w:lineRule="auto"/>
        <w:ind w:left="1440"/>
        <w:jc w:val="both"/>
        <w:rPr>
          <w:rFonts w:asciiTheme="majorHAnsi" w:hAnsiTheme="majorHAnsi" w:cstheme="majorHAnsi"/>
          <w:color w:val="3D3D3D"/>
          <w:sz w:val="24"/>
          <w:szCs w:val="24"/>
          <w:shd w:val="clear" w:color="auto" w:fill="FFFFFF"/>
        </w:rPr>
      </w:pPr>
      <w:r w:rsidRPr="004211BB">
        <w:rPr>
          <w:rFonts w:asciiTheme="majorHAnsi" w:hAnsiTheme="majorHAnsi" w:cstheme="majorHAnsi"/>
          <w:color w:val="3D3D3D"/>
          <w:sz w:val="24"/>
          <w:szCs w:val="24"/>
          <w:shd w:val="clear" w:color="auto" w:fill="FFFFFF"/>
        </w:rPr>
        <w:t xml:space="preserve">“there is no hard and fast rule. It will usually be better for all parties if judicial review proceedings are not treated as “rolling” or “evolving”, and it is generally simpler and more cost-effective for the reviewing court to avoid scrutinising post-decision material. But there will also be a need to maintain a certain procedural flexibility so as to do justice as between the parties” </w:t>
      </w:r>
      <w:r w:rsidRPr="004211BB">
        <w:rPr>
          <w:rFonts w:asciiTheme="majorHAnsi" w:hAnsiTheme="majorHAnsi" w:cstheme="majorHAnsi"/>
          <w:i/>
          <w:iCs/>
          <w:color w:val="3D3D3D"/>
          <w:sz w:val="24"/>
          <w:szCs w:val="24"/>
          <w:shd w:val="clear" w:color="auto" w:fill="FFFFFF"/>
        </w:rPr>
        <w:t xml:space="preserve">Spahiu </w:t>
      </w:r>
      <w:r w:rsidRPr="004211BB">
        <w:rPr>
          <w:rFonts w:asciiTheme="majorHAnsi" w:hAnsiTheme="majorHAnsi" w:cstheme="majorHAnsi"/>
          <w:color w:val="3D3D3D"/>
          <w:sz w:val="24"/>
          <w:szCs w:val="24"/>
          <w:shd w:val="clear" w:color="auto" w:fill="FFFFFF"/>
        </w:rPr>
        <w:t xml:space="preserve">para 63; </w:t>
      </w:r>
      <w:r w:rsidRPr="004211BB">
        <w:rPr>
          <w:rFonts w:asciiTheme="majorHAnsi" w:hAnsiTheme="majorHAnsi" w:cstheme="majorHAnsi"/>
          <w:i/>
          <w:iCs/>
          <w:color w:val="3D3D3D"/>
          <w:sz w:val="24"/>
          <w:szCs w:val="24"/>
          <w:shd w:val="clear" w:color="auto" w:fill="FFFFFF"/>
        </w:rPr>
        <w:t>R (Raja) v Redbridge LBC</w:t>
      </w:r>
      <w:r w:rsidRPr="004211BB">
        <w:rPr>
          <w:rFonts w:asciiTheme="majorHAnsi" w:hAnsiTheme="majorHAnsi" w:cstheme="majorHAnsi"/>
          <w:color w:val="3D3D3D"/>
          <w:sz w:val="24"/>
          <w:szCs w:val="24"/>
          <w:shd w:val="clear" w:color="auto" w:fill="FFFFFF"/>
        </w:rPr>
        <w:t xml:space="preserve"> [2020] PTSR 2129 paras 19-21. </w:t>
      </w:r>
    </w:p>
    <w:p w14:paraId="1E043570" w14:textId="77777777" w:rsidR="004211BB" w:rsidRDefault="004211BB" w:rsidP="004211BB">
      <w:pPr>
        <w:pStyle w:val="ListParagraph"/>
        <w:autoSpaceDE w:val="0"/>
        <w:autoSpaceDN w:val="0"/>
        <w:adjustRightInd w:val="0"/>
        <w:spacing w:after="0" w:line="360" w:lineRule="auto"/>
        <w:ind w:left="1440"/>
        <w:jc w:val="both"/>
        <w:rPr>
          <w:rFonts w:asciiTheme="majorHAnsi" w:hAnsiTheme="majorHAnsi" w:cstheme="majorHAnsi"/>
          <w:sz w:val="24"/>
          <w:szCs w:val="24"/>
        </w:rPr>
      </w:pPr>
    </w:p>
    <w:p w14:paraId="1DF7D8BD" w14:textId="033DE3F7" w:rsidR="006F53FC" w:rsidRPr="004211BB" w:rsidRDefault="00D75867" w:rsidP="004211BB">
      <w:pPr>
        <w:pStyle w:val="ListParagraph"/>
        <w:numPr>
          <w:ilvl w:val="1"/>
          <w:numId w:val="31"/>
        </w:numPr>
        <w:autoSpaceDE w:val="0"/>
        <w:autoSpaceDN w:val="0"/>
        <w:adjustRightInd w:val="0"/>
        <w:spacing w:after="0" w:line="360" w:lineRule="auto"/>
        <w:jc w:val="both"/>
        <w:rPr>
          <w:rFonts w:asciiTheme="majorHAnsi" w:hAnsiTheme="majorHAnsi" w:cstheme="majorHAnsi"/>
          <w:sz w:val="24"/>
          <w:szCs w:val="24"/>
        </w:rPr>
      </w:pPr>
      <w:r w:rsidRPr="004211BB">
        <w:rPr>
          <w:rFonts w:asciiTheme="majorHAnsi" w:hAnsiTheme="majorHAnsi" w:cstheme="majorHAnsi"/>
          <w:color w:val="3D3D3D"/>
          <w:sz w:val="24"/>
          <w:szCs w:val="24"/>
          <w:shd w:val="clear" w:color="auto" w:fill="FFFFFF"/>
        </w:rPr>
        <w:t xml:space="preserve">Where the court does grant permission then it may </w:t>
      </w:r>
      <w:r w:rsidRPr="004211BB">
        <w:rPr>
          <w:rFonts w:asciiTheme="majorHAnsi" w:hAnsiTheme="majorHAnsi" w:cstheme="majorHAnsi"/>
          <w:sz w:val="24"/>
          <w:szCs w:val="24"/>
        </w:rPr>
        <w:t xml:space="preserve">impose conditions, for example, about the re-formulation of the claim and bundles - </w:t>
      </w:r>
      <w:r w:rsidRPr="004211BB">
        <w:rPr>
          <w:rFonts w:asciiTheme="majorHAnsi" w:hAnsiTheme="majorHAnsi" w:cstheme="majorHAnsi"/>
          <w:i/>
          <w:sz w:val="24"/>
          <w:szCs w:val="24"/>
        </w:rPr>
        <w:t xml:space="preserve">R (Hussain) v SSJ </w:t>
      </w:r>
      <w:r w:rsidRPr="004211BB">
        <w:rPr>
          <w:rFonts w:asciiTheme="majorHAnsi" w:hAnsiTheme="majorHAnsi" w:cstheme="majorHAnsi"/>
          <w:iCs/>
          <w:sz w:val="24"/>
          <w:szCs w:val="24"/>
        </w:rPr>
        <w:t>[2016]</w:t>
      </w:r>
      <w:r w:rsidRPr="004211BB">
        <w:rPr>
          <w:rFonts w:asciiTheme="majorHAnsi" w:hAnsiTheme="majorHAnsi" w:cstheme="majorHAnsi"/>
          <w:i/>
          <w:sz w:val="24"/>
          <w:szCs w:val="24"/>
        </w:rPr>
        <w:t xml:space="preserve"> </w:t>
      </w:r>
      <w:r w:rsidRPr="004211BB">
        <w:rPr>
          <w:rFonts w:asciiTheme="majorHAnsi" w:hAnsiTheme="majorHAnsi" w:cstheme="majorHAnsi"/>
          <w:sz w:val="24"/>
          <w:szCs w:val="24"/>
        </w:rPr>
        <w:t xml:space="preserve">EWCA Civ 1111.  </w:t>
      </w:r>
    </w:p>
    <w:p w14:paraId="1DF7D8BE" w14:textId="77777777" w:rsidR="006F53FC" w:rsidRPr="00911F40" w:rsidRDefault="006F53FC" w:rsidP="006F53FC">
      <w:pPr>
        <w:pStyle w:val="ListParagraph"/>
        <w:autoSpaceDE w:val="0"/>
        <w:autoSpaceDN w:val="0"/>
        <w:adjustRightInd w:val="0"/>
        <w:spacing w:after="0" w:line="360" w:lineRule="auto"/>
        <w:jc w:val="both"/>
        <w:rPr>
          <w:rFonts w:asciiTheme="majorHAnsi" w:hAnsiTheme="majorHAnsi" w:cstheme="majorHAnsi"/>
          <w:sz w:val="24"/>
          <w:szCs w:val="24"/>
        </w:rPr>
      </w:pPr>
    </w:p>
    <w:p w14:paraId="1DF7D8BF" w14:textId="1642A9D2" w:rsidR="006F53FC" w:rsidRPr="00911F40" w:rsidRDefault="006F53FC"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This is an issue which should be to the forefront of a Claimant’s mind from the outset: e.g. in a community care case, where no assessment of needs has been conducted at the outset, a Defendant should not be able to frustrate the process simply by producing a poor assessment of needs post-issue or post-permission. If the Claimant has framed the challenge as being to the absence of any lawful assessment under the Children Act 1989 the production of a fresh assessment may be more readily encompassed within the existing grounds.</w:t>
      </w:r>
      <w:r w:rsidR="00A80D3E" w:rsidRPr="00911F40">
        <w:rPr>
          <w:rFonts w:asciiTheme="majorHAnsi" w:hAnsiTheme="majorHAnsi" w:cstheme="majorHAnsi"/>
          <w:sz w:val="24"/>
          <w:szCs w:val="24"/>
        </w:rPr>
        <w:t xml:space="preserve"> </w:t>
      </w:r>
    </w:p>
    <w:p w14:paraId="0FE8682B" w14:textId="77777777" w:rsidR="00593FBC" w:rsidRPr="00911F40" w:rsidRDefault="00593FBC" w:rsidP="00593FBC">
      <w:pPr>
        <w:pStyle w:val="ListParagraph"/>
        <w:rPr>
          <w:rFonts w:asciiTheme="majorHAnsi" w:hAnsiTheme="majorHAnsi" w:cstheme="majorHAnsi"/>
          <w:sz w:val="24"/>
          <w:szCs w:val="24"/>
        </w:rPr>
      </w:pPr>
    </w:p>
    <w:p w14:paraId="5787CDA0" w14:textId="519762AE" w:rsidR="00593FBC" w:rsidRPr="00911F40" w:rsidRDefault="00593FBC"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Note an important point highlighted in the White Book [54.15.1]: where permission to argue a particular ground has been expressly refused at an oral permission hearing, a Claimant wishing to challenge that should ordinarily do so by appeal</w:t>
      </w:r>
      <w:r w:rsidR="00D476D1" w:rsidRPr="00911F40">
        <w:rPr>
          <w:rFonts w:asciiTheme="majorHAnsi" w:hAnsiTheme="majorHAnsi" w:cstheme="majorHAnsi"/>
          <w:sz w:val="24"/>
          <w:szCs w:val="24"/>
        </w:rPr>
        <w:t>ing that refusal</w:t>
      </w:r>
      <w:r w:rsidRPr="00911F40">
        <w:rPr>
          <w:rFonts w:asciiTheme="majorHAnsi" w:hAnsiTheme="majorHAnsi" w:cstheme="majorHAnsi"/>
          <w:sz w:val="24"/>
          <w:szCs w:val="24"/>
        </w:rPr>
        <w:t xml:space="preserve"> to the Court of Appeal, but in some exceptional circumstances the Court hearing the substantive application may exercise its discretion under CPR r. 54.15 to permit the Claimant to argue that particular ground, e.g. if there has been a significant change of circumstances, or a proposition of law is now maintainable which was not previously so (such as where the </w:t>
      </w:r>
      <w:r w:rsidRPr="00911F40">
        <w:rPr>
          <w:rFonts w:asciiTheme="majorHAnsi" w:hAnsiTheme="majorHAnsi" w:cstheme="majorHAnsi"/>
          <w:sz w:val="24"/>
          <w:szCs w:val="24"/>
        </w:rPr>
        <w:lastRenderedPageBreak/>
        <w:t xml:space="preserve">Court of Appeal has overturned a decision of the High Court in a case raising similar issues). See, for example, </w:t>
      </w:r>
      <w:r w:rsidRPr="00911F40">
        <w:rPr>
          <w:rFonts w:asciiTheme="majorHAnsi" w:hAnsiTheme="majorHAnsi" w:cstheme="majorHAnsi"/>
          <w:i/>
          <w:sz w:val="24"/>
          <w:szCs w:val="24"/>
        </w:rPr>
        <w:t>R (Opoku) v Southwark College Principal</w:t>
      </w:r>
      <w:r w:rsidRPr="00911F40">
        <w:rPr>
          <w:rFonts w:asciiTheme="majorHAnsi" w:hAnsiTheme="majorHAnsi" w:cstheme="majorHAnsi"/>
          <w:sz w:val="24"/>
          <w:szCs w:val="24"/>
        </w:rPr>
        <w:t xml:space="preserve"> [2003] 1 WLR 234, [2002] EWHC 2092 and </w:t>
      </w:r>
      <w:r w:rsidRPr="00911F40">
        <w:rPr>
          <w:rFonts w:asciiTheme="majorHAnsi" w:hAnsiTheme="majorHAnsi" w:cstheme="majorHAnsi"/>
          <w:i/>
          <w:sz w:val="24"/>
          <w:szCs w:val="24"/>
        </w:rPr>
        <w:t>R (Smith) v Parole Board</w:t>
      </w:r>
      <w:r w:rsidRPr="00911F40">
        <w:rPr>
          <w:rFonts w:asciiTheme="majorHAnsi" w:hAnsiTheme="majorHAnsi" w:cstheme="majorHAnsi"/>
          <w:sz w:val="24"/>
          <w:szCs w:val="24"/>
        </w:rPr>
        <w:t xml:space="preserve"> [2003] 1 WLR 2548.</w:t>
      </w:r>
    </w:p>
    <w:p w14:paraId="1DF7D8C0" w14:textId="77777777" w:rsidR="006F53FC" w:rsidRPr="00911F40" w:rsidRDefault="006F53FC" w:rsidP="006F53FC">
      <w:pPr>
        <w:pStyle w:val="ListParagraph"/>
        <w:rPr>
          <w:rFonts w:asciiTheme="majorHAnsi" w:hAnsiTheme="majorHAnsi" w:cstheme="majorHAnsi"/>
          <w:sz w:val="24"/>
          <w:szCs w:val="24"/>
        </w:rPr>
      </w:pPr>
    </w:p>
    <w:p w14:paraId="1DF7D8C1" w14:textId="1F2AF059" w:rsidR="006F53FC" w:rsidRPr="00911F40" w:rsidRDefault="006F53FC" w:rsidP="00593FBC">
      <w:pPr>
        <w:keepNext/>
        <w:spacing w:line="360" w:lineRule="auto"/>
        <w:ind w:firstLine="505"/>
        <w:rPr>
          <w:rFonts w:asciiTheme="majorHAnsi" w:hAnsiTheme="majorHAnsi" w:cstheme="majorHAnsi"/>
          <w:sz w:val="24"/>
          <w:szCs w:val="24"/>
        </w:rPr>
      </w:pPr>
      <w:r w:rsidRPr="00911F40">
        <w:rPr>
          <w:rFonts w:asciiTheme="majorHAnsi" w:hAnsiTheme="majorHAnsi" w:cstheme="majorHAnsi"/>
          <w:i/>
          <w:sz w:val="24"/>
          <w:szCs w:val="24"/>
        </w:rPr>
        <w:t>Disclosure and applications to cross</w:t>
      </w:r>
      <w:r w:rsidR="00A80D3E" w:rsidRPr="00911F40">
        <w:rPr>
          <w:rFonts w:asciiTheme="majorHAnsi" w:hAnsiTheme="majorHAnsi" w:cstheme="majorHAnsi"/>
          <w:i/>
          <w:sz w:val="24"/>
          <w:szCs w:val="24"/>
        </w:rPr>
        <w:t>-</w:t>
      </w:r>
      <w:r w:rsidRPr="00911F40">
        <w:rPr>
          <w:rFonts w:asciiTheme="majorHAnsi" w:hAnsiTheme="majorHAnsi" w:cstheme="majorHAnsi"/>
          <w:i/>
          <w:sz w:val="24"/>
          <w:szCs w:val="24"/>
        </w:rPr>
        <w:t>examine</w:t>
      </w:r>
      <w:r w:rsidRPr="00911F40">
        <w:rPr>
          <w:rFonts w:asciiTheme="majorHAnsi" w:hAnsiTheme="majorHAnsi" w:cstheme="majorHAnsi"/>
          <w:sz w:val="24"/>
          <w:szCs w:val="24"/>
        </w:rPr>
        <w:t xml:space="preserve"> </w:t>
      </w:r>
    </w:p>
    <w:p w14:paraId="58925AD4" w14:textId="5AEEDA2D" w:rsidR="00A80D3E" w:rsidRPr="00911F40" w:rsidRDefault="00E94324" w:rsidP="001F78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CPR Part 31 (disclosure) applies to all proceedings except for those on the small claims track but CPR PD 54.12 states that disclosure is </w:t>
      </w:r>
      <w:r w:rsidRPr="00911F40">
        <w:rPr>
          <w:rFonts w:asciiTheme="majorHAnsi" w:hAnsiTheme="majorHAnsi" w:cstheme="majorHAnsi"/>
          <w:i/>
          <w:sz w:val="24"/>
          <w:szCs w:val="24"/>
        </w:rPr>
        <w:t>“not required unless the court orders otherwise</w:t>
      </w:r>
      <w:r w:rsidR="00593FBC" w:rsidRPr="00911F40">
        <w:rPr>
          <w:rFonts w:asciiTheme="majorHAnsi" w:hAnsiTheme="majorHAnsi" w:cstheme="majorHAnsi"/>
          <w:i/>
          <w:sz w:val="24"/>
          <w:szCs w:val="24"/>
        </w:rPr>
        <w:t>.</w:t>
      </w:r>
      <w:r w:rsidRPr="00911F40">
        <w:rPr>
          <w:rFonts w:asciiTheme="majorHAnsi" w:hAnsiTheme="majorHAnsi" w:cstheme="majorHAnsi"/>
          <w:i/>
          <w:sz w:val="24"/>
          <w:szCs w:val="24"/>
        </w:rPr>
        <w:t>”</w:t>
      </w:r>
      <w:r w:rsidRPr="00911F40">
        <w:rPr>
          <w:rFonts w:asciiTheme="majorHAnsi" w:hAnsiTheme="majorHAnsi" w:cstheme="majorHAnsi"/>
          <w:sz w:val="24"/>
          <w:szCs w:val="24"/>
        </w:rPr>
        <w:t xml:space="preserve"> </w:t>
      </w:r>
      <w:r w:rsidR="00A80D3E" w:rsidRPr="00911F40">
        <w:rPr>
          <w:rFonts w:asciiTheme="majorHAnsi" w:hAnsiTheme="majorHAnsi" w:cstheme="majorHAnsi"/>
          <w:sz w:val="24"/>
          <w:szCs w:val="24"/>
        </w:rPr>
        <w:t>The issue of disclosure is distinct to the duty of candour, which applies to both parties at all stages of a judicial review claim</w:t>
      </w:r>
      <w:r w:rsidR="001F78DD" w:rsidRPr="00911F40">
        <w:rPr>
          <w:rFonts w:asciiTheme="majorHAnsi" w:hAnsiTheme="majorHAnsi" w:cstheme="majorHAnsi"/>
          <w:sz w:val="24"/>
          <w:szCs w:val="24"/>
        </w:rPr>
        <w:t>.</w:t>
      </w:r>
    </w:p>
    <w:p w14:paraId="1DF7D8C3" w14:textId="77777777" w:rsidR="006F53FC" w:rsidRPr="00911F40" w:rsidRDefault="006F53FC" w:rsidP="006F53FC">
      <w:pPr>
        <w:pStyle w:val="ListParagraph"/>
        <w:autoSpaceDE w:val="0"/>
        <w:autoSpaceDN w:val="0"/>
        <w:adjustRightInd w:val="0"/>
        <w:spacing w:after="0" w:line="360" w:lineRule="auto"/>
        <w:jc w:val="both"/>
        <w:rPr>
          <w:rFonts w:asciiTheme="majorHAnsi" w:hAnsiTheme="majorHAnsi" w:cstheme="majorHAnsi"/>
          <w:sz w:val="24"/>
          <w:szCs w:val="24"/>
        </w:rPr>
      </w:pPr>
    </w:p>
    <w:p w14:paraId="1DF7D8C4" w14:textId="646D2DDC" w:rsidR="00E94324"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Formerly</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very restrictive criteria applied</w:t>
      </w:r>
      <w:r w:rsidR="001F78DD" w:rsidRPr="00911F40">
        <w:rPr>
          <w:rFonts w:asciiTheme="majorHAnsi" w:hAnsiTheme="majorHAnsi" w:cstheme="majorHAnsi"/>
          <w:sz w:val="24"/>
          <w:szCs w:val="24"/>
        </w:rPr>
        <w:t xml:space="preserve"> to disclosure</w:t>
      </w:r>
      <w:r w:rsidR="00593FBC" w:rsidRPr="00911F40">
        <w:rPr>
          <w:rFonts w:asciiTheme="majorHAnsi" w:hAnsiTheme="majorHAnsi" w:cstheme="majorHAnsi"/>
          <w:sz w:val="24"/>
          <w:szCs w:val="24"/>
        </w:rPr>
        <w:t xml:space="preserve"> in the judicial review context,</w:t>
      </w:r>
      <w:r w:rsidRPr="00911F40">
        <w:rPr>
          <w:rFonts w:asciiTheme="majorHAnsi" w:hAnsiTheme="majorHAnsi" w:cstheme="majorHAnsi"/>
          <w:sz w:val="24"/>
          <w:szCs w:val="24"/>
        </w:rPr>
        <w:t xml:space="preserve"> derived from </w:t>
      </w:r>
      <w:r w:rsidRPr="00911F40">
        <w:rPr>
          <w:rFonts w:asciiTheme="majorHAnsi" w:hAnsiTheme="majorHAnsi" w:cstheme="majorHAnsi"/>
          <w:i/>
          <w:sz w:val="24"/>
          <w:szCs w:val="24"/>
        </w:rPr>
        <w:t>R v Secretary of State for Foreign and Commonwealth Affairs</w:t>
      </w:r>
      <w:r w:rsidR="00593FBC"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ex p World Development Movement</w:t>
      </w:r>
      <w:r w:rsidRPr="00911F40">
        <w:rPr>
          <w:rFonts w:asciiTheme="majorHAnsi" w:hAnsiTheme="majorHAnsi" w:cstheme="majorHAnsi"/>
          <w:sz w:val="24"/>
          <w:szCs w:val="24"/>
        </w:rPr>
        <w:t xml:space="preserve"> [1995] 1 WLR 386. Disclosure would generally be ordered only where </w:t>
      </w:r>
      <w:r w:rsidR="00593FBC" w:rsidRPr="00911F40">
        <w:rPr>
          <w:rFonts w:asciiTheme="majorHAnsi" w:hAnsiTheme="majorHAnsi" w:cstheme="majorHAnsi"/>
          <w:sz w:val="24"/>
          <w:szCs w:val="24"/>
        </w:rPr>
        <w:t>a party’s evidence</w:t>
      </w:r>
      <w:r w:rsidRPr="00911F40">
        <w:rPr>
          <w:rFonts w:asciiTheme="majorHAnsi" w:hAnsiTheme="majorHAnsi" w:cstheme="majorHAnsi"/>
          <w:sz w:val="24"/>
          <w:szCs w:val="24"/>
        </w:rPr>
        <w:t xml:space="preserve"> could be shown to be materially inaccurate or misleading.</w:t>
      </w:r>
      <w:r w:rsidR="00593FBC"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 </w:t>
      </w:r>
    </w:p>
    <w:p w14:paraId="1DF7D8C5" w14:textId="77777777" w:rsidR="006F53FC" w:rsidRPr="00911F40" w:rsidRDefault="006F53FC" w:rsidP="006F53FC">
      <w:pPr>
        <w:pStyle w:val="ListParagraph"/>
        <w:rPr>
          <w:rFonts w:asciiTheme="majorHAnsi" w:hAnsiTheme="majorHAnsi" w:cstheme="majorHAnsi"/>
          <w:sz w:val="24"/>
          <w:szCs w:val="24"/>
        </w:rPr>
      </w:pPr>
    </w:p>
    <w:p w14:paraId="1DF7D8C6" w14:textId="77777777" w:rsidR="00E94324"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This is no longer the case. The rules were substantially relaxed by the House of Lords in </w:t>
      </w:r>
      <w:r w:rsidRPr="00911F40">
        <w:rPr>
          <w:rFonts w:asciiTheme="majorHAnsi" w:hAnsiTheme="majorHAnsi" w:cstheme="majorHAnsi"/>
          <w:i/>
          <w:sz w:val="24"/>
          <w:szCs w:val="24"/>
        </w:rPr>
        <w:t>Tweed v Parades Commission of Northern Ireland</w:t>
      </w:r>
      <w:r w:rsidRPr="00911F40">
        <w:rPr>
          <w:rFonts w:asciiTheme="majorHAnsi" w:hAnsiTheme="majorHAnsi" w:cstheme="majorHAnsi"/>
          <w:sz w:val="24"/>
          <w:szCs w:val="24"/>
        </w:rPr>
        <w:t xml:space="preserve"> [2007] 1 AC 650. </w:t>
      </w:r>
    </w:p>
    <w:p w14:paraId="1DF7D8C7" w14:textId="77777777" w:rsidR="00E94324" w:rsidRPr="00911F40" w:rsidRDefault="00E94324" w:rsidP="00593FBC">
      <w:pPr>
        <w:spacing w:after="0" w:line="240" w:lineRule="auto"/>
        <w:rPr>
          <w:rFonts w:asciiTheme="majorHAnsi" w:hAnsiTheme="majorHAnsi" w:cstheme="majorHAnsi"/>
          <w:sz w:val="24"/>
          <w:szCs w:val="24"/>
        </w:rPr>
      </w:pPr>
    </w:p>
    <w:p w14:paraId="1DF7D8C8" w14:textId="63A05747" w:rsidR="00E94324" w:rsidRPr="00911F40" w:rsidRDefault="00E94324" w:rsidP="00593FBC">
      <w:pPr>
        <w:spacing w:after="0" w:line="240" w:lineRule="auto"/>
        <w:ind w:left="1440"/>
        <w:jc w:val="both"/>
        <w:rPr>
          <w:rFonts w:asciiTheme="majorHAnsi" w:hAnsiTheme="majorHAnsi" w:cstheme="majorHAnsi"/>
          <w:color w:val="000000"/>
          <w:sz w:val="24"/>
          <w:szCs w:val="24"/>
        </w:rPr>
      </w:pPr>
      <w:r w:rsidRPr="00911F40">
        <w:rPr>
          <w:rFonts w:asciiTheme="majorHAnsi" w:hAnsiTheme="majorHAnsi" w:cstheme="majorHAnsi"/>
          <w:i/>
          <w:color w:val="000000"/>
          <w:sz w:val="24"/>
          <w:szCs w:val="24"/>
        </w:rPr>
        <w:t>“it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w:t>
      </w:r>
      <w:r w:rsidRPr="00911F40">
        <w:rPr>
          <w:rFonts w:asciiTheme="majorHAnsi" w:hAnsiTheme="majorHAnsi" w:cstheme="majorHAnsi"/>
          <w:color w:val="000000"/>
          <w:sz w:val="24"/>
          <w:szCs w:val="24"/>
        </w:rPr>
        <w:t xml:space="preserve"> </w:t>
      </w:r>
      <w:r w:rsidRPr="00911F40">
        <w:rPr>
          <w:rFonts w:asciiTheme="majorHAnsi" w:hAnsiTheme="majorHAnsi" w:cstheme="majorHAnsi"/>
          <w:i/>
          <w:color w:val="000000"/>
          <w:sz w:val="24"/>
          <w:szCs w:val="24"/>
        </w:rPr>
        <w:t>specifying the particular documents or classes of documents they require, as was done in the case before the House, rather than asking for an</w:t>
      </w:r>
      <w:r w:rsidR="006F53FC" w:rsidRPr="00911F40">
        <w:rPr>
          <w:rFonts w:asciiTheme="majorHAnsi" w:hAnsiTheme="majorHAnsi" w:cstheme="majorHAnsi"/>
          <w:i/>
          <w:color w:val="000000"/>
          <w:sz w:val="24"/>
          <w:szCs w:val="24"/>
        </w:rPr>
        <w:t xml:space="preserve"> order for general disclosure.” </w:t>
      </w:r>
      <w:r w:rsidR="006F53FC" w:rsidRPr="00911F40">
        <w:rPr>
          <w:rFonts w:asciiTheme="majorHAnsi" w:hAnsiTheme="majorHAnsi" w:cstheme="majorHAnsi"/>
          <w:color w:val="000000"/>
          <w:sz w:val="24"/>
          <w:szCs w:val="24"/>
        </w:rPr>
        <w:t xml:space="preserve">(At [32] </w:t>
      </w:r>
      <w:r w:rsidRPr="00911F40">
        <w:rPr>
          <w:rFonts w:asciiTheme="majorHAnsi" w:hAnsiTheme="majorHAnsi" w:cstheme="majorHAnsi"/>
          <w:color w:val="000000"/>
          <w:sz w:val="24"/>
          <w:szCs w:val="24"/>
        </w:rPr>
        <w:t xml:space="preserve">per Lord Carswell and see Lord Brown at </w:t>
      </w:r>
      <w:r w:rsidR="006F53FC" w:rsidRPr="00911F40">
        <w:rPr>
          <w:rFonts w:asciiTheme="majorHAnsi" w:hAnsiTheme="majorHAnsi" w:cstheme="majorHAnsi"/>
          <w:color w:val="000000"/>
          <w:sz w:val="24"/>
          <w:szCs w:val="24"/>
        </w:rPr>
        <w:t>[</w:t>
      </w:r>
      <w:r w:rsidRPr="00911F40">
        <w:rPr>
          <w:rFonts w:asciiTheme="majorHAnsi" w:hAnsiTheme="majorHAnsi" w:cstheme="majorHAnsi"/>
          <w:color w:val="000000"/>
          <w:sz w:val="24"/>
          <w:szCs w:val="24"/>
        </w:rPr>
        <w:t>56</w:t>
      </w:r>
      <w:r w:rsidR="006F53FC" w:rsidRPr="00911F40">
        <w:rPr>
          <w:rFonts w:asciiTheme="majorHAnsi" w:hAnsiTheme="majorHAnsi" w:cstheme="majorHAnsi"/>
          <w:color w:val="000000"/>
          <w:sz w:val="24"/>
          <w:szCs w:val="24"/>
        </w:rPr>
        <w:t>])</w:t>
      </w:r>
      <w:r w:rsidRPr="00911F40">
        <w:rPr>
          <w:rFonts w:asciiTheme="majorHAnsi" w:hAnsiTheme="majorHAnsi" w:cstheme="majorHAnsi"/>
          <w:color w:val="000000"/>
          <w:sz w:val="24"/>
          <w:szCs w:val="24"/>
        </w:rPr>
        <w:t xml:space="preserve">. </w:t>
      </w:r>
    </w:p>
    <w:p w14:paraId="1941303D" w14:textId="77777777" w:rsidR="00593FBC" w:rsidRPr="00911F40" w:rsidRDefault="00593FBC" w:rsidP="00593FBC">
      <w:pPr>
        <w:spacing w:after="0" w:line="360" w:lineRule="auto"/>
        <w:ind w:left="1440"/>
        <w:jc w:val="both"/>
        <w:rPr>
          <w:rFonts w:asciiTheme="majorHAnsi" w:hAnsiTheme="majorHAnsi" w:cstheme="majorHAnsi"/>
          <w:color w:val="000000"/>
          <w:sz w:val="24"/>
          <w:szCs w:val="24"/>
        </w:rPr>
      </w:pPr>
    </w:p>
    <w:p w14:paraId="1DF7D8C9" w14:textId="77777777"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sz w:val="24"/>
          <w:szCs w:val="24"/>
        </w:rPr>
        <w:t xml:space="preserve">However, this does not mean that disclosure will be ordered as a matter of routine. </w:t>
      </w:r>
      <w:r w:rsidRPr="00911F40">
        <w:rPr>
          <w:rFonts w:asciiTheme="majorHAnsi" w:hAnsiTheme="majorHAnsi" w:cstheme="majorHAnsi"/>
          <w:i/>
          <w:sz w:val="24"/>
          <w:szCs w:val="24"/>
        </w:rPr>
        <w:t>“The test will always be whether, in the given case, disclosure appears to be necessary in order to resolve the matter fairly and justly”</w:t>
      </w:r>
      <w:r w:rsidRPr="00911F40">
        <w:rPr>
          <w:rStyle w:val="FootnoteReference"/>
          <w:rFonts w:asciiTheme="majorHAnsi" w:hAnsiTheme="majorHAnsi" w:cstheme="majorHAnsi"/>
          <w:sz w:val="24"/>
          <w:szCs w:val="24"/>
        </w:rPr>
        <w:footnoteReference w:id="4"/>
      </w:r>
      <w:r w:rsidRPr="00911F40">
        <w:rPr>
          <w:rFonts w:asciiTheme="majorHAnsi" w:hAnsiTheme="majorHAnsi" w:cstheme="majorHAnsi"/>
          <w:sz w:val="24"/>
          <w:szCs w:val="24"/>
        </w:rPr>
        <w:t xml:space="preserve">. Normally applications raise an issue of law and </w:t>
      </w:r>
      <w:r w:rsidRPr="00911F40">
        <w:rPr>
          <w:rFonts w:asciiTheme="majorHAnsi" w:hAnsiTheme="majorHAnsi" w:cstheme="majorHAnsi"/>
          <w:sz w:val="24"/>
          <w:szCs w:val="24"/>
        </w:rPr>
        <w:lastRenderedPageBreak/>
        <w:t xml:space="preserve">disclosure is unnecessary – See Lord Bingham </w:t>
      </w:r>
      <w:r w:rsidR="006F53FC" w:rsidRPr="00911F40">
        <w:rPr>
          <w:rFonts w:asciiTheme="majorHAnsi" w:hAnsiTheme="majorHAnsi" w:cstheme="majorHAnsi"/>
          <w:sz w:val="24"/>
          <w:szCs w:val="24"/>
        </w:rPr>
        <w:t xml:space="preserve">at [2]-[3], </w:t>
      </w:r>
      <w:r w:rsidR="006F53FC" w:rsidRPr="00911F40">
        <w:rPr>
          <w:rFonts w:asciiTheme="majorHAnsi" w:hAnsiTheme="majorHAnsi" w:cstheme="majorHAnsi"/>
          <w:i/>
          <w:sz w:val="24"/>
          <w:szCs w:val="24"/>
        </w:rPr>
        <w:t>Tweed</w:t>
      </w:r>
      <w:r w:rsidRPr="00911F40">
        <w:rPr>
          <w:rFonts w:asciiTheme="majorHAnsi" w:hAnsiTheme="majorHAnsi" w:cstheme="majorHAnsi"/>
          <w:sz w:val="24"/>
          <w:szCs w:val="24"/>
        </w:rPr>
        <w:t xml:space="preserve">. Disclosure should be limited to the minority of cases where the </w:t>
      </w:r>
      <w:r w:rsidRPr="00911F40">
        <w:rPr>
          <w:rFonts w:asciiTheme="majorHAnsi" w:hAnsiTheme="majorHAnsi" w:cstheme="majorHAnsi"/>
          <w:i/>
          <w:sz w:val="24"/>
          <w:szCs w:val="24"/>
        </w:rPr>
        <w:t>“precise facts are significant”.</w:t>
      </w:r>
      <w:r w:rsidRPr="00911F40">
        <w:rPr>
          <w:rFonts w:asciiTheme="majorHAnsi" w:hAnsiTheme="majorHAnsi" w:cstheme="majorHAnsi"/>
          <w:sz w:val="24"/>
          <w:szCs w:val="24"/>
        </w:rPr>
        <w:t xml:space="preserve"> Lord Brown thought the impact would be simply that </w:t>
      </w:r>
      <w:r w:rsidRPr="00911F40">
        <w:rPr>
          <w:rFonts w:asciiTheme="majorHAnsi" w:hAnsiTheme="majorHAnsi" w:cstheme="majorHAnsi"/>
          <w:i/>
          <w:sz w:val="24"/>
          <w:szCs w:val="24"/>
        </w:rPr>
        <w:t>“</w:t>
      </w:r>
      <w:r w:rsidRPr="00911F40">
        <w:rPr>
          <w:rFonts w:asciiTheme="majorHAnsi" w:hAnsiTheme="majorHAnsi" w:cstheme="majorHAnsi"/>
          <w:i/>
          <w:color w:val="000000"/>
          <w:sz w:val="24"/>
          <w:szCs w:val="24"/>
        </w:rPr>
        <w:t>the courts may be expected to show a somewhat greater readiness than hitherto to order disclosure of the main documents underlying proportionality decisions”</w:t>
      </w:r>
      <w:r w:rsidRPr="00911F40">
        <w:rPr>
          <w:rFonts w:asciiTheme="majorHAnsi" w:hAnsiTheme="majorHAnsi" w:cstheme="majorHAnsi"/>
          <w:color w:val="000000"/>
          <w:sz w:val="24"/>
          <w:szCs w:val="24"/>
        </w:rPr>
        <w:t xml:space="preserve"> and that orders for disclosure would remain exceptional [56].  In </w:t>
      </w:r>
      <w:r w:rsidRPr="00911F40">
        <w:rPr>
          <w:rFonts w:asciiTheme="majorHAnsi" w:hAnsiTheme="majorHAnsi" w:cstheme="majorHAnsi"/>
          <w:i/>
          <w:color w:val="000000"/>
          <w:sz w:val="24"/>
          <w:szCs w:val="24"/>
        </w:rPr>
        <w:t>Ford v FSA</w:t>
      </w:r>
      <w:r w:rsidRPr="00911F40">
        <w:rPr>
          <w:rFonts w:asciiTheme="majorHAnsi" w:hAnsiTheme="majorHAnsi" w:cstheme="majorHAnsi"/>
          <w:color w:val="000000"/>
          <w:sz w:val="24"/>
          <w:szCs w:val="24"/>
        </w:rPr>
        <w:t xml:space="preserve"> [2012] EWHC 997 Burnett J refused disclosure of correspondence between the FSA and third parties about the use of confidential information because there was “</w:t>
      </w:r>
      <w:r w:rsidRPr="00911F40">
        <w:rPr>
          <w:rFonts w:asciiTheme="majorHAnsi" w:hAnsiTheme="majorHAnsi" w:cstheme="majorHAnsi"/>
          <w:i/>
          <w:sz w:val="24"/>
          <w:szCs w:val="24"/>
        </w:rPr>
        <w:t>no reason to suppose that anything is amiss</w:t>
      </w:r>
      <w:r w:rsidRPr="00911F40">
        <w:rPr>
          <w:rFonts w:asciiTheme="majorHAnsi" w:hAnsiTheme="majorHAnsi" w:cstheme="majorHAnsi"/>
          <w:sz w:val="24"/>
          <w:szCs w:val="24"/>
        </w:rPr>
        <w:t>”.</w:t>
      </w:r>
      <w:r w:rsidRPr="00911F40">
        <w:rPr>
          <w:rFonts w:asciiTheme="majorHAnsi" w:hAnsiTheme="majorHAnsi" w:cstheme="majorHAnsi"/>
          <w:color w:val="000000"/>
          <w:sz w:val="24"/>
          <w:szCs w:val="24"/>
        </w:rPr>
        <w:t xml:space="preserve"> </w:t>
      </w:r>
    </w:p>
    <w:p w14:paraId="1DF7D8CA" w14:textId="77777777" w:rsidR="006F53FC" w:rsidRPr="00911F40" w:rsidRDefault="006F53FC" w:rsidP="006F53FC">
      <w:pPr>
        <w:pStyle w:val="ListParagraph"/>
        <w:spacing w:after="0" w:line="360" w:lineRule="auto"/>
        <w:jc w:val="both"/>
        <w:rPr>
          <w:rFonts w:asciiTheme="majorHAnsi" w:hAnsiTheme="majorHAnsi" w:cstheme="majorHAnsi"/>
          <w:color w:val="000000"/>
          <w:sz w:val="24"/>
          <w:szCs w:val="24"/>
        </w:rPr>
      </w:pPr>
    </w:p>
    <w:p w14:paraId="1DF7D8CB" w14:textId="4D534CB0"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color w:val="000000"/>
          <w:sz w:val="24"/>
          <w:szCs w:val="24"/>
        </w:rPr>
        <w:t xml:space="preserve">If an application for disclosure is made then it must be </w:t>
      </w:r>
      <w:r w:rsidRPr="00911F40">
        <w:rPr>
          <w:rFonts w:asciiTheme="majorHAnsi" w:hAnsiTheme="majorHAnsi" w:cstheme="majorHAnsi"/>
          <w:i/>
          <w:color w:val="000000"/>
          <w:sz w:val="24"/>
          <w:szCs w:val="24"/>
        </w:rPr>
        <w:t>“</w:t>
      </w:r>
      <w:r w:rsidRPr="00911F40">
        <w:rPr>
          <w:rFonts w:asciiTheme="majorHAnsi" w:hAnsiTheme="majorHAnsi" w:cstheme="majorHAnsi"/>
          <w:i/>
          <w:sz w:val="24"/>
          <w:szCs w:val="24"/>
        </w:rPr>
        <w:t>properly focussed on auditing the legality of public decision making”</w:t>
      </w:r>
      <w:r w:rsidR="006F53FC" w:rsidRPr="00911F40">
        <w:rPr>
          <w:rFonts w:asciiTheme="majorHAnsi" w:hAnsiTheme="majorHAnsi" w:cstheme="majorHAnsi"/>
          <w: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Bredenkamp</w:t>
      </w:r>
      <w:r w:rsidR="006F53FC" w:rsidRPr="00911F40">
        <w:rPr>
          <w:rFonts w:asciiTheme="majorHAnsi" w:hAnsiTheme="majorHAnsi" w:cstheme="majorHAnsi"/>
          <w:i/>
          <w:sz w:val="24"/>
          <w:szCs w:val="24"/>
        </w:rPr>
        <w:t xml:space="preserve">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11</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CC" w14:textId="77777777" w:rsidR="006F53FC" w:rsidRPr="00911F40" w:rsidRDefault="006F53FC" w:rsidP="006F53FC">
      <w:pPr>
        <w:pStyle w:val="ListParagraph"/>
        <w:rPr>
          <w:rFonts w:asciiTheme="majorHAnsi" w:hAnsiTheme="majorHAnsi" w:cstheme="majorHAnsi"/>
          <w:color w:val="000000"/>
          <w:sz w:val="24"/>
          <w:szCs w:val="24"/>
        </w:rPr>
      </w:pPr>
    </w:p>
    <w:p w14:paraId="1DF7D8CD" w14:textId="0FB1EB49" w:rsidR="006F53FC"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color w:val="000000"/>
          <w:sz w:val="24"/>
          <w:szCs w:val="24"/>
        </w:rPr>
        <w:t>Disclosure may be ordered despite the fact that documents are confidential</w:t>
      </w:r>
      <w:r w:rsidR="001F78DD" w:rsidRPr="00911F40">
        <w:rPr>
          <w:rFonts w:asciiTheme="majorHAnsi" w:hAnsiTheme="majorHAnsi" w:cstheme="majorHAnsi"/>
          <w:color w:val="000000"/>
          <w:sz w:val="24"/>
          <w:szCs w:val="24"/>
        </w:rPr>
        <w:t>. I</w:t>
      </w:r>
      <w:r w:rsidRPr="00911F40">
        <w:rPr>
          <w:rFonts w:asciiTheme="majorHAnsi" w:hAnsiTheme="majorHAnsi" w:cstheme="majorHAnsi"/>
          <w:color w:val="000000"/>
          <w:sz w:val="24"/>
          <w:szCs w:val="24"/>
        </w:rPr>
        <w:t xml:space="preserve">n appropriate cases the court may require documents to be produced to it so that it can assess whether disclosure is necessary </w:t>
      </w:r>
      <w:r w:rsidRPr="00911F40">
        <w:rPr>
          <w:rFonts w:asciiTheme="majorHAnsi" w:hAnsiTheme="majorHAnsi" w:cstheme="majorHAnsi"/>
          <w:i/>
          <w:color w:val="000000"/>
          <w:sz w:val="24"/>
          <w:szCs w:val="24"/>
        </w:rPr>
        <w:t>(Re Finucane’s application</w:t>
      </w:r>
      <w:r w:rsidRPr="00911F40">
        <w:rPr>
          <w:rFonts w:asciiTheme="majorHAnsi" w:hAnsiTheme="majorHAnsi" w:cstheme="majorHAnsi"/>
          <w:color w:val="000000"/>
          <w:sz w:val="24"/>
          <w:szCs w:val="24"/>
        </w:rPr>
        <w:t xml:space="preserve"> [2013] NIQB 45, </w:t>
      </w:r>
      <w:r w:rsidRPr="00911F40">
        <w:rPr>
          <w:rFonts w:asciiTheme="majorHAnsi" w:hAnsiTheme="majorHAnsi" w:cstheme="majorHAnsi"/>
          <w:i/>
          <w:color w:val="000000"/>
          <w:sz w:val="24"/>
          <w:szCs w:val="24"/>
        </w:rPr>
        <w:t xml:space="preserve">R (NAPO) v SSJ </w:t>
      </w:r>
      <w:r w:rsidRPr="00911F40">
        <w:rPr>
          <w:rFonts w:asciiTheme="majorHAnsi" w:hAnsiTheme="majorHAnsi" w:cstheme="majorHAnsi"/>
          <w:color w:val="000000"/>
          <w:sz w:val="24"/>
          <w:szCs w:val="24"/>
        </w:rPr>
        <w:t>[2014] EWHC 4349 (Admin)) or it can order disclosure of the gist of information (</w:t>
      </w:r>
      <w:r w:rsidRPr="00911F40">
        <w:rPr>
          <w:rFonts w:asciiTheme="majorHAnsi" w:hAnsiTheme="majorHAnsi" w:cstheme="majorHAnsi"/>
          <w:i/>
          <w:sz w:val="24"/>
          <w:szCs w:val="24"/>
        </w:rPr>
        <w:t>A (a Child) v CC Dorset</w:t>
      </w:r>
      <w:r w:rsidRPr="00911F40">
        <w:rPr>
          <w:rFonts w:asciiTheme="majorHAnsi" w:hAnsiTheme="majorHAnsi" w:cstheme="majorHAnsi"/>
          <w:sz w:val="24"/>
          <w:szCs w:val="24"/>
        </w:rPr>
        <w:t xml:space="preserve"> [2010] EWHC 1748 (Admin))</w:t>
      </w:r>
      <w:r w:rsidRPr="00911F40">
        <w:rPr>
          <w:rFonts w:asciiTheme="majorHAnsi" w:hAnsiTheme="majorHAnsi" w:cstheme="majorHAnsi"/>
          <w:color w:val="000000"/>
          <w:sz w:val="24"/>
          <w:szCs w:val="24"/>
        </w:rPr>
        <w:t xml:space="preserve">. </w:t>
      </w:r>
    </w:p>
    <w:p w14:paraId="1DF7D8CE" w14:textId="77777777" w:rsidR="006F53FC" w:rsidRPr="00911F40" w:rsidRDefault="006F53FC" w:rsidP="006F53FC">
      <w:pPr>
        <w:pStyle w:val="ListParagraph"/>
        <w:rPr>
          <w:rFonts w:asciiTheme="majorHAnsi" w:hAnsiTheme="majorHAnsi" w:cstheme="majorHAnsi"/>
          <w:i/>
          <w:color w:val="000000"/>
          <w:sz w:val="24"/>
          <w:szCs w:val="24"/>
        </w:rPr>
      </w:pPr>
    </w:p>
    <w:p w14:paraId="1DF7D8CF" w14:textId="77777777"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i/>
          <w:color w:val="000000"/>
          <w:sz w:val="24"/>
          <w:szCs w:val="24"/>
        </w:rPr>
        <w:t xml:space="preserve"> </w:t>
      </w:r>
      <w:r w:rsidRPr="00911F40">
        <w:rPr>
          <w:rFonts w:asciiTheme="majorHAnsi" w:hAnsiTheme="majorHAnsi" w:cstheme="majorHAnsi"/>
          <w:sz w:val="24"/>
          <w:szCs w:val="24"/>
        </w:rPr>
        <w:t xml:space="preserve">Disclosure may be ordered to make the decision under challenge intelligible. For example, in </w:t>
      </w:r>
      <w:r w:rsidRPr="00911F40">
        <w:rPr>
          <w:rFonts w:asciiTheme="majorHAnsi" w:hAnsiTheme="majorHAnsi" w:cstheme="majorHAnsi"/>
          <w:i/>
          <w:sz w:val="24"/>
          <w:szCs w:val="24"/>
        </w:rPr>
        <w:t>R (Firstgroup Plc) v Strategic Rail Authority</w:t>
      </w:r>
      <w:r w:rsidRPr="00911F40">
        <w:rPr>
          <w:rFonts w:asciiTheme="majorHAnsi" w:hAnsiTheme="majorHAnsi" w:cstheme="majorHAnsi"/>
          <w:sz w:val="24"/>
          <w:szCs w:val="24"/>
        </w:rPr>
        <w:t xml:space="preserve"> [2003] EWHC 1611 (Admin) anonymised disclosure was ordered of scores in a rail franchise exercise, in part so that the court could evaluate an irrationality challenge.    </w:t>
      </w:r>
    </w:p>
    <w:p w14:paraId="1DF7D8D0" w14:textId="77777777" w:rsidR="006F53FC" w:rsidRPr="00911F40" w:rsidRDefault="006F53FC" w:rsidP="006F53FC">
      <w:pPr>
        <w:pStyle w:val="ListParagraph"/>
        <w:rPr>
          <w:rFonts w:asciiTheme="majorHAnsi" w:hAnsiTheme="majorHAnsi" w:cstheme="majorHAnsi"/>
          <w:color w:val="000000"/>
          <w:sz w:val="24"/>
          <w:szCs w:val="24"/>
        </w:rPr>
      </w:pPr>
    </w:p>
    <w:p w14:paraId="1DF7D8D1" w14:textId="77777777"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sz w:val="24"/>
          <w:szCs w:val="24"/>
        </w:rPr>
        <w:t xml:space="preserve">It may also be necessary to make disclosure so that cross examination can be effective – </w:t>
      </w:r>
      <w:r w:rsidRPr="00911F40">
        <w:rPr>
          <w:rFonts w:asciiTheme="majorHAnsi" w:hAnsiTheme="majorHAnsi" w:cstheme="majorHAnsi"/>
          <w:i/>
          <w:sz w:val="24"/>
          <w:szCs w:val="24"/>
        </w:rPr>
        <w:t xml:space="preserve">Al Sweady </w:t>
      </w:r>
      <w:r w:rsidRPr="00911F40">
        <w:rPr>
          <w:rFonts w:asciiTheme="majorHAnsi" w:hAnsiTheme="majorHAnsi" w:cstheme="majorHAnsi"/>
          <w:sz w:val="24"/>
          <w:szCs w:val="24"/>
        </w:rPr>
        <w:t>(below):</w:t>
      </w:r>
    </w:p>
    <w:p w14:paraId="1DF7D8D2" w14:textId="77777777" w:rsidR="00E94324" w:rsidRPr="00911F40" w:rsidRDefault="00E94324" w:rsidP="009D0ADD">
      <w:pPr>
        <w:pStyle w:val="ListParagraph"/>
        <w:spacing w:after="0" w:line="240" w:lineRule="auto"/>
        <w:rPr>
          <w:rFonts w:asciiTheme="majorHAnsi" w:hAnsiTheme="majorHAnsi" w:cstheme="majorHAnsi"/>
          <w:sz w:val="24"/>
          <w:szCs w:val="24"/>
        </w:rPr>
      </w:pPr>
    </w:p>
    <w:p w14:paraId="1DF7D8D3" w14:textId="77777777" w:rsidR="00E94324" w:rsidRPr="00911F40" w:rsidRDefault="00E94324" w:rsidP="009D0ADD">
      <w:pPr>
        <w:pStyle w:val="indent11"/>
        <w:ind w:left="1440"/>
        <w:jc w:val="both"/>
        <w:rPr>
          <w:rFonts w:asciiTheme="majorHAnsi" w:hAnsiTheme="majorHAnsi" w:cstheme="majorHAnsi"/>
        </w:rPr>
      </w:pPr>
      <w:r w:rsidRPr="00911F40">
        <w:rPr>
          <w:rFonts w:asciiTheme="majorHAnsi" w:hAnsiTheme="majorHAnsi" w:cstheme="majorHAnsi"/>
          <w:i/>
        </w:rPr>
        <w:t>“For there to have been effective cross-examination, it was vital for full disclosure to occur as otherwise the evidence of those witnesses could not be effectively challenged and appraised with the consequence that the truth would not have been discovered. Put in another way, where the court is involved in fact-finding on issues as crucial to the outcome of this case as they were in the present case, the approach to disclosure should be similar to that in an ordinary Queen’s Bench action”</w:t>
      </w:r>
      <w:r w:rsidRPr="00911F40">
        <w:rPr>
          <w:rFonts w:asciiTheme="majorHAnsi" w:hAnsiTheme="majorHAnsi" w:cstheme="majorHAnsi"/>
        </w:rPr>
        <w:t xml:space="preserve"> </w:t>
      </w:r>
      <w:r w:rsidR="006F53FC" w:rsidRPr="00911F40">
        <w:rPr>
          <w:rFonts w:asciiTheme="majorHAnsi" w:hAnsiTheme="majorHAnsi" w:cstheme="majorHAnsi"/>
        </w:rPr>
        <w:t>: at [</w:t>
      </w:r>
      <w:r w:rsidRPr="00911F40">
        <w:rPr>
          <w:rFonts w:asciiTheme="majorHAnsi" w:hAnsiTheme="majorHAnsi" w:cstheme="majorHAnsi"/>
        </w:rPr>
        <w:t>27</w:t>
      </w:r>
      <w:r w:rsidR="006F53FC" w:rsidRPr="00911F40">
        <w:rPr>
          <w:rFonts w:asciiTheme="majorHAnsi" w:hAnsiTheme="majorHAnsi" w:cstheme="majorHAnsi"/>
        </w:rPr>
        <w:t>]</w:t>
      </w:r>
      <w:r w:rsidRPr="00911F40">
        <w:rPr>
          <w:rFonts w:asciiTheme="majorHAnsi" w:hAnsiTheme="majorHAnsi" w:cstheme="majorHAnsi"/>
        </w:rPr>
        <w:t xml:space="preserve">. </w:t>
      </w:r>
    </w:p>
    <w:p w14:paraId="1DF7D8D4" w14:textId="77777777" w:rsidR="00E94324" w:rsidRPr="00911F40" w:rsidRDefault="00E94324" w:rsidP="00E94324">
      <w:pPr>
        <w:spacing w:line="360" w:lineRule="auto"/>
        <w:rPr>
          <w:rFonts w:asciiTheme="majorHAnsi" w:hAnsiTheme="majorHAnsi" w:cstheme="majorHAnsi"/>
          <w:sz w:val="24"/>
          <w:szCs w:val="24"/>
        </w:rPr>
      </w:pPr>
    </w:p>
    <w:p w14:paraId="1DF7D8D5" w14:textId="669C6CE1"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Claimants should also consider applications for information under the Freedom of Information Act 2000 and Data Protection Act 1998. </w:t>
      </w:r>
    </w:p>
    <w:p w14:paraId="1A09D2C0" w14:textId="77777777" w:rsidR="00593FBC" w:rsidRPr="00911F40" w:rsidRDefault="00593FBC" w:rsidP="0068488D">
      <w:pPr>
        <w:spacing w:after="0" w:line="360" w:lineRule="auto"/>
        <w:ind w:left="360"/>
        <w:rPr>
          <w:rFonts w:asciiTheme="majorHAnsi" w:hAnsiTheme="majorHAnsi" w:cstheme="majorHAnsi"/>
          <w:i/>
          <w:sz w:val="24"/>
          <w:szCs w:val="24"/>
        </w:rPr>
      </w:pPr>
    </w:p>
    <w:p w14:paraId="00A44F74" w14:textId="77777777" w:rsidR="00BC7385" w:rsidRPr="00911F40" w:rsidRDefault="00BC7385" w:rsidP="001671B6">
      <w:pPr>
        <w:spacing w:line="360" w:lineRule="auto"/>
        <w:ind w:firstLine="357"/>
        <w:rPr>
          <w:rFonts w:asciiTheme="majorHAnsi" w:hAnsiTheme="majorHAnsi" w:cstheme="majorHAnsi"/>
          <w:i/>
          <w:sz w:val="24"/>
          <w:szCs w:val="24"/>
        </w:rPr>
      </w:pPr>
      <w:r w:rsidRPr="00911F40">
        <w:rPr>
          <w:rFonts w:asciiTheme="majorHAnsi" w:hAnsiTheme="majorHAnsi" w:cstheme="majorHAnsi"/>
          <w:i/>
          <w:sz w:val="24"/>
          <w:szCs w:val="24"/>
        </w:rPr>
        <w:t>Closed Proceedings</w:t>
      </w:r>
    </w:p>
    <w:p w14:paraId="0444F8D2" w14:textId="379BFFD9" w:rsidR="00BC7385" w:rsidRPr="00911F40" w:rsidRDefault="00593FBC" w:rsidP="00593FBC">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On a related issue, note the decision of the Supreme Court in </w:t>
      </w:r>
      <w:r w:rsidRPr="00911F40">
        <w:rPr>
          <w:rFonts w:asciiTheme="majorHAnsi" w:hAnsiTheme="majorHAnsi" w:cstheme="majorHAnsi"/>
          <w:i/>
          <w:sz w:val="24"/>
          <w:szCs w:val="24"/>
        </w:rPr>
        <w:t>R (Belhaj) v DPP</w:t>
      </w:r>
      <w:r w:rsidRPr="00911F40">
        <w:rPr>
          <w:rFonts w:asciiTheme="majorHAnsi" w:hAnsiTheme="majorHAnsi" w:cstheme="majorHAnsi"/>
          <w:sz w:val="24"/>
          <w:szCs w:val="24"/>
        </w:rPr>
        <w:t xml:space="preserve"> [2018] 3 WLR 435, [2018] UKSC 33. The Claimants alleged that they had been unlawfully ‘rendered’ from one foreign state to another, where they had been imprisoned, tortured and subjected to other serious maltreatment by the authorities there; and that the rendition had been carried out with the assistance of the British Secret Intelligence Service and one of its senior officers. Following a police investigation the DPP informed them that the CPS had decided that there would be no prosecutions arising from the allegations because there was insufficient evidence for there to be any realistic prospect of convictions. The Claimants sought judicial review of the decision not to prosecute. In defending the claim for judicial review the </w:t>
      </w:r>
      <w:r w:rsidR="000C2148" w:rsidRPr="00911F40">
        <w:rPr>
          <w:rFonts w:asciiTheme="majorHAnsi" w:hAnsiTheme="majorHAnsi" w:cstheme="majorHAnsi"/>
          <w:sz w:val="24"/>
          <w:szCs w:val="24"/>
        </w:rPr>
        <w:t>DPP</w:t>
      </w:r>
      <w:r w:rsidRPr="00911F40">
        <w:rPr>
          <w:rFonts w:asciiTheme="majorHAnsi" w:hAnsiTheme="majorHAnsi" w:cstheme="majorHAnsi"/>
          <w:sz w:val="24"/>
          <w:szCs w:val="24"/>
        </w:rPr>
        <w:t xml:space="preserve"> wished to rely on certain classified documents</w:t>
      </w:r>
      <w:r w:rsidR="00BC7385" w:rsidRPr="00911F40">
        <w:rPr>
          <w:rFonts w:asciiTheme="majorHAnsi" w:hAnsiTheme="majorHAnsi" w:cstheme="majorHAnsi"/>
          <w:sz w:val="24"/>
          <w:szCs w:val="24"/>
        </w:rPr>
        <w:t>, and because</w:t>
      </w:r>
      <w:r w:rsidRPr="00911F40">
        <w:rPr>
          <w:rFonts w:asciiTheme="majorHAnsi" w:hAnsiTheme="majorHAnsi" w:cstheme="majorHAnsi"/>
          <w:sz w:val="24"/>
          <w:szCs w:val="24"/>
        </w:rPr>
        <w:t xml:space="preserve"> of the national security concerns relating to those documents, the Foreign Secretary applied pursuant to </w:t>
      </w:r>
      <w:r w:rsidR="00BC7385" w:rsidRPr="00911F40">
        <w:rPr>
          <w:rFonts w:asciiTheme="majorHAnsi" w:hAnsiTheme="majorHAnsi" w:cstheme="majorHAnsi"/>
          <w:sz w:val="24"/>
          <w:szCs w:val="24"/>
        </w:rPr>
        <w:t>s.6, Justice and Security Act 2013</w:t>
      </w:r>
      <w:r w:rsidRPr="00911F40">
        <w:rPr>
          <w:rFonts w:asciiTheme="majorHAnsi" w:hAnsiTheme="majorHAnsi" w:cstheme="majorHAnsi"/>
          <w:sz w:val="24"/>
          <w:szCs w:val="24"/>
        </w:rPr>
        <w:t xml:space="preserve"> for a declaration that the proceedings were proceedings in which an application might be made to the court for there to be closed material proceedings in which the documents would be considered. </w:t>
      </w:r>
    </w:p>
    <w:p w14:paraId="650A44F6" w14:textId="77777777" w:rsidR="00BC7385" w:rsidRPr="00911F40" w:rsidRDefault="00BC7385" w:rsidP="00BC7385">
      <w:pPr>
        <w:spacing w:after="0" w:line="360" w:lineRule="auto"/>
        <w:ind w:left="720"/>
        <w:jc w:val="both"/>
        <w:rPr>
          <w:rFonts w:asciiTheme="majorHAnsi" w:hAnsiTheme="majorHAnsi" w:cstheme="majorHAnsi"/>
          <w:sz w:val="24"/>
          <w:szCs w:val="24"/>
        </w:rPr>
      </w:pPr>
    </w:p>
    <w:p w14:paraId="62C4DCE4" w14:textId="3B4DDC40" w:rsidR="00593FBC" w:rsidRDefault="00593FBC" w:rsidP="00593FBC">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w:t>
      </w:r>
      <w:r w:rsidR="00BC7385" w:rsidRPr="00911F40">
        <w:rPr>
          <w:rFonts w:asciiTheme="majorHAnsi" w:hAnsiTheme="majorHAnsi" w:cstheme="majorHAnsi"/>
          <w:sz w:val="24"/>
          <w:szCs w:val="24"/>
        </w:rPr>
        <w:t>C</w:t>
      </w:r>
      <w:r w:rsidRPr="00911F40">
        <w:rPr>
          <w:rFonts w:asciiTheme="majorHAnsi" w:hAnsiTheme="majorHAnsi" w:cstheme="majorHAnsi"/>
          <w:sz w:val="24"/>
          <w:szCs w:val="24"/>
        </w:rPr>
        <w:t xml:space="preserve">laimants opposed that application on the grounds that there was no jurisdiction to hold closed material proceedings since a claim for judicial review of a decision not to prosecute amounted to </w:t>
      </w:r>
      <w:r w:rsidRPr="00911F40">
        <w:rPr>
          <w:rFonts w:asciiTheme="majorHAnsi" w:hAnsiTheme="majorHAnsi" w:cstheme="majorHAnsi"/>
          <w:i/>
          <w:sz w:val="24"/>
          <w:szCs w:val="24"/>
        </w:rPr>
        <w:t>“proceedings in a criminal cause or matter”</w:t>
      </w:r>
      <w:r w:rsidRPr="00911F40">
        <w:rPr>
          <w:rFonts w:asciiTheme="majorHAnsi" w:hAnsiTheme="majorHAnsi" w:cstheme="majorHAnsi"/>
          <w:sz w:val="24"/>
          <w:szCs w:val="24"/>
        </w:rPr>
        <w:t xml:space="preserve"> for the purposes of </w:t>
      </w:r>
      <w:r w:rsidR="00BC7385" w:rsidRPr="00911F40">
        <w:rPr>
          <w:rFonts w:asciiTheme="majorHAnsi" w:hAnsiTheme="majorHAnsi" w:cstheme="majorHAnsi"/>
          <w:sz w:val="24"/>
          <w:szCs w:val="24"/>
        </w:rPr>
        <w:t>s.6</w:t>
      </w:r>
      <w:r w:rsidRPr="00911F40">
        <w:rPr>
          <w:rFonts w:asciiTheme="majorHAnsi" w:hAnsiTheme="majorHAnsi" w:cstheme="majorHAnsi"/>
          <w:sz w:val="24"/>
          <w:szCs w:val="24"/>
        </w:rPr>
        <w:t xml:space="preserve"> of the Act. </w:t>
      </w:r>
      <w:r w:rsidR="00BC7385" w:rsidRPr="00911F40">
        <w:rPr>
          <w:rFonts w:asciiTheme="majorHAnsi" w:hAnsiTheme="majorHAnsi" w:cstheme="majorHAnsi"/>
          <w:sz w:val="24"/>
          <w:szCs w:val="24"/>
        </w:rPr>
        <w:t>This was addressed as a preliminary issue, and was appealed to the Supreme Court</w:t>
      </w:r>
      <w:r w:rsidRPr="00911F40">
        <w:rPr>
          <w:rFonts w:asciiTheme="majorHAnsi" w:hAnsiTheme="majorHAnsi" w:cstheme="majorHAnsi"/>
          <w:sz w:val="24"/>
          <w:szCs w:val="24"/>
        </w:rPr>
        <w:t>.</w:t>
      </w:r>
      <w:r w:rsidR="00BC7385" w:rsidRPr="00911F40">
        <w:rPr>
          <w:rFonts w:asciiTheme="majorHAnsi" w:hAnsiTheme="majorHAnsi" w:cstheme="majorHAnsi"/>
          <w:sz w:val="24"/>
          <w:szCs w:val="24"/>
        </w:rPr>
        <w:t xml:space="preserve"> The Supreme Court held</w:t>
      </w:r>
      <w:r w:rsidRPr="00911F40">
        <w:rPr>
          <w:rFonts w:asciiTheme="majorHAnsi" w:hAnsiTheme="majorHAnsi" w:cstheme="majorHAnsi"/>
          <w:sz w:val="24"/>
          <w:szCs w:val="24"/>
        </w:rPr>
        <w:t xml:space="preserve"> that, in accordance with its ordinary and natural meaning, the phrase “</w:t>
      </w:r>
      <w:r w:rsidRPr="00911F40">
        <w:rPr>
          <w:rFonts w:asciiTheme="majorHAnsi" w:hAnsiTheme="majorHAnsi" w:cstheme="majorHAnsi"/>
          <w:i/>
          <w:sz w:val="24"/>
          <w:szCs w:val="24"/>
        </w:rPr>
        <w:t>proceedings in a criminal cause or matter</w:t>
      </w:r>
      <w:r w:rsidRPr="00911F40">
        <w:rPr>
          <w:rFonts w:asciiTheme="majorHAnsi" w:hAnsiTheme="majorHAnsi" w:cstheme="majorHAnsi"/>
          <w:sz w:val="24"/>
          <w:szCs w:val="24"/>
        </w:rPr>
        <w:t xml:space="preserve">” in </w:t>
      </w:r>
      <w:r w:rsidR="00BC7385" w:rsidRPr="00911F40">
        <w:rPr>
          <w:rFonts w:asciiTheme="majorHAnsi" w:hAnsiTheme="majorHAnsi" w:cstheme="majorHAnsi"/>
          <w:sz w:val="24"/>
          <w:szCs w:val="24"/>
        </w:rPr>
        <w:t>s.</w:t>
      </w:r>
      <w:r w:rsidR="00D75215" w:rsidRPr="00911F40">
        <w:rPr>
          <w:rFonts w:asciiTheme="majorHAnsi" w:hAnsiTheme="majorHAnsi" w:cstheme="majorHAnsi"/>
          <w:sz w:val="24"/>
          <w:szCs w:val="24"/>
        </w:rPr>
        <w:t xml:space="preserve"> </w:t>
      </w:r>
      <w:r w:rsidR="00BC7385" w:rsidRPr="00911F40">
        <w:rPr>
          <w:rFonts w:asciiTheme="majorHAnsi" w:hAnsiTheme="majorHAnsi" w:cstheme="majorHAnsi"/>
          <w:sz w:val="24"/>
          <w:szCs w:val="24"/>
        </w:rPr>
        <w:t>6</w:t>
      </w:r>
      <w:r w:rsidRPr="00911F40">
        <w:rPr>
          <w:rFonts w:asciiTheme="majorHAnsi" w:hAnsiTheme="majorHAnsi" w:cstheme="majorHAnsi"/>
          <w:sz w:val="24"/>
          <w:szCs w:val="24"/>
        </w:rPr>
        <w:t xml:space="preserve"> included proceedings by way of judicial review of a decision made in a criminal cause; that the words </w:t>
      </w:r>
      <w:r w:rsidRPr="00911F40">
        <w:rPr>
          <w:rFonts w:asciiTheme="majorHAnsi" w:hAnsiTheme="majorHAnsi" w:cstheme="majorHAnsi"/>
          <w:i/>
          <w:sz w:val="24"/>
          <w:szCs w:val="24"/>
        </w:rPr>
        <w:t>“criminal cause or matter”</w:t>
      </w:r>
      <w:r w:rsidRPr="00911F40">
        <w:rPr>
          <w:rFonts w:asciiTheme="majorHAnsi" w:hAnsiTheme="majorHAnsi" w:cstheme="majorHAnsi"/>
          <w:sz w:val="24"/>
          <w:szCs w:val="24"/>
        </w:rPr>
        <w:t xml:space="preserve"> in </w:t>
      </w:r>
      <w:r w:rsidR="00D75215" w:rsidRPr="00911F40">
        <w:rPr>
          <w:rFonts w:asciiTheme="majorHAnsi" w:hAnsiTheme="majorHAnsi" w:cstheme="majorHAnsi"/>
          <w:sz w:val="24"/>
          <w:szCs w:val="24"/>
        </w:rPr>
        <w:t>s. 6</w:t>
      </w:r>
      <w:r w:rsidRPr="00911F40">
        <w:rPr>
          <w:rFonts w:asciiTheme="majorHAnsi" w:hAnsiTheme="majorHAnsi" w:cstheme="majorHAnsi"/>
          <w:sz w:val="24"/>
          <w:szCs w:val="24"/>
        </w:rPr>
        <w:t xml:space="preserve"> meant a matter which required judicial determination at any stage of the proceedings where the subject matter was criminal, and if the cause or matter were carried to its conclusion might result in the conviction and sentence of the persons charged; that by their claim for judicial review the </w:t>
      </w:r>
      <w:r w:rsidR="00D75215" w:rsidRPr="00911F40">
        <w:rPr>
          <w:rFonts w:asciiTheme="majorHAnsi" w:hAnsiTheme="majorHAnsi" w:cstheme="majorHAnsi"/>
          <w:sz w:val="24"/>
          <w:szCs w:val="24"/>
        </w:rPr>
        <w:t>C</w:t>
      </w:r>
      <w:r w:rsidRPr="00911F40">
        <w:rPr>
          <w:rFonts w:asciiTheme="majorHAnsi" w:hAnsiTheme="majorHAnsi" w:cstheme="majorHAnsi"/>
          <w:sz w:val="24"/>
          <w:szCs w:val="24"/>
        </w:rPr>
        <w:t xml:space="preserve">laimants were seeking to require the </w:t>
      </w:r>
      <w:r w:rsidR="00D75215" w:rsidRPr="00911F40">
        <w:rPr>
          <w:rFonts w:asciiTheme="majorHAnsi" w:hAnsiTheme="majorHAnsi" w:cstheme="majorHAnsi"/>
          <w:sz w:val="24"/>
          <w:szCs w:val="24"/>
        </w:rPr>
        <w:t>DPP</w:t>
      </w:r>
      <w:r w:rsidRPr="00911F40">
        <w:rPr>
          <w:rFonts w:asciiTheme="majorHAnsi" w:hAnsiTheme="majorHAnsi" w:cstheme="majorHAnsi"/>
          <w:sz w:val="24"/>
          <w:szCs w:val="24"/>
        </w:rPr>
        <w:t xml:space="preserve"> to prosecute a named individual and that was as much a criminal matter as the director's original decision not to prosecute; and that, accordingly, the claim was a </w:t>
      </w:r>
      <w:r w:rsidRPr="00911F40">
        <w:rPr>
          <w:rFonts w:asciiTheme="majorHAnsi" w:hAnsiTheme="majorHAnsi" w:cstheme="majorHAnsi"/>
          <w:i/>
          <w:sz w:val="24"/>
          <w:szCs w:val="24"/>
        </w:rPr>
        <w:t>“criminal cause or matter”</w:t>
      </w:r>
      <w:r w:rsidRPr="00911F40">
        <w:rPr>
          <w:rFonts w:asciiTheme="majorHAnsi" w:hAnsiTheme="majorHAnsi" w:cstheme="majorHAnsi"/>
          <w:sz w:val="24"/>
          <w:szCs w:val="24"/>
        </w:rPr>
        <w:t xml:space="preserve"> for the purposes of </w:t>
      </w:r>
      <w:r w:rsidR="00D75215" w:rsidRPr="00911F40">
        <w:rPr>
          <w:rFonts w:asciiTheme="majorHAnsi" w:hAnsiTheme="majorHAnsi" w:cstheme="majorHAnsi"/>
          <w:sz w:val="24"/>
          <w:szCs w:val="24"/>
        </w:rPr>
        <w:t>s. 6</w:t>
      </w:r>
      <w:r w:rsidRPr="00911F40">
        <w:rPr>
          <w:rFonts w:asciiTheme="majorHAnsi" w:hAnsiTheme="majorHAnsi" w:cstheme="majorHAnsi"/>
          <w:sz w:val="24"/>
          <w:szCs w:val="24"/>
        </w:rPr>
        <w:t>, and so there was no jurisdiction to hold closed material proceedings.</w:t>
      </w:r>
    </w:p>
    <w:p w14:paraId="35074BB5" w14:textId="77777777" w:rsidR="00B46952" w:rsidRPr="00B46952" w:rsidRDefault="00B46952" w:rsidP="00B46952">
      <w:pPr>
        <w:spacing w:after="0" w:line="360" w:lineRule="auto"/>
        <w:ind w:left="720"/>
        <w:jc w:val="both"/>
        <w:rPr>
          <w:rFonts w:asciiTheme="majorHAnsi" w:hAnsiTheme="majorHAnsi" w:cstheme="majorHAnsi"/>
          <w:sz w:val="24"/>
          <w:szCs w:val="24"/>
        </w:rPr>
      </w:pPr>
    </w:p>
    <w:p w14:paraId="1DF7D8D7" w14:textId="77777777" w:rsidR="00E94324" w:rsidRPr="00911F40" w:rsidRDefault="00E94324" w:rsidP="005F5903">
      <w:pPr>
        <w:keepNext/>
        <w:spacing w:line="360" w:lineRule="auto"/>
        <w:ind w:firstLine="505"/>
        <w:rPr>
          <w:rFonts w:asciiTheme="majorHAnsi" w:hAnsiTheme="majorHAnsi" w:cstheme="majorHAnsi"/>
          <w:i/>
          <w:sz w:val="24"/>
          <w:szCs w:val="24"/>
        </w:rPr>
      </w:pPr>
      <w:r w:rsidRPr="00911F40">
        <w:rPr>
          <w:rFonts w:asciiTheme="majorHAnsi" w:hAnsiTheme="majorHAnsi" w:cstheme="majorHAnsi"/>
          <w:i/>
          <w:sz w:val="24"/>
          <w:szCs w:val="24"/>
        </w:rPr>
        <w:t xml:space="preserve">Cross examination </w:t>
      </w:r>
    </w:p>
    <w:p w14:paraId="1DF7D8D8" w14:textId="7E1343EB" w:rsidR="00E94324" w:rsidRPr="00911F40" w:rsidRDefault="00E94324" w:rsidP="006F53FC">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traditional approach has always been that </w:t>
      </w:r>
      <w:r w:rsidR="00D476D1" w:rsidRPr="00911F40">
        <w:rPr>
          <w:rFonts w:asciiTheme="majorHAnsi" w:hAnsiTheme="majorHAnsi" w:cstheme="majorHAnsi"/>
          <w:sz w:val="24"/>
          <w:szCs w:val="24"/>
        </w:rPr>
        <w:t>j</w:t>
      </w:r>
      <w:r w:rsidRPr="00911F40">
        <w:rPr>
          <w:rFonts w:asciiTheme="majorHAnsi" w:hAnsiTheme="majorHAnsi" w:cstheme="majorHAnsi"/>
          <w:sz w:val="24"/>
          <w:szCs w:val="24"/>
        </w:rPr>
        <w:t>udicial review applications are ordinarily heard on paper and factual disputes will generally be resolved at trial in the Respondent’s favour</w:t>
      </w:r>
      <w:r w:rsidR="001671B6"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v Board of Visitors of Hull Prison Ex p. St Germain (No.2)</w:t>
      </w:r>
      <w:r w:rsidRPr="00911F40">
        <w:rPr>
          <w:rFonts w:asciiTheme="majorHAnsi" w:hAnsiTheme="majorHAnsi" w:cstheme="majorHAnsi"/>
          <w:sz w:val="24"/>
          <w:szCs w:val="24"/>
        </w:rPr>
        <w:t xml:space="preserve"> [1979] 1 WLR 1401.  This does not apply where the evidence is manifestly wrong</w:t>
      </w:r>
      <w:r w:rsidR="001671B6" w:rsidRPr="00911F40">
        <w:rPr>
          <w:rFonts w:asciiTheme="majorHAnsi" w:hAnsiTheme="majorHAnsi" w:cstheme="majorHAnsi"/>
          <w:sz w:val="24"/>
          <w:szCs w:val="24"/>
        </w:rPr>
        <w:t>,</w:t>
      </w:r>
      <w:r w:rsidRPr="00911F40">
        <w:rPr>
          <w:rFonts w:asciiTheme="majorHAnsi" w:hAnsiTheme="majorHAnsi" w:cstheme="majorHAnsi"/>
          <w:sz w:val="24"/>
          <w:szCs w:val="24"/>
        </w:rPr>
        <w:t xml:space="preserve"> such as where it is inconsistent with undisputed objective evidence (</w:t>
      </w:r>
      <w:r w:rsidR="001671B6" w:rsidRPr="00911F40">
        <w:rPr>
          <w:rFonts w:asciiTheme="majorHAnsi" w:hAnsiTheme="majorHAnsi" w:cstheme="majorHAnsi"/>
          <w:sz w:val="24"/>
          <w:szCs w:val="24"/>
        </w:rPr>
        <w:t xml:space="preserve">see e.g. </w:t>
      </w:r>
      <w:r w:rsidRPr="00911F40">
        <w:rPr>
          <w:rFonts w:asciiTheme="majorHAnsi" w:hAnsiTheme="majorHAnsi" w:cstheme="majorHAnsi"/>
          <w:i/>
          <w:sz w:val="24"/>
          <w:szCs w:val="24"/>
        </w:rPr>
        <w:t>S v</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Airedale NHS Trust</w:t>
      </w:r>
      <w:r w:rsidRPr="00911F40">
        <w:rPr>
          <w:rFonts w:asciiTheme="majorHAnsi" w:hAnsiTheme="majorHAnsi" w:cstheme="majorHAnsi"/>
          <w:sz w:val="24"/>
          <w:szCs w:val="24"/>
        </w:rPr>
        <w:t xml:space="preserve"> [2002] All ER (D) 79</w:t>
      </w:r>
      <w:r w:rsidR="006F53FC" w:rsidRPr="00911F40">
        <w:rPr>
          <w:rFonts w:asciiTheme="majorHAnsi" w:hAnsiTheme="majorHAnsi" w:cstheme="majorHAnsi"/>
          <w:sz w:val="24"/>
          <w:szCs w:val="24"/>
        </w:rPr>
        <w:t>, per</w:t>
      </w:r>
      <w:r w:rsidRPr="00911F40">
        <w:rPr>
          <w:rFonts w:asciiTheme="majorHAnsi" w:hAnsiTheme="majorHAnsi" w:cstheme="majorHAnsi"/>
          <w:sz w:val="24"/>
          <w:szCs w:val="24"/>
        </w:rPr>
        <w:t xml:space="preserve"> Stanley Burnton J) or where the documents show that the Defendant’s evidence </w:t>
      </w:r>
      <w:r w:rsidRPr="00911F40">
        <w:rPr>
          <w:rFonts w:asciiTheme="majorHAnsi" w:hAnsiTheme="majorHAnsi" w:cstheme="majorHAnsi"/>
          <w:i/>
          <w:sz w:val="24"/>
          <w:szCs w:val="24"/>
        </w:rPr>
        <w:t>“cannot be correct”</w:t>
      </w:r>
      <w:r w:rsidRPr="00911F40">
        <w:rPr>
          <w:rFonts w:asciiTheme="majorHAnsi" w:hAnsiTheme="majorHAnsi" w:cstheme="majorHAnsi"/>
          <w:sz w:val="24"/>
          <w:szCs w:val="24"/>
        </w:rPr>
        <w:t xml:space="preserve"> (</w:t>
      </w:r>
      <w:r w:rsidR="001671B6" w:rsidRPr="00911F40">
        <w:rPr>
          <w:rFonts w:asciiTheme="majorHAnsi" w:hAnsiTheme="majorHAnsi" w:cstheme="majorHAnsi"/>
          <w:sz w:val="24"/>
          <w:szCs w:val="24"/>
        </w:rPr>
        <w:t xml:space="preserve">see </w:t>
      </w:r>
      <w:r w:rsidRPr="00911F40">
        <w:rPr>
          <w:rFonts w:asciiTheme="majorHAnsi" w:hAnsiTheme="majorHAnsi" w:cstheme="majorHAnsi"/>
          <w:sz w:val="24"/>
          <w:szCs w:val="24"/>
        </w:rPr>
        <w:t xml:space="preserve">Silber J in </w:t>
      </w:r>
      <w:r w:rsidRPr="00911F40">
        <w:rPr>
          <w:rFonts w:asciiTheme="majorHAnsi" w:hAnsiTheme="majorHAnsi" w:cstheme="majorHAnsi"/>
          <w:i/>
          <w:sz w:val="24"/>
          <w:szCs w:val="24"/>
        </w:rPr>
        <w:t xml:space="preserve">R (Mc Vey) v Secretary of State for Health </w:t>
      </w:r>
      <w:r w:rsidRPr="00911F40">
        <w:rPr>
          <w:rFonts w:asciiTheme="majorHAnsi" w:hAnsiTheme="majorHAnsi" w:cstheme="majorHAnsi"/>
          <w:sz w:val="24"/>
          <w:szCs w:val="24"/>
        </w:rPr>
        <w:t xml:space="preserve">[2010] CP Rep 38 at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35</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and </w:t>
      </w:r>
      <w:r w:rsidRPr="00911F40">
        <w:rPr>
          <w:rFonts w:asciiTheme="majorHAnsi" w:hAnsiTheme="majorHAnsi" w:cstheme="majorHAnsi"/>
          <w:i/>
          <w:sz w:val="24"/>
          <w:szCs w:val="24"/>
        </w:rPr>
        <w:t xml:space="preserve">R (Westech College) v SSHD </w:t>
      </w:r>
      <w:r w:rsidRPr="00911F40">
        <w:rPr>
          <w:rFonts w:asciiTheme="majorHAnsi" w:hAnsiTheme="majorHAnsi" w:cstheme="majorHAnsi"/>
          <w:sz w:val="24"/>
          <w:szCs w:val="24"/>
        </w:rPr>
        <w:t xml:space="preserve">[2011] EWHC 1484 (Admin) at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22</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w:t>
      </w:r>
      <w:r w:rsidR="006F53FC" w:rsidRPr="00911F40">
        <w:rPr>
          <w:rFonts w:asciiTheme="majorHAnsi" w:hAnsiTheme="majorHAnsi" w:cstheme="majorHAnsi"/>
          <w:sz w:val="24"/>
          <w:szCs w:val="24"/>
        </w:rPr>
        <w:t>[2</w:t>
      </w:r>
      <w:r w:rsidRPr="00911F40">
        <w:rPr>
          <w:rFonts w:asciiTheme="majorHAnsi" w:hAnsiTheme="majorHAnsi" w:cstheme="majorHAnsi"/>
          <w:sz w:val="24"/>
          <w:szCs w:val="24"/>
        </w:rPr>
        <w:t>7</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D9" w14:textId="77777777" w:rsidR="00E94324" w:rsidRPr="00911F40" w:rsidRDefault="00E94324" w:rsidP="006F53FC">
      <w:pPr>
        <w:spacing w:line="360" w:lineRule="auto"/>
        <w:ind w:left="502"/>
        <w:jc w:val="both"/>
        <w:rPr>
          <w:rFonts w:asciiTheme="majorHAnsi" w:hAnsiTheme="majorHAnsi" w:cstheme="majorHAnsi"/>
          <w:sz w:val="24"/>
          <w:szCs w:val="24"/>
        </w:rPr>
      </w:pPr>
    </w:p>
    <w:p w14:paraId="1DF7D8DA" w14:textId="7AA0E5A7" w:rsidR="00E94324" w:rsidRPr="00911F40" w:rsidRDefault="00E94324" w:rsidP="006F53FC">
      <w:pPr>
        <w:pStyle w:val="indent11"/>
        <w:numPr>
          <w:ilvl w:val="0"/>
          <w:numId w:val="31"/>
        </w:numPr>
        <w:spacing w:line="360" w:lineRule="auto"/>
        <w:jc w:val="both"/>
        <w:rPr>
          <w:rFonts w:asciiTheme="majorHAnsi" w:hAnsiTheme="majorHAnsi" w:cstheme="majorHAnsi"/>
        </w:rPr>
      </w:pPr>
      <w:r w:rsidRPr="00911F40">
        <w:rPr>
          <w:rFonts w:asciiTheme="majorHAnsi" w:hAnsiTheme="majorHAnsi" w:cstheme="majorHAnsi"/>
        </w:rPr>
        <w:t xml:space="preserve">Parties and the court should always consider carefully </w:t>
      </w:r>
      <w:r w:rsidR="00D476D1" w:rsidRPr="00911F40">
        <w:rPr>
          <w:rFonts w:asciiTheme="majorHAnsi" w:hAnsiTheme="majorHAnsi" w:cstheme="majorHAnsi"/>
        </w:rPr>
        <w:t>i</w:t>
      </w:r>
      <w:r w:rsidRPr="00911F40">
        <w:rPr>
          <w:rFonts w:asciiTheme="majorHAnsi" w:hAnsiTheme="majorHAnsi" w:cstheme="majorHAnsi"/>
        </w:rPr>
        <w:t>f there is any critical factual issue which requires orders for cross-examination or disclosure. Courts should not be reluctant to make such orders in suitable cases</w:t>
      </w:r>
      <w:r w:rsidR="001671B6" w:rsidRPr="00911F40">
        <w:rPr>
          <w:rFonts w:asciiTheme="majorHAnsi" w:hAnsiTheme="majorHAnsi" w:cstheme="majorHAnsi"/>
        </w:rPr>
        <w:t>: see</w:t>
      </w:r>
      <w:r w:rsidRPr="00911F40">
        <w:rPr>
          <w:rFonts w:asciiTheme="majorHAnsi" w:hAnsiTheme="majorHAnsi" w:cstheme="majorHAnsi"/>
        </w:rPr>
        <w:t xml:space="preserve"> </w:t>
      </w:r>
      <w:r w:rsidRPr="00911F40">
        <w:rPr>
          <w:rFonts w:asciiTheme="majorHAnsi" w:hAnsiTheme="majorHAnsi" w:cstheme="majorHAnsi"/>
          <w:i/>
        </w:rPr>
        <w:t xml:space="preserve">R (Al Sweady) v Secretary of State </w:t>
      </w:r>
      <w:r w:rsidRPr="00911F40">
        <w:rPr>
          <w:rFonts w:asciiTheme="majorHAnsi" w:hAnsiTheme="majorHAnsi" w:cstheme="majorHAnsi"/>
        </w:rPr>
        <w:t xml:space="preserve">[2010] HRLR 2 at </w:t>
      </w:r>
      <w:r w:rsidR="006F53FC" w:rsidRPr="00911F40">
        <w:rPr>
          <w:rFonts w:asciiTheme="majorHAnsi" w:hAnsiTheme="majorHAnsi" w:cstheme="majorHAnsi"/>
        </w:rPr>
        <w:t>[</w:t>
      </w:r>
      <w:r w:rsidRPr="00911F40">
        <w:rPr>
          <w:rFonts w:asciiTheme="majorHAnsi" w:hAnsiTheme="majorHAnsi" w:cstheme="majorHAnsi"/>
        </w:rPr>
        <w:t>27</w:t>
      </w:r>
      <w:r w:rsidR="006F53FC" w:rsidRPr="00911F40">
        <w:rPr>
          <w:rFonts w:asciiTheme="majorHAnsi" w:hAnsiTheme="majorHAnsi" w:cstheme="majorHAnsi"/>
        </w:rPr>
        <w:t>]</w:t>
      </w:r>
      <w:r w:rsidRPr="00911F40">
        <w:rPr>
          <w:rFonts w:asciiTheme="majorHAnsi" w:hAnsiTheme="majorHAnsi" w:cstheme="majorHAnsi"/>
        </w:rPr>
        <w:t>-</w:t>
      </w:r>
      <w:r w:rsidR="006F53FC" w:rsidRPr="00911F40">
        <w:rPr>
          <w:rFonts w:asciiTheme="majorHAnsi" w:hAnsiTheme="majorHAnsi" w:cstheme="majorHAnsi"/>
        </w:rPr>
        <w:t>[2</w:t>
      </w:r>
      <w:r w:rsidRPr="00911F40">
        <w:rPr>
          <w:rFonts w:asciiTheme="majorHAnsi" w:hAnsiTheme="majorHAnsi" w:cstheme="majorHAnsi"/>
        </w:rPr>
        <w:t>8</w:t>
      </w:r>
      <w:r w:rsidR="006F53FC" w:rsidRPr="00911F40">
        <w:rPr>
          <w:rFonts w:asciiTheme="majorHAnsi" w:hAnsiTheme="majorHAnsi" w:cstheme="majorHAnsi"/>
        </w:rPr>
        <w:t>]</w:t>
      </w:r>
      <w:r w:rsidRPr="00911F40">
        <w:rPr>
          <w:rFonts w:asciiTheme="majorHAnsi" w:hAnsiTheme="majorHAnsi" w:cstheme="majorHAnsi"/>
        </w:rPr>
        <w:t xml:space="preserve">. They must consider at an early stage whether cross examination may be necessary and seek appropriate directions – </w:t>
      </w:r>
      <w:r w:rsidRPr="00911F40">
        <w:rPr>
          <w:rFonts w:asciiTheme="majorHAnsi" w:hAnsiTheme="majorHAnsi" w:cstheme="majorHAnsi"/>
          <w:i/>
        </w:rPr>
        <w:t xml:space="preserve">ibid </w:t>
      </w:r>
      <w:r w:rsidR="006F53FC" w:rsidRPr="00911F40">
        <w:rPr>
          <w:rFonts w:asciiTheme="majorHAnsi" w:hAnsiTheme="majorHAnsi" w:cstheme="majorHAnsi"/>
        </w:rPr>
        <w:t>at</w:t>
      </w:r>
      <w:r w:rsidRPr="00911F40">
        <w:rPr>
          <w:rFonts w:asciiTheme="majorHAnsi" w:hAnsiTheme="majorHAnsi" w:cstheme="majorHAnsi"/>
        </w:rPr>
        <w:t xml:space="preserve"> </w:t>
      </w:r>
      <w:r w:rsidR="006F53FC" w:rsidRPr="00911F40">
        <w:rPr>
          <w:rFonts w:asciiTheme="majorHAnsi" w:hAnsiTheme="majorHAnsi" w:cstheme="majorHAnsi"/>
        </w:rPr>
        <w:t>[</w:t>
      </w:r>
      <w:r w:rsidRPr="00911F40">
        <w:rPr>
          <w:rFonts w:asciiTheme="majorHAnsi" w:hAnsiTheme="majorHAnsi" w:cstheme="majorHAnsi"/>
        </w:rPr>
        <w:t>64</w:t>
      </w:r>
      <w:r w:rsidR="006F53FC" w:rsidRPr="00911F40">
        <w:rPr>
          <w:rFonts w:asciiTheme="majorHAnsi" w:hAnsiTheme="majorHAnsi" w:cstheme="majorHAnsi"/>
        </w:rPr>
        <w:t>]</w:t>
      </w:r>
      <w:r w:rsidRPr="00911F40">
        <w:rPr>
          <w:rFonts w:asciiTheme="majorHAnsi" w:hAnsiTheme="majorHAnsi" w:cstheme="majorHAnsi"/>
        </w:rPr>
        <w:t>.</w:t>
      </w:r>
    </w:p>
    <w:p w14:paraId="1DF7D8DB" w14:textId="77777777" w:rsidR="00E94324" w:rsidRPr="00911F40" w:rsidRDefault="00E94324" w:rsidP="006F53FC">
      <w:pPr>
        <w:spacing w:line="360" w:lineRule="auto"/>
        <w:jc w:val="both"/>
        <w:rPr>
          <w:rFonts w:asciiTheme="majorHAnsi" w:hAnsiTheme="majorHAnsi" w:cstheme="majorHAnsi"/>
          <w:sz w:val="24"/>
          <w:szCs w:val="24"/>
        </w:rPr>
      </w:pPr>
    </w:p>
    <w:p w14:paraId="1DF7D8DC"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Examples of cases where applications to cross examine may be allowed are: </w:t>
      </w:r>
    </w:p>
    <w:p w14:paraId="1DF7D8DD" w14:textId="77777777" w:rsidR="00E94324" w:rsidRPr="00911F40" w:rsidRDefault="00E94324" w:rsidP="00E94324">
      <w:pPr>
        <w:spacing w:line="360" w:lineRule="auto"/>
        <w:rPr>
          <w:rFonts w:asciiTheme="majorHAnsi" w:hAnsiTheme="majorHAnsi" w:cstheme="majorHAnsi"/>
          <w:sz w:val="24"/>
          <w:szCs w:val="24"/>
        </w:rPr>
      </w:pPr>
    </w:p>
    <w:p w14:paraId="1DF7D8DE"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court has to reach a conclusion on disputed issues of fact, for example: </w:t>
      </w:r>
    </w:p>
    <w:p w14:paraId="1DF7D8DF" w14:textId="77777777" w:rsidR="00E94324" w:rsidRPr="00911F40" w:rsidRDefault="00E94324" w:rsidP="00E94324">
      <w:pPr>
        <w:spacing w:line="360" w:lineRule="auto"/>
        <w:ind w:left="1440"/>
        <w:rPr>
          <w:rFonts w:asciiTheme="majorHAnsi" w:hAnsiTheme="majorHAnsi" w:cstheme="majorHAnsi"/>
          <w:sz w:val="24"/>
          <w:szCs w:val="24"/>
        </w:rPr>
      </w:pPr>
    </w:p>
    <w:p w14:paraId="1DF7D8E0" w14:textId="73FF2A8E" w:rsidR="00E94324" w:rsidRPr="00911F40" w:rsidRDefault="00E94324" w:rsidP="006F53FC">
      <w:pPr>
        <w:numPr>
          <w:ilvl w:val="2"/>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a question of collateral fact or where there is a dispute as to the procedure that was actually followed (see e.g. </w:t>
      </w:r>
      <w:r w:rsidRPr="00911F40">
        <w:rPr>
          <w:rFonts w:asciiTheme="majorHAnsi" w:hAnsiTheme="majorHAnsi" w:cstheme="majorHAnsi"/>
          <w:i/>
          <w:sz w:val="24"/>
          <w:szCs w:val="24"/>
        </w:rPr>
        <w:t xml:space="preserve">R (Bancoult) v Secretary of State for Foreign &amp; Commonwealth Affairs </w:t>
      </w:r>
      <w:r w:rsidRPr="00911F40">
        <w:rPr>
          <w:rFonts w:asciiTheme="majorHAnsi" w:hAnsiTheme="majorHAnsi" w:cstheme="majorHAnsi"/>
          <w:sz w:val="24"/>
          <w:szCs w:val="24"/>
        </w:rPr>
        <w:t>[2012] EWHC 2115 (Admin). Even in this case the Court retains a discretion and may resolve the issues on the papers (</w:t>
      </w:r>
      <w:r w:rsidRPr="00911F40">
        <w:rPr>
          <w:rFonts w:asciiTheme="majorHAnsi" w:hAnsiTheme="majorHAnsi" w:cstheme="majorHAnsi"/>
          <w:i/>
          <w:sz w:val="24"/>
          <w:szCs w:val="24"/>
        </w:rPr>
        <w:t>R v CC Thames Valley ex p Cotton</w:t>
      </w:r>
      <w:r w:rsidRPr="00911F40">
        <w:rPr>
          <w:rFonts w:asciiTheme="majorHAnsi" w:hAnsiTheme="majorHAnsi" w:cstheme="majorHAnsi"/>
          <w:sz w:val="24"/>
          <w:szCs w:val="24"/>
        </w:rPr>
        <w:t xml:space="preserve"> [1989] COD 318). The question is whether cross examination is necessary to deal with the case </w:t>
      </w:r>
      <w:r w:rsidRPr="00911F40">
        <w:rPr>
          <w:rFonts w:asciiTheme="majorHAnsi" w:hAnsiTheme="majorHAnsi" w:cstheme="majorHAnsi"/>
          <w:i/>
          <w:sz w:val="24"/>
          <w:szCs w:val="24"/>
        </w:rPr>
        <w:t>“fairly and justly” (</w:t>
      </w:r>
      <w:r w:rsidRPr="00911F40">
        <w:rPr>
          <w:rFonts w:asciiTheme="majorHAnsi" w:hAnsiTheme="majorHAnsi" w:cstheme="majorHAnsi"/>
          <w:sz w:val="24"/>
          <w:szCs w:val="24"/>
        </w:rPr>
        <w:t xml:space="preserve">see </w:t>
      </w:r>
      <w:r w:rsidRPr="00911F40">
        <w:rPr>
          <w:rFonts w:asciiTheme="majorHAnsi" w:hAnsiTheme="majorHAnsi" w:cstheme="majorHAnsi"/>
          <w:i/>
          <w:sz w:val="24"/>
          <w:szCs w:val="24"/>
        </w:rPr>
        <w:t>R (St Matthews (West) Ltd) v HM Treasury</w:t>
      </w:r>
      <w:r w:rsidRPr="00911F40">
        <w:rPr>
          <w:rFonts w:asciiTheme="majorHAnsi" w:hAnsiTheme="majorHAnsi" w:cstheme="majorHAnsi"/>
          <w:sz w:val="24"/>
          <w:szCs w:val="24"/>
        </w:rPr>
        <w:t xml:space="preserve"> [2014] EWHC 2426 (Admin)</w:t>
      </w:r>
      <w:r w:rsidR="001671B6"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E1" w14:textId="77777777" w:rsidR="00E94324" w:rsidRPr="00911F40" w:rsidRDefault="00E94324" w:rsidP="006F53FC">
      <w:pPr>
        <w:spacing w:line="360" w:lineRule="auto"/>
        <w:ind w:left="1440"/>
        <w:jc w:val="both"/>
        <w:rPr>
          <w:rFonts w:asciiTheme="majorHAnsi" w:hAnsiTheme="majorHAnsi" w:cstheme="majorHAnsi"/>
          <w:sz w:val="24"/>
          <w:szCs w:val="24"/>
        </w:rPr>
      </w:pPr>
    </w:p>
    <w:p w14:paraId="1DF7D8E2" w14:textId="3D9C1555" w:rsidR="00E94324" w:rsidRPr="00911F40" w:rsidRDefault="00E94324" w:rsidP="006F53FC">
      <w:pPr>
        <w:numPr>
          <w:ilvl w:val="2"/>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Where there is </w:t>
      </w:r>
      <w:r w:rsidR="001F78DD" w:rsidRPr="00911F40">
        <w:rPr>
          <w:rFonts w:asciiTheme="majorHAnsi" w:hAnsiTheme="majorHAnsi" w:cstheme="majorHAnsi"/>
          <w:sz w:val="24"/>
          <w:szCs w:val="24"/>
        </w:rPr>
        <w:t xml:space="preserve">a </w:t>
      </w:r>
      <w:r w:rsidRPr="00911F40">
        <w:rPr>
          <w:rFonts w:asciiTheme="majorHAnsi" w:hAnsiTheme="majorHAnsi" w:cstheme="majorHAnsi"/>
          <w:sz w:val="24"/>
          <w:szCs w:val="24"/>
        </w:rPr>
        <w:t xml:space="preserve">disputed allegation of a human rights breach raising a hard edged question of fact. In </w:t>
      </w:r>
      <w:r w:rsidRPr="00911F40">
        <w:rPr>
          <w:rFonts w:asciiTheme="majorHAnsi" w:hAnsiTheme="majorHAnsi" w:cstheme="majorHAnsi"/>
          <w:i/>
          <w:sz w:val="24"/>
          <w:szCs w:val="24"/>
        </w:rPr>
        <w:t>Al Sweady</w:t>
      </w:r>
      <w:r w:rsidRPr="00911F40">
        <w:rPr>
          <w:rFonts w:asciiTheme="majorHAnsi" w:hAnsiTheme="majorHAnsi" w:cstheme="majorHAnsi"/>
          <w:sz w:val="24"/>
          <w:szCs w:val="24"/>
        </w:rPr>
        <w:t xml:space="preserve"> (above) at </w:t>
      </w:r>
      <w:r w:rsidR="006F53FC" w:rsidRPr="00911F40">
        <w:rPr>
          <w:rFonts w:asciiTheme="majorHAnsi" w:hAnsiTheme="majorHAnsi" w:cstheme="majorHAnsi"/>
          <w:sz w:val="24"/>
          <w:szCs w:val="24"/>
        </w:rPr>
        <w:t>[1</w:t>
      </w:r>
      <w:r w:rsidRPr="00911F40">
        <w:rPr>
          <w:rFonts w:asciiTheme="majorHAnsi" w:hAnsiTheme="majorHAnsi" w:cstheme="majorHAnsi"/>
          <w:sz w:val="24"/>
          <w:szCs w:val="24"/>
        </w:rPr>
        <w:t>9</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the court said: </w:t>
      </w:r>
    </w:p>
    <w:p w14:paraId="1DF7D8E3" w14:textId="77777777" w:rsidR="00E94324" w:rsidRPr="00911F40" w:rsidRDefault="00E94324" w:rsidP="006F53FC">
      <w:pPr>
        <w:pStyle w:val="ListParagraph"/>
        <w:spacing w:line="360" w:lineRule="auto"/>
        <w:jc w:val="both"/>
        <w:rPr>
          <w:rFonts w:asciiTheme="majorHAnsi" w:hAnsiTheme="majorHAnsi" w:cstheme="majorHAnsi"/>
          <w:sz w:val="24"/>
          <w:szCs w:val="24"/>
        </w:rPr>
      </w:pPr>
    </w:p>
    <w:p w14:paraId="1DF7D8E4" w14:textId="77777777" w:rsidR="00E94324" w:rsidRPr="00911F40" w:rsidRDefault="00E94324" w:rsidP="00E94324">
      <w:pPr>
        <w:ind w:left="2340"/>
        <w:rPr>
          <w:rFonts w:asciiTheme="majorHAnsi" w:hAnsiTheme="majorHAnsi" w:cstheme="majorHAnsi"/>
          <w:i/>
          <w:sz w:val="24"/>
          <w:szCs w:val="24"/>
        </w:rPr>
      </w:pPr>
      <w:r w:rsidRPr="00911F40">
        <w:rPr>
          <w:rFonts w:asciiTheme="majorHAnsi" w:hAnsiTheme="majorHAnsi" w:cstheme="majorHAnsi"/>
          <w:i/>
          <w:sz w:val="24"/>
          <w:szCs w:val="24"/>
        </w:rPr>
        <w:t xml:space="preserve">“In our view, it was necessary to allow cross-examination of makers of witness statements on those “hard-edged” questions of fact. We envisage that such cross-examination might occur with increasing regularity in cases where there are crucial factual disputes between the parties relating to jurisdiction of the ECHR and the engagement of its articles”.  </w:t>
      </w:r>
    </w:p>
    <w:p w14:paraId="1DF7D8E6" w14:textId="77777777" w:rsidR="00E94324" w:rsidRPr="00911F40" w:rsidRDefault="00E94324" w:rsidP="0068488D">
      <w:pPr>
        <w:spacing w:line="360" w:lineRule="auto"/>
        <w:ind w:left="2340"/>
        <w:jc w:val="both"/>
        <w:rPr>
          <w:rFonts w:asciiTheme="majorHAnsi" w:hAnsiTheme="majorHAnsi" w:cstheme="majorHAnsi"/>
          <w:sz w:val="24"/>
          <w:szCs w:val="24"/>
        </w:rPr>
      </w:pPr>
      <w:r w:rsidRPr="00911F40">
        <w:rPr>
          <w:rFonts w:asciiTheme="majorHAnsi" w:hAnsiTheme="majorHAnsi" w:cstheme="majorHAnsi"/>
          <w:sz w:val="24"/>
          <w:szCs w:val="24"/>
        </w:rPr>
        <w:t xml:space="preserve">The issues of fact in that case were: </w:t>
      </w:r>
    </w:p>
    <w:p w14:paraId="1DF7D8E7" w14:textId="66F2F645"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Where had Al Sweady been killed. The applicability of Art</w:t>
      </w:r>
      <w:r w:rsidR="00472340" w:rsidRPr="00911F40">
        <w:rPr>
          <w:rFonts w:asciiTheme="majorHAnsi" w:hAnsiTheme="majorHAnsi" w:cstheme="majorHAnsi"/>
          <w:sz w:val="24"/>
          <w:szCs w:val="24"/>
        </w:rPr>
        <w:t>icle</w:t>
      </w:r>
      <w:r w:rsidRPr="00911F40">
        <w:rPr>
          <w:rFonts w:asciiTheme="majorHAnsi" w:hAnsiTheme="majorHAnsi" w:cstheme="majorHAnsi"/>
          <w:sz w:val="24"/>
          <w:szCs w:val="24"/>
        </w:rPr>
        <w:t xml:space="preserve"> 2 depended on this. </w:t>
      </w:r>
    </w:p>
    <w:p w14:paraId="1DF7D8E8" w14:textId="282463B4"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Had the </w:t>
      </w:r>
      <w:r w:rsidR="00472340" w:rsidRPr="00911F40">
        <w:rPr>
          <w:rFonts w:asciiTheme="majorHAnsi" w:hAnsiTheme="majorHAnsi" w:cstheme="majorHAnsi"/>
          <w:sz w:val="24"/>
          <w:szCs w:val="24"/>
        </w:rPr>
        <w:t>Claimant</w:t>
      </w:r>
      <w:r w:rsidRPr="00911F40">
        <w:rPr>
          <w:rFonts w:asciiTheme="majorHAnsi" w:hAnsiTheme="majorHAnsi" w:cstheme="majorHAnsi"/>
          <w:sz w:val="24"/>
          <w:szCs w:val="24"/>
        </w:rPr>
        <w:t>s been subjected to ill treatment in a way that infringed their Art</w:t>
      </w:r>
      <w:r w:rsidR="00472340" w:rsidRPr="00911F40">
        <w:rPr>
          <w:rFonts w:asciiTheme="majorHAnsi" w:hAnsiTheme="majorHAnsi" w:cstheme="majorHAnsi"/>
          <w:sz w:val="24"/>
          <w:szCs w:val="24"/>
        </w:rPr>
        <w:t>icle</w:t>
      </w:r>
      <w:r w:rsidRPr="00911F40">
        <w:rPr>
          <w:rFonts w:asciiTheme="majorHAnsi" w:hAnsiTheme="majorHAnsi" w:cstheme="majorHAnsi"/>
          <w:sz w:val="24"/>
          <w:szCs w:val="24"/>
        </w:rPr>
        <w:t xml:space="preserve"> 3 rights</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E9" w14:textId="1D045396"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Was detention of some of the </w:t>
      </w:r>
      <w:r w:rsidR="00472340" w:rsidRPr="00911F40">
        <w:rPr>
          <w:rFonts w:asciiTheme="majorHAnsi" w:hAnsiTheme="majorHAnsi" w:cstheme="majorHAnsi"/>
          <w:sz w:val="24"/>
          <w:szCs w:val="24"/>
        </w:rPr>
        <w:t>Claimant</w:t>
      </w:r>
      <w:r w:rsidRPr="00911F40">
        <w:rPr>
          <w:rFonts w:asciiTheme="majorHAnsi" w:hAnsiTheme="majorHAnsi" w:cstheme="majorHAnsi"/>
          <w:sz w:val="24"/>
          <w:szCs w:val="24"/>
        </w:rPr>
        <w:t>s justified for the purposes of Article 5</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 xml:space="preserve"> Were they held for imperative reasons of security?</w:t>
      </w:r>
    </w:p>
    <w:p w14:paraId="1DF7D8EA" w14:textId="19D7374A"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Would the Claimants be subjected to ill</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treatment if handed over to the Iraqi authorities</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EB" w14:textId="77777777" w:rsidR="00E94324" w:rsidRPr="00911F40" w:rsidRDefault="00E94324" w:rsidP="00E94324">
      <w:pPr>
        <w:spacing w:line="360" w:lineRule="auto"/>
        <w:ind w:left="1440"/>
        <w:rPr>
          <w:rFonts w:asciiTheme="majorHAnsi" w:hAnsiTheme="majorHAnsi" w:cstheme="majorHAnsi"/>
          <w:sz w:val="24"/>
          <w:szCs w:val="24"/>
        </w:rPr>
      </w:pPr>
    </w:p>
    <w:p w14:paraId="1DF7D8EC"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Where fundamental human rights are at stake and the court has to review the merits of the decision – for example questions as to the compulsory treatment of a detained patient - </w:t>
      </w:r>
      <w:r w:rsidRPr="00911F40">
        <w:rPr>
          <w:rFonts w:asciiTheme="majorHAnsi" w:hAnsiTheme="majorHAnsi" w:cstheme="majorHAnsi"/>
          <w:i/>
          <w:sz w:val="24"/>
          <w:szCs w:val="24"/>
        </w:rPr>
        <w:t xml:space="preserve"> R (Wilkinson) v RMO Broadmoor Hospital</w:t>
      </w:r>
      <w:r w:rsidRPr="00911F40">
        <w:rPr>
          <w:rFonts w:asciiTheme="majorHAnsi" w:hAnsiTheme="majorHAnsi" w:cstheme="majorHAnsi"/>
          <w:sz w:val="24"/>
          <w:szCs w:val="24"/>
        </w:rPr>
        <w:t xml:space="preserve"> [2002] 1 WLR 419. </w:t>
      </w:r>
    </w:p>
    <w:p w14:paraId="1DF7D8ED" w14:textId="77777777" w:rsidR="00E94324" w:rsidRPr="00911F40" w:rsidRDefault="00E94324" w:rsidP="00E94324">
      <w:pPr>
        <w:spacing w:line="360" w:lineRule="auto"/>
        <w:ind w:left="502"/>
        <w:rPr>
          <w:rFonts w:asciiTheme="majorHAnsi" w:hAnsiTheme="majorHAnsi" w:cstheme="majorHAnsi"/>
          <w:sz w:val="24"/>
          <w:szCs w:val="24"/>
        </w:rPr>
      </w:pPr>
    </w:p>
    <w:p w14:paraId="1DF7D8EE" w14:textId="3C3D6E9B"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More recent cases have suggested that a</w:t>
      </w:r>
      <w:r w:rsidR="001F78DD" w:rsidRPr="00911F40">
        <w:rPr>
          <w:rFonts w:asciiTheme="majorHAnsi" w:hAnsiTheme="majorHAnsi" w:cstheme="majorHAnsi"/>
          <w:sz w:val="24"/>
          <w:szCs w:val="24"/>
        </w:rPr>
        <w:t xml:space="preserve"> more</w:t>
      </w:r>
      <w:r w:rsidRPr="00911F40">
        <w:rPr>
          <w:rFonts w:asciiTheme="majorHAnsi" w:hAnsiTheme="majorHAnsi" w:cstheme="majorHAnsi"/>
          <w:sz w:val="24"/>
          <w:szCs w:val="24"/>
        </w:rPr>
        <w:t xml:space="preserve"> relaxed approach to ordering cross examination is not confined to fundamental human rights cases. </w:t>
      </w:r>
      <w:r w:rsidR="006F53FC" w:rsidRPr="00911F40">
        <w:rPr>
          <w:rFonts w:asciiTheme="majorHAnsi" w:hAnsiTheme="majorHAnsi" w:cstheme="majorHAnsi"/>
          <w:sz w:val="24"/>
          <w:szCs w:val="24"/>
        </w:rPr>
        <w:t xml:space="preserve"> For example:</w:t>
      </w:r>
    </w:p>
    <w:p w14:paraId="1DF7D8EF" w14:textId="77777777" w:rsidR="00E94324" w:rsidRPr="00911F40" w:rsidRDefault="00E94324" w:rsidP="00E94324">
      <w:pPr>
        <w:pStyle w:val="ListParagraph"/>
        <w:spacing w:line="360" w:lineRule="auto"/>
        <w:rPr>
          <w:rFonts w:asciiTheme="majorHAnsi" w:hAnsiTheme="majorHAnsi" w:cstheme="majorHAnsi"/>
          <w:sz w:val="24"/>
          <w:szCs w:val="24"/>
        </w:rPr>
      </w:pPr>
    </w:p>
    <w:p w14:paraId="1DF7D8F0"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i/>
          <w:sz w:val="24"/>
          <w:szCs w:val="24"/>
        </w:rPr>
        <w:t>R (MH) v SSHD</w:t>
      </w:r>
      <w:r w:rsidRPr="00911F40">
        <w:rPr>
          <w:rFonts w:asciiTheme="majorHAnsi" w:hAnsiTheme="majorHAnsi" w:cstheme="majorHAnsi"/>
          <w:sz w:val="24"/>
          <w:szCs w:val="24"/>
        </w:rPr>
        <w:t xml:space="preserve"> [2009] EWHC 2506 (Admin)</w:t>
      </w:r>
      <w:r w:rsidR="006F53FC" w:rsidRPr="00911F40">
        <w:rPr>
          <w:rFonts w:asciiTheme="majorHAnsi" w:hAnsiTheme="majorHAnsi" w:cstheme="majorHAnsi"/>
          <w:sz w:val="24"/>
          <w:szCs w:val="24"/>
        </w:rPr>
        <w:t>, per</w:t>
      </w:r>
      <w:r w:rsidRPr="00911F40">
        <w:rPr>
          <w:rFonts w:asciiTheme="majorHAnsi" w:hAnsiTheme="majorHAnsi" w:cstheme="majorHAnsi"/>
          <w:sz w:val="24"/>
          <w:szCs w:val="24"/>
        </w:rPr>
        <w:t xml:space="preserve"> Sales J</w:t>
      </w:r>
      <w:r w:rsidR="006F53FC" w:rsidRPr="00911F40">
        <w:rPr>
          <w:rFonts w:asciiTheme="majorHAnsi" w:hAnsiTheme="majorHAnsi" w:cstheme="majorHAnsi"/>
          <w:sz w:val="24"/>
          <w:szCs w:val="24"/>
        </w:rPr>
        <w:t xml:space="preserve"> (as he then was)</w:t>
      </w:r>
      <w:r w:rsidRPr="00911F40">
        <w:rPr>
          <w:rFonts w:asciiTheme="majorHAnsi" w:hAnsiTheme="majorHAnsi" w:cstheme="majorHAnsi"/>
          <w:sz w:val="24"/>
          <w:szCs w:val="24"/>
        </w:rPr>
        <w:t>:</w:t>
      </w:r>
    </w:p>
    <w:p w14:paraId="1DF7D8F1" w14:textId="77777777" w:rsidR="00E94324" w:rsidRPr="00911F40" w:rsidRDefault="00E94324" w:rsidP="00E94324">
      <w:pPr>
        <w:spacing w:line="360" w:lineRule="auto"/>
        <w:ind w:left="1440"/>
        <w:rPr>
          <w:rFonts w:asciiTheme="majorHAnsi" w:hAnsiTheme="majorHAnsi" w:cstheme="majorHAnsi"/>
          <w:sz w:val="24"/>
          <w:szCs w:val="24"/>
        </w:rPr>
      </w:pPr>
    </w:p>
    <w:p w14:paraId="1DF7D8F2" w14:textId="77777777" w:rsidR="00E94324" w:rsidRPr="00911F40" w:rsidRDefault="00E94324" w:rsidP="00E94324">
      <w:pPr>
        <w:ind w:left="1440"/>
        <w:rPr>
          <w:rFonts w:asciiTheme="majorHAnsi" w:hAnsiTheme="majorHAnsi" w:cstheme="majorHAnsi"/>
          <w:sz w:val="24"/>
          <w:szCs w:val="24"/>
        </w:rPr>
      </w:pPr>
      <w:r w:rsidRPr="00911F40">
        <w:rPr>
          <w:rFonts w:asciiTheme="majorHAnsi" w:hAnsiTheme="majorHAnsi" w:cstheme="majorHAnsi"/>
          <w:i/>
          <w:sz w:val="24"/>
          <w:szCs w:val="24"/>
        </w:rPr>
        <w:lastRenderedPageBreak/>
        <w:t>“The fact that a claim (such as a claim in tort) happens to be brought using the procedure in Part 54 does not mean that ordinary procedures employed by the courts for resolving substantial disputes of fact (including cross-examination) are not to be applied</w:t>
      </w:r>
      <w:r w:rsidRPr="00911F40">
        <w:rPr>
          <w:rFonts w:asciiTheme="majorHAnsi" w:hAnsiTheme="majorHAnsi" w:cstheme="majorHAnsi"/>
          <w:sz w:val="24"/>
          <w:szCs w:val="24"/>
        </w:rPr>
        <w:t>”</w:t>
      </w:r>
      <w:r w:rsidRPr="00911F40">
        <w:rPr>
          <w:rStyle w:val="FootnoteReference"/>
          <w:rFonts w:asciiTheme="majorHAnsi" w:hAnsiTheme="majorHAnsi" w:cstheme="majorHAnsi"/>
          <w:sz w:val="24"/>
          <w:szCs w:val="24"/>
        </w:rPr>
        <w:footnoteReference w:id="5"/>
      </w:r>
      <w:r w:rsidRPr="00911F40">
        <w:rPr>
          <w:rFonts w:asciiTheme="majorHAnsi" w:hAnsiTheme="majorHAnsi" w:cstheme="majorHAnsi"/>
          <w:sz w:val="24"/>
          <w:szCs w:val="24"/>
        </w:rPr>
        <w:t>.</w:t>
      </w:r>
    </w:p>
    <w:p w14:paraId="1DF7D8F3" w14:textId="77777777" w:rsidR="00E94324" w:rsidRPr="00911F40" w:rsidRDefault="00E94324" w:rsidP="00E94324">
      <w:pPr>
        <w:pStyle w:val="ListParagraph"/>
        <w:spacing w:line="360" w:lineRule="auto"/>
        <w:rPr>
          <w:rFonts w:asciiTheme="majorHAnsi" w:hAnsiTheme="majorHAnsi" w:cstheme="majorHAnsi"/>
          <w:sz w:val="24"/>
          <w:szCs w:val="24"/>
        </w:rPr>
      </w:pPr>
    </w:p>
    <w:p w14:paraId="1DF7D8F4" w14:textId="76B307BD"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i/>
          <w:sz w:val="24"/>
          <w:szCs w:val="24"/>
        </w:rPr>
        <w:t xml:space="preserve">R (McVey) v Secretary of State for Health </w:t>
      </w:r>
      <w:r w:rsidRPr="00911F40">
        <w:rPr>
          <w:rFonts w:asciiTheme="majorHAnsi" w:hAnsiTheme="majorHAnsi" w:cstheme="majorHAnsi"/>
          <w:sz w:val="24"/>
          <w:szCs w:val="24"/>
        </w:rPr>
        <w:t xml:space="preserve">[2010] CP Rep 38 – a case involving whether the Defendant had acted to amend a vCJD scheme when so advised by trustees. No application for cross examination </w:t>
      </w:r>
      <w:r w:rsidR="001F78DD" w:rsidRPr="00911F40">
        <w:rPr>
          <w:rFonts w:asciiTheme="majorHAnsi" w:hAnsiTheme="majorHAnsi" w:cstheme="majorHAnsi"/>
          <w:sz w:val="24"/>
          <w:szCs w:val="24"/>
        </w:rPr>
        <w:t xml:space="preserve">was made </w:t>
      </w:r>
      <w:r w:rsidRPr="00911F40">
        <w:rPr>
          <w:rFonts w:asciiTheme="majorHAnsi" w:hAnsiTheme="majorHAnsi" w:cstheme="majorHAnsi"/>
          <w:sz w:val="24"/>
          <w:szCs w:val="24"/>
        </w:rPr>
        <w:t xml:space="preserve">but Silber J stated as a general rule: </w:t>
      </w:r>
    </w:p>
    <w:p w14:paraId="1DF7D8F5" w14:textId="77777777" w:rsidR="00E94324" w:rsidRPr="00911F40" w:rsidRDefault="00E94324" w:rsidP="00E94324">
      <w:pPr>
        <w:spacing w:before="100" w:beforeAutospacing="1" w:after="100" w:afterAutospacing="1"/>
        <w:ind w:left="1440"/>
        <w:rPr>
          <w:rFonts w:asciiTheme="majorHAnsi" w:hAnsiTheme="majorHAnsi" w:cstheme="majorHAnsi"/>
          <w:i/>
          <w:sz w:val="24"/>
          <w:szCs w:val="24"/>
          <w:lang w:val="en-US"/>
        </w:rPr>
      </w:pPr>
      <w:r w:rsidRPr="00911F40">
        <w:rPr>
          <w:rFonts w:asciiTheme="majorHAnsi" w:hAnsiTheme="majorHAnsi" w:cstheme="majorHAnsi"/>
          <w:i/>
          <w:sz w:val="24"/>
          <w:szCs w:val="24"/>
          <w:lang w:val="en-US"/>
        </w:rPr>
        <w:t>“The proper course for a claimant who wishes to challenge the correctness of an important aspect of the defendant's evidence relating to a factual matter on which the judge will have to make a critical factual finding is to apply to cross-examine the maker of the witness statement on which the defendant relies”.</w:t>
      </w:r>
    </w:p>
    <w:p w14:paraId="1DF7D8F6" w14:textId="77777777" w:rsidR="00E94324" w:rsidRPr="00911F40" w:rsidRDefault="00E94324" w:rsidP="00B50AFB">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i/>
          <w:sz w:val="24"/>
          <w:szCs w:val="24"/>
        </w:rPr>
        <w:t xml:space="preserve">R (Shoesmith) v OFSTED and others </w:t>
      </w:r>
      <w:r w:rsidRPr="00911F40">
        <w:rPr>
          <w:rFonts w:asciiTheme="majorHAnsi" w:hAnsiTheme="majorHAnsi" w:cstheme="majorHAnsi"/>
          <w:sz w:val="24"/>
          <w:szCs w:val="24"/>
        </w:rPr>
        <w:t xml:space="preserve">[2010] EWHC 852 (Admin). The question whether the Claimant had had an adequate opportunity to address concerns may have been an issue for cross examination. </w:t>
      </w:r>
    </w:p>
    <w:p w14:paraId="1DF7D8F7" w14:textId="77777777" w:rsidR="00E94324" w:rsidRPr="00911F40" w:rsidRDefault="00E94324" w:rsidP="00E94324">
      <w:pPr>
        <w:spacing w:line="360" w:lineRule="auto"/>
        <w:rPr>
          <w:rFonts w:asciiTheme="majorHAnsi" w:hAnsiTheme="majorHAnsi" w:cstheme="majorHAnsi"/>
          <w:sz w:val="24"/>
          <w:szCs w:val="24"/>
        </w:rPr>
      </w:pPr>
    </w:p>
    <w:p w14:paraId="1DF7D8F8" w14:textId="77777777" w:rsidR="00E94324" w:rsidRPr="00911F40" w:rsidRDefault="00E94324" w:rsidP="0068488D">
      <w:pPr>
        <w:keepNext/>
        <w:spacing w:line="360" w:lineRule="auto"/>
        <w:rPr>
          <w:rFonts w:asciiTheme="majorHAnsi" w:hAnsiTheme="majorHAnsi" w:cstheme="majorHAnsi"/>
          <w:i/>
          <w:sz w:val="24"/>
          <w:szCs w:val="24"/>
        </w:rPr>
      </w:pPr>
      <w:r w:rsidRPr="00911F40">
        <w:rPr>
          <w:rFonts w:asciiTheme="majorHAnsi" w:hAnsiTheme="majorHAnsi" w:cstheme="majorHAnsi"/>
          <w:i/>
          <w:sz w:val="24"/>
          <w:szCs w:val="24"/>
        </w:rPr>
        <w:t>Further Information</w:t>
      </w:r>
    </w:p>
    <w:p w14:paraId="1DF7D8F9" w14:textId="3369B3E9"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Under CPR Part 18 a court may require a party to </w:t>
      </w:r>
      <w:r w:rsidRPr="00911F40">
        <w:rPr>
          <w:rFonts w:asciiTheme="majorHAnsi" w:hAnsiTheme="majorHAnsi" w:cstheme="majorHAnsi"/>
          <w:i/>
          <w:sz w:val="24"/>
          <w:szCs w:val="24"/>
        </w:rPr>
        <w:t>“(a) clarify any matter which is in dispute in the proceedings or (b) give additional information in relation to any such matter whether or not the matter is contained or referred to in any case”</w:t>
      </w:r>
      <w:r w:rsidRPr="00911F40">
        <w:rPr>
          <w:rFonts w:asciiTheme="majorHAnsi" w:hAnsiTheme="majorHAnsi" w:cstheme="majorHAnsi"/>
          <w:sz w:val="24"/>
          <w:szCs w:val="24"/>
        </w:rPr>
        <w:t xml:space="preserve">. In </w:t>
      </w:r>
      <w:r w:rsidRPr="00911F40">
        <w:rPr>
          <w:rFonts w:asciiTheme="majorHAnsi" w:hAnsiTheme="majorHAnsi" w:cstheme="majorHAnsi"/>
          <w:i/>
          <w:sz w:val="24"/>
          <w:szCs w:val="24"/>
        </w:rPr>
        <w:t>Bredenkamp</w:t>
      </w:r>
      <w:r w:rsidRPr="00911F40">
        <w:rPr>
          <w:rFonts w:asciiTheme="majorHAnsi" w:hAnsiTheme="majorHAnsi" w:cstheme="majorHAnsi"/>
          <w:sz w:val="24"/>
          <w:szCs w:val="24"/>
        </w:rPr>
        <w:t xml:space="preserve"> Dingemans J allowed (in part) an application for FI but said that such requests should be exceptional. It was common ground that the principles in</w:t>
      </w:r>
      <w:r w:rsidRPr="00911F40">
        <w:rPr>
          <w:rFonts w:asciiTheme="majorHAnsi" w:hAnsiTheme="majorHAnsi" w:cstheme="majorHAnsi"/>
          <w:i/>
          <w:sz w:val="24"/>
          <w:szCs w:val="24"/>
        </w:rPr>
        <w:t xml:space="preserve"> Tweed </w:t>
      </w:r>
      <w:r w:rsidRPr="00911F40">
        <w:rPr>
          <w:rFonts w:asciiTheme="majorHAnsi" w:hAnsiTheme="majorHAnsi" w:cstheme="majorHAnsi"/>
          <w:sz w:val="24"/>
          <w:szCs w:val="24"/>
        </w:rPr>
        <w:t xml:space="preserve"> should apply [19</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 xml:space="preserve">20].  </w:t>
      </w:r>
    </w:p>
    <w:p w14:paraId="1DF7D8FA" w14:textId="77777777" w:rsidR="00E94324" w:rsidRPr="00911F40" w:rsidRDefault="00E94324" w:rsidP="00B50AFB">
      <w:pPr>
        <w:spacing w:line="360" w:lineRule="auto"/>
        <w:jc w:val="both"/>
        <w:rPr>
          <w:rFonts w:asciiTheme="majorHAnsi" w:hAnsiTheme="majorHAnsi" w:cstheme="majorHAnsi"/>
          <w:sz w:val="24"/>
          <w:szCs w:val="24"/>
        </w:rPr>
      </w:pPr>
    </w:p>
    <w:p w14:paraId="1DF7D8FC" w14:textId="0B112EB4"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Even in the absence of a formal part 18 request parties should liaise to clarify the issues in dispute. </w:t>
      </w:r>
    </w:p>
    <w:p w14:paraId="1DF7D8FD" w14:textId="77777777" w:rsidR="00E94324" w:rsidRPr="00911F40" w:rsidRDefault="00E94324" w:rsidP="00E94324">
      <w:pPr>
        <w:pStyle w:val="ListParagraph"/>
        <w:rPr>
          <w:rFonts w:asciiTheme="majorHAnsi" w:hAnsiTheme="majorHAnsi" w:cstheme="majorHAnsi"/>
          <w:sz w:val="24"/>
          <w:szCs w:val="24"/>
        </w:rPr>
      </w:pPr>
    </w:p>
    <w:p w14:paraId="1DF7D8FE" w14:textId="77777777" w:rsidR="00E94324" w:rsidRPr="00911F40" w:rsidRDefault="00E94324" w:rsidP="0068488D">
      <w:pPr>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Manner of making an interim application  </w:t>
      </w:r>
    </w:p>
    <w:p w14:paraId="1DF7D8FF" w14:textId="44A8B838"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The procedure in CPR Part 23 applies and an application should be made in an application notice supported by evidence and with a draft order. Note that under CPR part 54.1A a Court officer who is a barrister or solicitor may decide matters that are incidental to civil proceedings in the High Court or where there is no substantial dispute. This is subject to review by a judge (54.1A(5)). </w:t>
      </w:r>
    </w:p>
    <w:p w14:paraId="1DF7D900" w14:textId="77777777" w:rsidR="00E94324" w:rsidRPr="00911F40" w:rsidRDefault="00E94324" w:rsidP="0068488D">
      <w:pPr>
        <w:spacing w:line="360" w:lineRule="auto"/>
        <w:ind w:left="502"/>
        <w:jc w:val="both"/>
        <w:rPr>
          <w:rFonts w:asciiTheme="majorHAnsi" w:hAnsiTheme="majorHAnsi" w:cstheme="majorHAnsi"/>
          <w:sz w:val="24"/>
          <w:szCs w:val="24"/>
        </w:rPr>
      </w:pPr>
    </w:p>
    <w:p w14:paraId="0FA7BF24" w14:textId="17B01B5B" w:rsidR="00C90678" w:rsidRPr="00911F40" w:rsidRDefault="00E94324" w:rsidP="003B6418">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there is a hearing then a skeleton argument should be produced 2 </w:t>
      </w:r>
      <w:r w:rsidR="00777953">
        <w:rPr>
          <w:rFonts w:asciiTheme="majorHAnsi" w:hAnsiTheme="majorHAnsi" w:cstheme="majorHAnsi"/>
          <w:sz w:val="24"/>
          <w:szCs w:val="24"/>
        </w:rPr>
        <w:t xml:space="preserve">working </w:t>
      </w:r>
      <w:r w:rsidRPr="00911F40">
        <w:rPr>
          <w:rFonts w:asciiTheme="majorHAnsi" w:hAnsiTheme="majorHAnsi" w:cstheme="majorHAnsi"/>
          <w:sz w:val="24"/>
          <w:szCs w:val="24"/>
        </w:rPr>
        <w:t>days before the hearing [ACG 1</w:t>
      </w:r>
      <w:r w:rsidR="00777953">
        <w:rPr>
          <w:rFonts w:asciiTheme="majorHAnsi" w:hAnsiTheme="majorHAnsi" w:cstheme="majorHAnsi"/>
          <w:sz w:val="24"/>
          <w:szCs w:val="24"/>
        </w:rPr>
        <w:t>9</w:t>
      </w:r>
      <w:r w:rsidRPr="00911F40">
        <w:rPr>
          <w:rFonts w:asciiTheme="majorHAnsi" w:hAnsiTheme="majorHAnsi" w:cstheme="majorHAnsi"/>
          <w:sz w:val="24"/>
          <w:szCs w:val="24"/>
        </w:rPr>
        <w:t xml:space="preserve">]. </w:t>
      </w:r>
    </w:p>
    <w:p w14:paraId="1DF7D902" w14:textId="77777777" w:rsidR="00E94324" w:rsidRPr="00911F40" w:rsidRDefault="00E94324" w:rsidP="00E94324">
      <w:pPr>
        <w:spacing w:line="360" w:lineRule="auto"/>
        <w:rPr>
          <w:rFonts w:asciiTheme="majorHAnsi" w:hAnsiTheme="majorHAnsi" w:cstheme="majorHAnsi"/>
          <w:sz w:val="24"/>
          <w:szCs w:val="24"/>
        </w:rPr>
      </w:pPr>
    </w:p>
    <w:p w14:paraId="1DF7D903" w14:textId="77777777" w:rsidR="00B50AFB" w:rsidRPr="00911F40" w:rsidRDefault="00B50AFB" w:rsidP="00B50AFB">
      <w:pPr>
        <w:pStyle w:val="ListParagraph"/>
        <w:numPr>
          <w:ilvl w:val="0"/>
          <w:numId w:val="30"/>
        </w:numPr>
        <w:spacing w:line="360" w:lineRule="auto"/>
        <w:jc w:val="center"/>
        <w:rPr>
          <w:rFonts w:asciiTheme="majorHAnsi" w:hAnsiTheme="majorHAnsi" w:cstheme="majorHAnsi"/>
          <w:b/>
          <w:sz w:val="24"/>
          <w:szCs w:val="24"/>
        </w:rPr>
      </w:pPr>
      <w:r w:rsidRPr="00911F40">
        <w:rPr>
          <w:rFonts w:asciiTheme="majorHAnsi" w:hAnsiTheme="majorHAnsi" w:cstheme="majorHAnsi"/>
          <w:b/>
          <w:sz w:val="24"/>
          <w:szCs w:val="24"/>
        </w:rPr>
        <w:t>LISTING</w:t>
      </w:r>
    </w:p>
    <w:p w14:paraId="1DF7D904" w14:textId="5A1631D2"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Listing policy is set out at </w:t>
      </w:r>
      <w:hyperlink r:id="rId13" w:history="1">
        <w:r w:rsidRPr="00911F40">
          <w:rPr>
            <w:rStyle w:val="Hyperlink"/>
            <w:rFonts w:asciiTheme="majorHAnsi" w:hAnsiTheme="majorHAnsi" w:cstheme="majorHAnsi"/>
            <w:sz w:val="24"/>
            <w:szCs w:val="24"/>
          </w:rPr>
          <w:t>http://www.justice.gov.uk/courts/rcj-rolls-building/administrative-court/listing-policy</w:t>
        </w:r>
      </w:hyperlink>
      <w:r w:rsidRPr="00911F40">
        <w:rPr>
          <w:rFonts w:asciiTheme="majorHAnsi" w:hAnsiTheme="majorHAnsi" w:cstheme="majorHAnsi"/>
          <w:sz w:val="24"/>
          <w:szCs w:val="24"/>
        </w:rPr>
        <w:t xml:space="preserve"> and ACG 1</w:t>
      </w:r>
      <w:r w:rsidR="00777953">
        <w:rPr>
          <w:rFonts w:asciiTheme="majorHAnsi" w:hAnsiTheme="majorHAnsi" w:cstheme="majorHAnsi"/>
          <w:sz w:val="24"/>
          <w:szCs w:val="24"/>
        </w:rPr>
        <w:t>4</w:t>
      </w:r>
      <w:r w:rsidRPr="00911F40">
        <w:rPr>
          <w:rFonts w:asciiTheme="majorHAnsi" w:hAnsiTheme="majorHAnsi" w:cstheme="majorHAnsi"/>
          <w:sz w:val="24"/>
          <w:szCs w:val="24"/>
        </w:rPr>
        <w:t>.</w:t>
      </w:r>
      <w:r w:rsidR="00A13C95" w:rsidRPr="00911F40">
        <w:rPr>
          <w:rFonts w:asciiTheme="majorHAnsi" w:hAnsiTheme="majorHAnsi" w:cstheme="majorHAnsi"/>
          <w:sz w:val="24"/>
          <w:szCs w:val="24"/>
        </w:rPr>
        <w:t>1</w:t>
      </w:r>
      <w:r w:rsidRPr="00911F40">
        <w:rPr>
          <w:rFonts w:asciiTheme="majorHAnsi" w:hAnsiTheme="majorHAnsi" w:cstheme="majorHAnsi"/>
          <w:sz w:val="24"/>
          <w:szCs w:val="24"/>
        </w:rPr>
        <w:t xml:space="preserve">. Where counsel are on the record then the court usually attempts to fix a date convenient to counsel. Some cases are placed in the short warned list where they are liable to be called on at less than a day’s notice from the warned date. </w:t>
      </w:r>
    </w:p>
    <w:p w14:paraId="1DF7D905" w14:textId="77777777" w:rsidR="00E94324" w:rsidRPr="00911F40" w:rsidRDefault="00E94324" w:rsidP="0068488D">
      <w:pPr>
        <w:spacing w:line="360" w:lineRule="auto"/>
        <w:ind w:left="502"/>
        <w:jc w:val="both"/>
        <w:rPr>
          <w:rFonts w:asciiTheme="majorHAnsi" w:hAnsiTheme="majorHAnsi" w:cstheme="majorHAnsi"/>
          <w:sz w:val="24"/>
          <w:szCs w:val="24"/>
        </w:rPr>
      </w:pPr>
    </w:p>
    <w:p w14:paraId="1DF7D906" w14:textId="2082353C"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Once listed a hearing will not generally be adjourned</w:t>
      </w:r>
      <w:r w:rsidR="00777953">
        <w:rPr>
          <w:rFonts w:asciiTheme="majorHAnsi" w:hAnsiTheme="majorHAnsi" w:cstheme="majorHAnsi"/>
          <w:sz w:val="24"/>
          <w:szCs w:val="24"/>
        </w:rPr>
        <w:t xml:space="preserve"> without good reason</w:t>
      </w:r>
      <w:r w:rsidRPr="00911F40">
        <w:rPr>
          <w:rFonts w:asciiTheme="majorHAnsi" w:hAnsiTheme="majorHAnsi" w:cstheme="majorHAnsi"/>
          <w:sz w:val="24"/>
          <w:szCs w:val="24"/>
        </w:rPr>
        <w:t>, even if the parties agree (ACG 1</w:t>
      </w:r>
      <w:r w:rsidR="00777953">
        <w:rPr>
          <w:rFonts w:asciiTheme="majorHAnsi" w:hAnsiTheme="majorHAnsi" w:cstheme="majorHAnsi"/>
          <w:sz w:val="24"/>
          <w:szCs w:val="24"/>
        </w:rPr>
        <w:t>4</w:t>
      </w:r>
      <w:r w:rsidRPr="00911F40">
        <w:rPr>
          <w:rFonts w:asciiTheme="majorHAnsi" w:hAnsiTheme="majorHAnsi" w:cstheme="majorHAnsi"/>
          <w:sz w:val="24"/>
          <w:szCs w:val="24"/>
        </w:rPr>
        <w:t xml:space="preserve">.4.2). </w:t>
      </w:r>
      <w:r w:rsidR="00777953">
        <w:rPr>
          <w:rFonts w:asciiTheme="majorHAnsi" w:hAnsiTheme="majorHAnsi" w:cstheme="majorHAnsi"/>
          <w:sz w:val="24"/>
          <w:szCs w:val="24"/>
        </w:rPr>
        <w:t>The decision to adjourn is made by a judge, not the ACO.</w:t>
      </w:r>
    </w:p>
    <w:p w14:paraId="1DF7D907" w14:textId="77777777" w:rsidR="00E94324" w:rsidRPr="00911F40" w:rsidRDefault="00E94324" w:rsidP="0068488D">
      <w:pPr>
        <w:spacing w:line="360" w:lineRule="auto"/>
        <w:jc w:val="both"/>
        <w:rPr>
          <w:rFonts w:asciiTheme="majorHAnsi" w:hAnsiTheme="majorHAnsi" w:cstheme="majorHAnsi"/>
          <w:sz w:val="24"/>
          <w:szCs w:val="24"/>
        </w:rPr>
      </w:pPr>
    </w:p>
    <w:p w14:paraId="1DF7D908"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parties must keep the Court informed of any matters likely to affect the length of the hearing. They must also notify the court if there is a good reason for it not to be listed (e.g. settlement negotiations).  </w:t>
      </w:r>
    </w:p>
    <w:p w14:paraId="1DF7D909" w14:textId="77777777" w:rsidR="00B50AFB" w:rsidRPr="00911F40" w:rsidRDefault="00B50AFB" w:rsidP="0068488D">
      <w:pPr>
        <w:pStyle w:val="ListParagraph"/>
        <w:jc w:val="both"/>
        <w:rPr>
          <w:rFonts w:asciiTheme="majorHAnsi" w:hAnsiTheme="majorHAnsi" w:cstheme="majorHAnsi"/>
          <w:sz w:val="24"/>
          <w:szCs w:val="24"/>
        </w:rPr>
      </w:pPr>
    </w:p>
    <w:p w14:paraId="1DF7D90A" w14:textId="3FFAD627" w:rsidR="00B50AFB" w:rsidRPr="00911F40" w:rsidRDefault="00B50AFB"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It is critical to notify the Court of reading time required. This should be made clear when the time estimate is provided.</w:t>
      </w:r>
      <w:r w:rsidR="00472340" w:rsidRPr="00911F40">
        <w:rPr>
          <w:rFonts w:asciiTheme="majorHAnsi" w:hAnsiTheme="majorHAnsi" w:cstheme="majorHAnsi"/>
          <w:sz w:val="24"/>
          <w:szCs w:val="24"/>
        </w:rPr>
        <w:t xml:space="preserve"> There have been many recent examples of inadequate listings which do not allow the Judges adequate time to read in. Be realistic, notify the Court and keep a paper trail!</w:t>
      </w:r>
    </w:p>
    <w:p w14:paraId="1DF7D90B" w14:textId="77777777" w:rsidR="00E94324" w:rsidRPr="00911F40" w:rsidRDefault="00E94324" w:rsidP="00E94324">
      <w:pPr>
        <w:pStyle w:val="ListParagraph"/>
        <w:ind w:left="0"/>
        <w:rPr>
          <w:rFonts w:asciiTheme="majorHAnsi" w:hAnsiTheme="majorHAnsi" w:cstheme="majorHAnsi"/>
          <w:sz w:val="24"/>
          <w:szCs w:val="24"/>
        </w:rPr>
      </w:pPr>
    </w:p>
    <w:p w14:paraId="1DF7D90C" w14:textId="3E410082" w:rsidR="00E94324" w:rsidRPr="00911F40" w:rsidRDefault="00E94324" w:rsidP="005F5903">
      <w:pPr>
        <w:pStyle w:val="ListParagraph"/>
        <w:keepNext/>
        <w:numPr>
          <w:ilvl w:val="0"/>
          <w:numId w:val="30"/>
        </w:numPr>
        <w:spacing w:line="360" w:lineRule="auto"/>
        <w:ind w:left="714" w:hanging="357"/>
        <w:jc w:val="center"/>
        <w:rPr>
          <w:rFonts w:asciiTheme="majorHAnsi" w:hAnsiTheme="majorHAnsi" w:cstheme="majorHAnsi"/>
          <w:b/>
          <w:caps/>
          <w:sz w:val="24"/>
          <w:szCs w:val="24"/>
        </w:rPr>
      </w:pPr>
      <w:r w:rsidRPr="00911F40">
        <w:rPr>
          <w:rFonts w:asciiTheme="majorHAnsi" w:hAnsiTheme="majorHAnsi" w:cstheme="majorHAnsi"/>
          <w:b/>
          <w:caps/>
          <w:sz w:val="24"/>
          <w:szCs w:val="24"/>
        </w:rPr>
        <w:lastRenderedPageBreak/>
        <w:t>Settlement and discontinuance (ACG 2</w:t>
      </w:r>
      <w:r w:rsidR="009167F0">
        <w:rPr>
          <w:rFonts w:asciiTheme="majorHAnsi" w:hAnsiTheme="majorHAnsi" w:cstheme="majorHAnsi"/>
          <w:b/>
          <w:caps/>
          <w:sz w:val="24"/>
          <w:szCs w:val="24"/>
        </w:rPr>
        <w:t>3</w:t>
      </w:r>
      <w:r w:rsidRPr="00911F40">
        <w:rPr>
          <w:rFonts w:asciiTheme="majorHAnsi" w:hAnsiTheme="majorHAnsi" w:cstheme="majorHAnsi"/>
          <w:b/>
          <w:caps/>
          <w:sz w:val="24"/>
          <w:szCs w:val="24"/>
        </w:rPr>
        <w:t>)</w:t>
      </w:r>
    </w:p>
    <w:p w14:paraId="1DF7D90D" w14:textId="5EBD608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Parties are required to consider settlement throughout the case (ACG 1</w:t>
      </w:r>
      <w:r w:rsidR="009167F0">
        <w:rPr>
          <w:rFonts w:asciiTheme="majorHAnsi" w:hAnsiTheme="majorHAnsi" w:cstheme="majorHAnsi"/>
          <w:sz w:val="24"/>
          <w:szCs w:val="24"/>
        </w:rPr>
        <w:t>3</w:t>
      </w:r>
      <w:r w:rsidRPr="00911F40">
        <w:rPr>
          <w:rFonts w:asciiTheme="majorHAnsi" w:hAnsiTheme="majorHAnsi" w:cstheme="majorHAnsi"/>
          <w:sz w:val="24"/>
          <w:szCs w:val="24"/>
        </w:rPr>
        <w:t>.2.1) and encouraged to use ADR</w:t>
      </w:r>
      <w:r w:rsidR="00D476D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(Cowl) v Plymouth City Council (Practice Note)</w:t>
      </w:r>
      <w:r w:rsidRPr="00911F40">
        <w:rPr>
          <w:rFonts w:asciiTheme="majorHAnsi" w:hAnsiTheme="majorHAnsi" w:cstheme="majorHAnsi"/>
          <w:sz w:val="24"/>
          <w:szCs w:val="24"/>
        </w:rPr>
        <w:t xml:space="preserve"> [</w:t>
      </w:r>
      <w:r w:rsidR="00472340" w:rsidRPr="00911F40">
        <w:rPr>
          <w:rFonts w:asciiTheme="majorHAnsi" w:hAnsiTheme="majorHAnsi" w:cstheme="majorHAnsi"/>
          <w:sz w:val="24"/>
          <w:szCs w:val="24"/>
        </w:rPr>
        <w:t>2002] 1 WLR 803, [</w:t>
      </w:r>
      <w:r w:rsidRPr="00911F40">
        <w:rPr>
          <w:rFonts w:asciiTheme="majorHAnsi" w:hAnsiTheme="majorHAnsi" w:cstheme="majorHAnsi"/>
          <w:sz w:val="24"/>
          <w:szCs w:val="24"/>
        </w:rPr>
        <w:t xml:space="preserve">2001] EWCA Civ 1935. An unreasonable failure to mediate may be a reason to depart from the usual rule that costs follow the event </w:t>
      </w:r>
      <w:r w:rsidRPr="00911F40">
        <w:rPr>
          <w:rFonts w:asciiTheme="majorHAnsi" w:hAnsiTheme="majorHAnsi" w:cstheme="majorHAnsi"/>
          <w:i/>
          <w:sz w:val="24"/>
          <w:szCs w:val="24"/>
        </w:rPr>
        <w:t xml:space="preserve">PGF II SA v OMFS Co1 Ltd </w:t>
      </w:r>
      <w:r w:rsidRPr="00911F40">
        <w:rPr>
          <w:rFonts w:asciiTheme="majorHAnsi" w:hAnsiTheme="majorHAnsi" w:cstheme="majorHAnsi"/>
          <w:sz w:val="24"/>
          <w:szCs w:val="24"/>
        </w:rPr>
        <w:t xml:space="preserve">[2014] 1 WLR 1386, applied in </w:t>
      </w:r>
      <w:r w:rsidRPr="00911F40">
        <w:rPr>
          <w:rFonts w:asciiTheme="majorHAnsi" w:hAnsiTheme="majorHAnsi" w:cstheme="majorHAnsi"/>
          <w:i/>
          <w:sz w:val="24"/>
          <w:szCs w:val="24"/>
        </w:rPr>
        <w:t>R (Crawford) v Newcastle University</w:t>
      </w:r>
      <w:r w:rsidRPr="00911F40">
        <w:rPr>
          <w:rFonts w:asciiTheme="majorHAnsi" w:hAnsiTheme="majorHAnsi" w:cstheme="majorHAnsi"/>
          <w:sz w:val="24"/>
          <w:szCs w:val="24"/>
        </w:rPr>
        <w:t xml:space="preserve"> [2014] EWHC 1197 (Admin). </w:t>
      </w:r>
    </w:p>
    <w:p w14:paraId="1DF7D90E"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0F" w14:textId="08E29C37" w:rsidR="00E94324" w:rsidRPr="00911F40" w:rsidRDefault="00E94324" w:rsidP="00B50AFB">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If the parties do settle then they must inform the court promptly so as to avoid the Court wasting time reading and preparing the case</w:t>
      </w:r>
      <w:r w:rsidR="00994FE1" w:rsidRPr="00911F40">
        <w:rPr>
          <w:rFonts w:asciiTheme="majorHAnsi" w:hAnsiTheme="majorHAnsi" w:cstheme="majorHAnsi"/>
          <w:sz w:val="24"/>
          <w:szCs w:val="24"/>
        </w:rPr>
        <w:t>: see</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(Craddock) v PCA</w:t>
      </w:r>
      <w:r w:rsidRPr="00911F40">
        <w:rPr>
          <w:rFonts w:asciiTheme="majorHAnsi" w:hAnsiTheme="majorHAnsi" w:cstheme="majorHAnsi"/>
          <w:sz w:val="24"/>
          <w:szCs w:val="24"/>
        </w:rPr>
        <w:t xml:space="preserve"> [2005] EWHC 95 Admin. Failure to do so may result in a wasted costs order</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(Gassama</w:t>
      </w:r>
      <w:r w:rsidR="00D476D1"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v SSHD</w:t>
      </w:r>
      <w:r w:rsidRPr="00911F40">
        <w:rPr>
          <w:rFonts w:asciiTheme="majorHAnsi" w:hAnsiTheme="majorHAnsi" w:cstheme="majorHAnsi"/>
          <w:sz w:val="24"/>
          <w:szCs w:val="24"/>
        </w:rPr>
        <w:t xml:space="preserve"> [2012] EWHC 3049 (Admin); </w:t>
      </w:r>
      <w:r w:rsidRPr="00911F40">
        <w:rPr>
          <w:rFonts w:asciiTheme="majorHAnsi" w:hAnsiTheme="majorHAnsi" w:cstheme="majorHAnsi"/>
          <w:i/>
          <w:sz w:val="24"/>
          <w:szCs w:val="24"/>
        </w:rPr>
        <w:t xml:space="preserve">R (Grimshaw) v LBC Southwark </w:t>
      </w:r>
      <w:r w:rsidR="00994FE1" w:rsidRPr="00911F40">
        <w:rPr>
          <w:rFonts w:asciiTheme="majorHAnsi" w:hAnsiTheme="majorHAnsi" w:cstheme="majorHAnsi"/>
          <w:i/>
          <w:sz w:val="24"/>
          <w:szCs w:val="24"/>
        </w:rPr>
        <w:t>,</w:t>
      </w:r>
      <w:r w:rsidRPr="00911F40">
        <w:rPr>
          <w:rFonts w:asciiTheme="majorHAnsi" w:hAnsiTheme="majorHAnsi" w:cstheme="majorHAnsi"/>
          <w:sz w:val="24"/>
          <w:szCs w:val="24"/>
        </w:rPr>
        <w:t xml:space="preserve"> 17</w:t>
      </w:r>
      <w:r w:rsidR="00994FE1" w:rsidRPr="00911F40">
        <w:rPr>
          <w:rFonts w:asciiTheme="majorHAnsi" w:hAnsiTheme="majorHAnsi" w:cstheme="majorHAnsi"/>
          <w:sz w:val="24"/>
          <w:szCs w:val="24"/>
          <w:vertAlign w:val="superscript"/>
        </w:rPr>
        <w:t>th</w:t>
      </w:r>
      <w:r w:rsidRPr="00911F40">
        <w:rPr>
          <w:rFonts w:asciiTheme="majorHAnsi" w:hAnsiTheme="majorHAnsi" w:cstheme="majorHAnsi"/>
          <w:sz w:val="24"/>
          <w:szCs w:val="24"/>
        </w:rPr>
        <w:t xml:space="preserve"> Jul</w:t>
      </w:r>
      <w:r w:rsidR="00994FE1" w:rsidRPr="00911F40">
        <w:rPr>
          <w:rFonts w:asciiTheme="majorHAnsi" w:hAnsiTheme="majorHAnsi" w:cstheme="majorHAnsi"/>
          <w:sz w:val="24"/>
          <w:szCs w:val="24"/>
        </w:rPr>
        <w:t>y</w:t>
      </w:r>
      <w:r w:rsidRPr="00911F40">
        <w:rPr>
          <w:rFonts w:asciiTheme="majorHAnsi" w:hAnsiTheme="majorHAnsi" w:cstheme="majorHAnsi"/>
          <w:sz w:val="24"/>
          <w:szCs w:val="24"/>
        </w:rPr>
        <w:t xml:space="preserve"> 2013</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Leggatt J. </w:t>
      </w:r>
    </w:p>
    <w:p w14:paraId="1DF7D910" w14:textId="77777777" w:rsidR="00E94324" w:rsidRPr="00911F40" w:rsidRDefault="00E94324" w:rsidP="00B50AFB">
      <w:pPr>
        <w:pStyle w:val="ListParagraph"/>
        <w:jc w:val="both"/>
        <w:rPr>
          <w:rFonts w:asciiTheme="majorHAnsi" w:hAnsiTheme="majorHAnsi" w:cstheme="majorHAnsi"/>
          <w:sz w:val="24"/>
          <w:szCs w:val="24"/>
          <w:lang w:val="en-US"/>
        </w:rPr>
      </w:pPr>
    </w:p>
    <w:p w14:paraId="216AF332" w14:textId="7BF41BF4" w:rsidR="00A13C95" w:rsidRPr="00911F40" w:rsidRDefault="00E94324" w:rsidP="00D75867">
      <w:pPr>
        <w:pStyle w:val="ListParagraph"/>
        <w:numPr>
          <w:ilvl w:val="0"/>
          <w:numId w:val="31"/>
        </w:numPr>
        <w:autoSpaceDE w:val="0"/>
        <w:autoSpaceDN w:val="0"/>
        <w:adjustRightInd w:val="0"/>
        <w:snapToGrid w:val="0"/>
        <w:spacing w:after="0" w:line="360" w:lineRule="auto"/>
        <w:contextualSpacing w:val="0"/>
        <w:jc w:val="both"/>
        <w:rPr>
          <w:rFonts w:asciiTheme="majorHAnsi" w:hAnsiTheme="majorHAnsi" w:cstheme="majorHAnsi"/>
          <w:color w:val="000000"/>
          <w:sz w:val="24"/>
          <w:szCs w:val="24"/>
          <w:lang w:eastAsia="en-GB"/>
        </w:rPr>
      </w:pPr>
      <w:r w:rsidRPr="00911F40">
        <w:rPr>
          <w:rFonts w:asciiTheme="majorHAnsi" w:hAnsiTheme="majorHAnsi" w:cstheme="majorHAnsi"/>
          <w:sz w:val="24"/>
          <w:szCs w:val="24"/>
        </w:rPr>
        <w:t>Where there is a settlement then (subject to discontinuance (below)</w:t>
      </w:r>
      <w:r w:rsidR="00D476D1" w:rsidRPr="00911F40">
        <w:rPr>
          <w:rFonts w:asciiTheme="majorHAnsi" w:hAnsiTheme="majorHAnsi" w:cstheme="majorHAnsi"/>
          <w:sz w:val="24"/>
          <w:szCs w:val="24"/>
        </w:rPr>
        <w:t>)</w:t>
      </w:r>
      <w:r w:rsidRPr="00911F40">
        <w:rPr>
          <w:rFonts w:asciiTheme="majorHAnsi" w:hAnsiTheme="majorHAnsi" w:cstheme="majorHAnsi"/>
          <w:sz w:val="24"/>
          <w:szCs w:val="24"/>
        </w:rPr>
        <w:t xml:space="preserve"> the proceedings are brought to an end by a consent order which requires an application and fee (ACG 2</w:t>
      </w:r>
      <w:r w:rsidR="009167F0">
        <w:rPr>
          <w:rFonts w:asciiTheme="majorHAnsi" w:hAnsiTheme="majorHAnsi" w:cstheme="majorHAnsi"/>
          <w:sz w:val="24"/>
          <w:szCs w:val="24"/>
        </w:rPr>
        <w:t>3</w:t>
      </w:r>
      <w:r w:rsidRPr="00911F40">
        <w:rPr>
          <w:rFonts w:asciiTheme="majorHAnsi" w:hAnsiTheme="majorHAnsi" w:cstheme="majorHAnsi"/>
          <w:sz w:val="24"/>
          <w:szCs w:val="24"/>
        </w:rPr>
        <w:t>.4). includ</w:t>
      </w:r>
      <w:r w:rsidR="003D21EA" w:rsidRPr="00911F40">
        <w:rPr>
          <w:rFonts w:asciiTheme="majorHAnsi" w:hAnsiTheme="majorHAnsi" w:cstheme="majorHAnsi"/>
          <w:sz w:val="24"/>
          <w:szCs w:val="24"/>
        </w:rPr>
        <w:t>ing</w:t>
      </w:r>
      <w:r w:rsidRPr="00911F40">
        <w:rPr>
          <w:rFonts w:asciiTheme="majorHAnsi" w:hAnsiTheme="majorHAnsi" w:cstheme="majorHAnsi"/>
          <w:sz w:val="24"/>
          <w:szCs w:val="24"/>
        </w:rPr>
        <w:t xml:space="preserve"> a statement of reasons why that order is merited (PD 54 Para 17, ACG </w:t>
      </w:r>
      <w:r w:rsidR="003D21EA" w:rsidRPr="00911F40">
        <w:rPr>
          <w:rFonts w:asciiTheme="majorHAnsi" w:hAnsiTheme="majorHAnsi" w:cstheme="majorHAnsi"/>
          <w:sz w:val="24"/>
          <w:szCs w:val="24"/>
        </w:rPr>
        <w:t>2</w:t>
      </w:r>
      <w:r w:rsidR="009167F0">
        <w:rPr>
          <w:rFonts w:asciiTheme="majorHAnsi" w:hAnsiTheme="majorHAnsi" w:cstheme="majorHAnsi"/>
          <w:sz w:val="24"/>
          <w:szCs w:val="24"/>
        </w:rPr>
        <w:t>3</w:t>
      </w:r>
      <w:r w:rsidR="003D21EA" w:rsidRPr="00911F40">
        <w:rPr>
          <w:rFonts w:asciiTheme="majorHAnsi" w:hAnsiTheme="majorHAnsi" w:cstheme="majorHAnsi"/>
          <w:sz w:val="24"/>
          <w:szCs w:val="24"/>
        </w:rPr>
        <w:t>.4.1</w:t>
      </w:r>
      <w:r w:rsidRPr="00911F40">
        <w:rPr>
          <w:rFonts w:asciiTheme="majorHAnsi" w:hAnsiTheme="majorHAnsi" w:cstheme="majorHAnsi"/>
          <w:sz w:val="24"/>
          <w:szCs w:val="24"/>
        </w:rPr>
        <w:t xml:space="preserve">, and </w:t>
      </w:r>
      <w:r w:rsidRPr="00911F40">
        <w:rPr>
          <w:rFonts w:asciiTheme="majorHAnsi" w:hAnsiTheme="majorHAnsi" w:cstheme="majorHAnsi"/>
          <w:color w:val="000000"/>
          <w:sz w:val="24"/>
          <w:szCs w:val="24"/>
          <w:lang w:eastAsia="en-GB"/>
        </w:rPr>
        <w:t xml:space="preserve">Practice Direction (Administrative Court: Uncontested Proceedings) [2008] 1 WLR 1377). </w:t>
      </w:r>
      <w:r w:rsidR="008B3156" w:rsidRPr="00911F40">
        <w:rPr>
          <w:rFonts w:asciiTheme="majorHAnsi" w:hAnsiTheme="majorHAnsi" w:cstheme="majorHAnsi"/>
          <w:sz w:val="24"/>
          <w:szCs w:val="24"/>
        </w:rPr>
        <w:t>Any settlement on behalf of a child or a protected party must be approved by the court using the procedure in CPR 21 (ACG 2</w:t>
      </w:r>
      <w:r w:rsidR="009167F0">
        <w:rPr>
          <w:rFonts w:asciiTheme="majorHAnsi" w:hAnsiTheme="majorHAnsi" w:cstheme="majorHAnsi"/>
          <w:sz w:val="24"/>
          <w:szCs w:val="24"/>
        </w:rPr>
        <w:t>3</w:t>
      </w:r>
      <w:r w:rsidR="008B3156" w:rsidRPr="00911F40">
        <w:rPr>
          <w:rFonts w:asciiTheme="majorHAnsi" w:hAnsiTheme="majorHAnsi" w:cstheme="majorHAnsi"/>
          <w:sz w:val="24"/>
          <w:szCs w:val="24"/>
        </w:rPr>
        <w:t>.5).</w:t>
      </w:r>
    </w:p>
    <w:p w14:paraId="1DF7D912" w14:textId="77777777" w:rsidR="00E94324" w:rsidRPr="00911F40" w:rsidRDefault="00E94324" w:rsidP="0068488D">
      <w:pPr>
        <w:spacing w:line="360" w:lineRule="auto"/>
        <w:rPr>
          <w:rFonts w:asciiTheme="majorHAnsi" w:hAnsiTheme="majorHAnsi" w:cstheme="majorHAnsi"/>
          <w:sz w:val="24"/>
          <w:szCs w:val="24"/>
        </w:rPr>
      </w:pPr>
    </w:p>
    <w:p w14:paraId="1DF7D914"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It often happens that the parties agree all issues with the exception of costs and costs are then dealt with on the papers (see below). </w:t>
      </w:r>
    </w:p>
    <w:p w14:paraId="1DF7D915" w14:textId="77777777" w:rsidR="00E94324" w:rsidRPr="00911F40" w:rsidRDefault="00E94324" w:rsidP="00E94324">
      <w:pPr>
        <w:spacing w:line="360" w:lineRule="auto"/>
        <w:ind w:left="360" w:firstLine="360"/>
        <w:rPr>
          <w:rFonts w:asciiTheme="majorHAnsi" w:hAnsiTheme="majorHAnsi" w:cstheme="majorHAnsi"/>
          <w:b/>
          <w:sz w:val="24"/>
          <w:szCs w:val="24"/>
        </w:rPr>
      </w:pPr>
      <w:r w:rsidRPr="00911F40">
        <w:rPr>
          <w:rFonts w:asciiTheme="majorHAnsi" w:hAnsiTheme="majorHAnsi" w:cstheme="majorHAnsi"/>
          <w:b/>
          <w:i/>
          <w:sz w:val="24"/>
          <w:szCs w:val="24"/>
        </w:rPr>
        <w:t xml:space="preserve"> </w:t>
      </w:r>
    </w:p>
    <w:p w14:paraId="1DF7D916"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A Claimant may also discontinue their claim at any time by notice under CPR Part 38 (subject to the restrictions in that rule which include 38.2(2) – permission is required if there has been an injunction or undertaking). However, they must pay the Defendant’s costs unless the Court orders otherwise. </w:t>
      </w:r>
    </w:p>
    <w:p w14:paraId="1DF7D917" w14:textId="77777777" w:rsidR="00E94324" w:rsidRPr="00911F40" w:rsidRDefault="00E94324" w:rsidP="00E94324">
      <w:pPr>
        <w:pStyle w:val="ListParagraph"/>
        <w:rPr>
          <w:rFonts w:asciiTheme="majorHAnsi" w:hAnsiTheme="majorHAnsi" w:cstheme="majorHAnsi"/>
          <w:sz w:val="24"/>
          <w:szCs w:val="24"/>
        </w:rPr>
      </w:pPr>
    </w:p>
    <w:p w14:paraId="2D64E0F1" w14:textId="77777777" w:rsidR="00994FE1" w:rsidRPr="00911F40" w:rsidRDefault="00994FE1" w:rsidP="00E94324">
      <w:pPr>
        <w:pStyle w:val="ListParagraph"/>
        <w:rPr>
          <w:rFonts w:asciiTheme="majorHAnsi" w:hAnsiTheme="majorHAnsi" w:cstheme="majorHAnsi"/>
          <w:sz w:val="24"/>
          <w:szCs w:val="24"/>
        </w:rPr>
      </w:pPr>
    </w:p>
    <w:p w14:paraId="1DF7D918" w14:textId="77777777" w:rsidR="00E94324" w:rsidRPr="00911F40" w:rsidRDefault="00B50AFB" w:rsidP="005F5903">
      <w:pPr>
        <w:pStyle w:val="ListParagraph"/>
        <w:keepNext/>
        <w:numPr>
          <w:ilvl w:val="0"/>
          <w:numId w:val="30"/>
        </w:numPr>
        <w:spacing w:line="360" w:lineRule="auto"/>
        <w:ind w:left="714" w:hanging="357"/>
        <w:jc w:val="center"/>
        <w:rPr>
          <w:rFonts w:asciiTheme="majorHAnsi" w:hAnsiTheme="majorHAnsi" w:cstheme="majorHAnsi"/>
          <w:b/>
          <w:sz w:val="24"/>
          <w:szCs w:val="24"/>
        </w:rPr>
      </w:pPr>
      <w:r w:rsidRPr="00911F40">
        <w:rPr>
          <w:rFonts w:asciiTheme="majorHAnsi" w:hAnsiTheme="majorHAnsi" w:cstheme="majorHAnsi"/>
          <w:b/>
          <w:sz w:val="24"/>
          <w:szCs w:val="24"/>
        </w:rPr>
        <w:t>PREPARATION FOR THE HEARING</w:t>
      </w:r>
    </w:p>
    <w:p w14:paraId="1DF7D919" w14:textId="77777777" w:rsidR="00E94324" w:rsidRPr="00911F40" w:rsidRDefault="00E94324" w:rsidP="0068488D">
      <w:pPr>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Determination without a hearing </w:t>
      </w:r>
    </w:p>
    <w:p w14:paraId="1DF7D91A"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Under CPR Part 54.18 the </w:t>
      </w:r>
      <w:r w:rsidRPr="00911F40">
        <w:rPr>
          <w:rFonts w:asciiTheme="majorHAnsi" w:hAnsiTheme="majorHAnsi" w:cstheme="majorHAnsi"/>
          <w:i/>
          <w:sz w:val="24"/>
          <w:szCs w:val="24"/>
        </w:rPr>
        <w:t>“court may decide the claim for judicial review without a hearing where all the parties agree”.</w:t>
      </w:r>
      <w:r w:rsidRPr="00911F40">
        <w:rPr>
          <w:rFonts w:asciiTheme="majorHAnsi" w:hAnsiTheme="majorHAnsi" w:cstheme="majorHAnsi"/>
          <w:sz w:val="24"/>
          <w:szCs w:val="24"/>
        </w:rPr>
        <w:t xml:space="preserve"> This will normally be suitable for simple cases</w:t>
      </w:r>
      <w:r w:rsidRPr="00911F40">
        <w:rPr>
          <w:rStyle w:val="FootnoteReference"/>
          <w:rFonts w:asciiTheme="majorHAnsi" w:hAnsiTheme="majorHAnsi" w:cstheme="majorHAnsi"/>
          <w:sz w:val="24"/>
          <w:szCs w:val="24"/>
        </w:rPr>
        <w:footnoteReference w:id="6"/>
      </w:r>
      <w:r w:rsidRPr="00911F40">
        <w:rPr>
          <w:rFonts w:asciiTheme="majorHAnsi" w:hAnsiTheme="majorHAnsi" w:cstheme="majorHAnsi"/>
          <w:sz w:val="24"/>
          <w:szCs w:val="24"/>
        </w:rPr>
        <w:t xml:space="preserve"> only but might also be used to “tie-break” where the parties have agreed on everything apart from a discrete issue but do not want to incur the costs of a hearing. The rules and practice direction do not set out any procedures for dealing with a case in this way</w:t>
      </w:r>
      <w:r w:rsidRPr="00911F40">
        <w:rPr>
          <w:rStyle w:val="FootnoteReference"/>
          <w:rFonts w:asciiTheme="majorHAnsi" w:hAnsiTheme="majorHAnsi" w:cstheme="majorHAnsi"/>
          <w:sz w:val="24"/>
          <w:szCs w:val="24"/>
        </w:rPr>
        <w:footnoteReference w:id="7"/>
      </w:r>
      <w:r w:rsidRPr="00911F40">
        <w:rPr>
          <w:rFonts w:asciiTheme="majorHAnsi" w:hAnsiTheme="majorHAnsi" w:cstheme="majorHAnsi"/>
          <w:sz w:val="24"/>
          <w:szCs w:val="24"/>
        </w:rPr>
        <w:t xml:space="preserve">. Once permission has been granted then the Court does not have any other general power to dispose of it without a hearing unless the parties agree – </w:t>
      </w:r>
      <w:r w:rsidRPr="00911F40">
        <w:rPr>
          <w:rFonts w:asciiTheme="majorHAnsi" w:hAnsiTheme="majorHAnsi" w:cstheme="majorHAnsi"/>
          <w:i/>
          <w:sz w:val="24"/>
          <w:szCs w:val="24"/>
        </w:rPr>
        <w:t xml:space="preserve">BP v SSHD </w:t>
      </w:r>
      <w:r w:rsidRPr="00911F40">
        <w:rPr>
          <w:rFonts w:asciiTheme="majorHAnsi" w:hAnsiTheme="majorHAnsi" w:cstheme="majorHAnsi"/>
          <w:sz w:val="24"/>
          <w:szCs w:val="24"/>
        </w:rPr>
        <w:t xml:space="preserve">[2011] EWCA Civ 276.  </w:t>
      </w:r>
    </w:p>
    <w:p w14:paraId="1DF7D91B" w14:textId="77777777" w:rsidR="00E94324" w:rsidRPr="00911F40" w:rsidRDefault="00E94324" w:rsidP="0068488D">
      <w:pPr>
        <w:spacing w:line="360" w:lineRule="auto"/>
        <w:ind w:left="502"/>
        <w:jc w:val="both"/>
        <w:rPr>
          <w:rFonts w:asciiTheme="majorHAnsi" w:hAnsiTheme="majorHAnsi" w:cstheme="majorHAnsi"/>
          <w:sz w:val="24"/>
          <w:szCs w:val="24"/>
        </w:rPr>
      </w:pPr>
    </w:p>
    <w:p w14:paraId="1DF7D91C"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Insisting on an oral hearing when it is not needed can be unreasonable conduct meriting an adverse costs order – </w:t>
      </w:r>
      <w:r w:rsidRPr="00911F40">
        <w:rPr>
          <w:rFonts w:asciiTheme="majorHAnsi" w:hAnsiTheme="majorHAnsi" w:cstheme="majorHAnsi"/>
          <w:i/>
          <w:sz w:val="24"/>
          <w:szCs w:val="24"/>
        </w:rPr>
        <w:t xml:space="preserve">R (J) v LB Hackney </w:t>
      </w:r>
      <w:r w:rsidRPr="00911F40">
        <w:rPr>
          <w:rFonts w:asciiTheme="majorHAnsi" w:hAnsiTheme="majorHAnsi" w:cstheme="majorHAnsi"/>
          <w:sz w:val="24"/>
          <w:szCs w:val="24"/>
        </w:rPr>
        <w:t xml:space="preserve">25 Oct 2010. </w:t>
      </w:r>
    </w:p>
    <w:p w14:paraId="1DF7D91D" w14:textId="77777777" w:rsidR="00E94324" w:rsidRPr="00911F40" w:rsidRDefault="00E94324" w:rsidP="0068488D">
      <w:pPr>
        <w:pStyle w:val="ListParagraph"/>
        <w:jc w:val="both"/>
        <w:rPr>
          <w:rFonts w:asciiTheme="majorHAnsi" w:hAnsiTheme="majorHAnsi" w:cstheme="majorHAnsi"/>
          <w:sz w:val="24"/>
          <w:szCs w:val="24"/>
        </w:rPr>
      </w:pPr>
    </w:p>
    <w:p w14:paraId="1DF7D91E" w14:textId="04C82E6F" w:rsidR="00E94324" w:rsidRPr="00911F40" w:rsidRDefault="00B50AFB" w:rsidP="0068488D">
      <w:pPr>
        <w:keepNext/>
        <w:spacing w:line="360" w:lineRule="auto"/>
        <w:jc w:val="both"/>
        <w:rPr>
          <w:rFonts w:asciiTheme="majorHAnsi" w:hAnsiTheme="majorHAnsi" w:cstheme="majorHAnsi"/>
          <w:sz w:val="24"/>
          <w:szCs w:val="24"/>
        </w:rPr>
      </w:pPr>
      <w:r w:rsidRPr="00911F40">
        <w:rPr>
          <w:rFonts w:asciiTheme="majorHAnsi" w:hAnsiTheme="majorHAnsi" w:cstheme="majorHAnsi"/>
          <w:i/>
          <w:sz w:val="24"/>
          <w:szCs w:val="24"/>
        </w:rPr>
        <w:t xml:space="preserve">Hearing </w:t>
      </w:r>
      <w:r w:rsidR="00E94324" w:rsidRPr="00911F40">
        <w:rPr>
          <w:rFonts w:asciiTheme="majorHAnsi" w:hAnsiTheme="majorHAnsi" w:cstheme="majorHAnsi"/>
          <w:i/>
          <w:sz w:val="24"/>
          <w:szCs w:val="24"/>
        </w:rPr>
        <w:t xml:space="preserve">Bundles </w:t>
      </w:r>
      <w:r w:rsidR="00E94324" w:rsidRPr="00911F40">
        <w:rPr>
          <w:rFonts w:asciiTheme="majorHAnsi" w:hAnsiTheme="majorHAnsi" w:cstheme="majorHAnsi"/>
          <w:sz w:val="24"/>
          <w:szCs w:val="24"/>
        </w:rPr>
        <w:t>(PD 54A.1</w:t>
      </w:r>
      <w:r w:rsidR="002B04E8">
        <w:rPr>
          <w:rFonts w:asciiTheme="majorHAnsi" w:hAnsiTheme="majorHAnsi" w:cstheme="majorHAnsi"/>
          <w:sz w:val="24"/>
          <w:szCs w:val="24"/>
        </w:rPr>
        <w:t>5</w:t>
      </w:r>
      <w:r w:rsidR="00E94324" w:rsidRPr="00911F40">
        <w:rPr>
          <w:rFonts w:asciiTheme="majorHAnsi" w:hAnsiTheme="majorHAnsi" w:cstheme="majorHAnsi"/>
          <w:sz w:val="24"/>
          <w:szCs w:val="24"/>
        </w:rPr>
        <w:t xml:space="preserve">, ACG </w:t>
      </w:r>
      <w:r w:rsidR="002B04E8">
        <w:rPr>
          <w:rFonts w:asciiTheme="majorHAnsi" w:hAnsiTheme="majorHAnsi" w:cstheme="majorHAnsi"/>
          <w:sz w:val="24"/>
          <w:szCs w:val="24"/>
        </w:rPr>
        <w:t>20</w:t>
      </w:r>
      <w:r w:rsidR="00E94324" w:rsidRPr="00911F40">
        <w:rPr>
          <w:rFonts w:asciiTheme="majorHAnsi" w:hAnsiTheme="majorHAnsi" w:cstheme="majorHAnsi"/>
          <w:sz w:val="24"/>
          <w:szCs w:val="24"/>
        </w:rPr>
        <w:t>)</w:t>
      </w:r>
    </w:p>
    <w:p w14:paraId="1DF7D91F" w14:textId="360B3481"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Bundles must be lodged at the same time as the skeleton argument (or earlier if the court has so ordered). This should be a joint bundle with all documents to be relied on by either side. </w:t>
      </w:r>
      <w:r w:rsidR="007D06FA" w:rsidRPr="00911F40">
        <w:rPr>
          <w:rFonts w:asciiTheme="majorHAnsi" w:hAnsiTheme="majorHAnsi" w:cstheme="majorHAnsi"/>
          <w:sz w:val="24"/>
          <w:szCs w:val="24"/>
        </w:rPr>
        <w:t xml:space="preserve">During the Coronavirus pandemic the court has adopted a procedure for electronic bundles available at </w:t>
      </w:r>
      <w:hyperlink r:id="rId14" w:history="1">
        <w:r w:rsidR="007D06FA" w:rsidRPr="00911F40">
          <w:rPr>
            <w:rStyle w:val="Hyperlink"/>
            <w:rFonts w:asciiTheme="majorHAnsi" w:hAnsiTheme="majorHAnsi" w:cstheme="majorHAnsi"/>
            <w:sz w:val="24"/>
            <w:szCs w:val="24"/>
          </w:rPr>
          <w:t>Administrative Court - GOV.UK (www.gov.uk)</w:t>
        </w:r>
      </w:hyperlink>
      <w:r w:rsidR="007D06FA" w:rsidRPr="00911F40">
        <w:rPr>
          <w:rFonts w:asciiTheme="majorHAnsi" w:hAnsiTheme="majorHAnsi" w:cstheme="majorHAnsi"/>
          <w:sz w:val="24"/>
          <w:szCs w:val="24"/>
        </w:rPr>
        <w:t xml:space="preserve">.  </w:t>
      </w:r>
    </w:p>
    <w:p w14:paraId="1DF7D920" w14:textId="77777777" w:rsidR="00E94324" w:rsidRPr="00911F40" w:rsidRDefault="00E94324" w:rsidP="0068488D">
      <w:pPr>
        <w:spacing w:line="360" w:lineRule="auto"/>
        <w:ind w:left="502"/>
        <w:jc w:val="both"/>
        <w:rPr>
          <w:rFonts w:asciiTheme="majorHAnsi" w:hAnsiTheme="majorHAnsi" w:cstheme="majorHAnsi"/>
          <w:sz w:val="24"/>
          <w:szCs w:val="24"/>
        </w:rPr>
      </w:pPr>
    </w:p>
    <w:p w14:paraId="1DF7D921"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bundle should:</w:t>
      </w:r>
    </w:p>
    <w:p w14:paraId="1DF7D922" w14:textId="77777777" w:rsidR="00E94324" w:rsidRPr="00911F40" w:rsidRDefault="00E94324" w:rsidP="00E94324">
      <w:pPr>
        <w:pStyle w:val="ListParagraph"/>
        <w:rPr>
          <w:rFonts w:asciiTheme="majorHAnsi" w:hAnsiTheme="majorHAnsi" w:cstheme="majorHAnsi"/>
          <w:sz w:val="24"/>
          <w:szCs w:val="24"/>
        </w:rPr>
      </w:pPr>
    </w:p>
    <w:p w14:paraId="1DF7D923"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Present documents chronologically. </w:t>
      </w:r>
    </w:p>
    <w:p w14:paraId="1DF7D924" w14:textId="77777777" w:rsidR="00E94324" w:rsidRPr="00911F40" w:rsidRDefault="00E94324" w:rsidP="00E94324">
      <w:pPr>
        <w:pStyle w:val="ListParagraph"/>
        <w:rPr>
          <w:rFonts w:asciiTheme="majorHAnsi" w:hAnsiTheme="majorHAnsi" w:cstheme="majorHAnsi"/>
          <w:sz w:val="24"/>
          <w:szCs w:val="24"/>
        </w:rPr>
      </w:pPr>
    </w:p>
    <w:p w14:paraId="1DF7D925"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Be numbered sequentially and indexed. </w:t>
      </w:r>
    </w:p>
    <w:p w14:paraId="1DF7D926" w14:textId="77777777" w:rsidR="00E94324" w:rsidRPr="00911F40" w:rsidRDefault="00E94324" w:rsidP="00E94324">
      <w:pPr>
        <w:pStyle w:val="ListParagraph"/>
        <w:rPr>
          <w:rFonts w:asciiTheme="majorHAnsi" w:hAnsiTheme="majorHAnsi" w:cstheme="majorHAnsi"/>
          <w:sz w:val="24"/>
          <w:szCs w:val="24"/>
        </w:rPr>
      </w:pPr>
    </w:p>
    <w:p w14:paraId="1DF7D927" w14:textId="3E01C6DB"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Be double</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sided with documents copied (legibly) in portrait format.</w:t>
      </w:r>
    </w:p>
    <w:p w14:paraId="1DF7D928" w14:textId="77777777" w:rsidR="00E94324" w:rsidRPr="00911F40" w:rsidRDefault="00E94324" w:rsidP="00E94324">
      <w:pPr>
        <w:pStyle w:val="ListParagraph"/>
        <w:rPr>
          <w:rFonts w:asciiTheme="majorHAnsi" w:hAnsiTheme="majorHAnsi" w:cstheme="majorHAnsi"/>
          <w:sz w:val="24"/>
          <w:szCs w:val="24"/>
        </w:rPr>
      </w:pPr>
    </w:p>
    <w:p w14:paraId="1DF7D929"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If there are more than 500 pp consider a core bundle and only include relevant extracts from long documents in the main bundle. </w:t>
      </w:r>
    </w:p>
    <w:p w14:paraId="1DF7D92A" w14:textId="77777777" w:rsidR="00E94324" w:rsidRPr="00911F40" w:rsidRDefault="00E94324" w:rsidP="00E94324">
      <w:pPr>
        <w:autoSpaceDE w:val="0"/>
        <w:autoSpaceDN w:val="0"/>
        <w:adjustRightInd w:val="0"/>
        <w:snapToGrid w:val="0"/>
        <w:ind w:left="142"/>
        <w:rPr>
          <w:rFonts w:asciiTheme="majorHAnsi" w:hAnsiTheme="majorHAnsi" w:cstheme="majorHAnsi"/>
          <w:color w:val="000000"/>
          <w:sz w:val="24"/>
          <w:szCs w:val="24"/>
          <w:lang w:eastAsia="en-GB"/>
        </w:rPr>
      </w:pPr>
    </w:p>
    <w:p w14:paraId="7B423F9A" w14:textId="2A96C009" w:rsidR="007D06FA" w:rsidRPr="00911F40" w:rsidRDefault="00E94324" w:rsidP="00911F40">
      <w:pPr>
        <w:autoSpaceDE w:val="0"/>
        <w:autoSpaceDN w:val="0"/>
        <w:adjustRightInd w:val="0"/>
        <w:snapToGrid w:val="0"/>
        <w:spacing w:line="360" w:lineRule="auto"/>
        <w:ind w:left="1440"/>
        <w:rPr>
          <w:rFonts w:asciiTheme="majorHAnsi" w:hAnsiTheme="majorHAnsi" w:cstheme="majorHAnsi"/>
          <w:color w:val="000000"/>
          <w:sz w:val="24"/>
          <w:szCs w:val="24"/>
          <w:lang w:eastAsia="en-GB"/>
        </w:rPr>
      </w:pPr>
      <w:r w:rsidRPr="00911F40">
        <w:rPr>
          <w:rFonts w:asciiTheme="majorHAnsi" w:hAnsiTheme="majorHAnsi" w:cstheme="majorHAnsi"/>
          <w:i/>
          <w:color w:val="000000"/>
          <w:sz w:val="24"/>
          <w:szCs w:val="24"/>
          <w:lang w:eastAsia="en-GB"/>
        </w:rPr>
        <w:t>“The judge may refuse to read a bundle which does not comply with these</w:t>
      </w:r>
      <w:r w:rsidRPr="00911F40">
        <w:rPr>
          <w:rFonts w:asciiTheme="majorHAnsi" w:hAnsiTheme="majorHAnsi" w:cstheme="majorHAnsi"/>
          <w:i/>
          <w:sz w:val="24"/>
          <w:szCs w:val="24"/>
        </w:rPr>
        <w:t xml:space="preserve"> </w:t>
      </w:r>
      <w:r w:rsidRPr="00911F40">
        <w:rPr>
          <w:rFonts w:asciiTheme="majorHAnsi" w:hAnsiTheme="majorHAnsi" w:cstheme="majorHAnsi"/>
          <w:i/>
          <w:color w:val="000000"/>
          <w:sz w:val="24"/>
          <w:szCs w:val="24"/>
          <w:lang w:eastAsia="en-GB"/>
        </w:rPr>
        <w:t>requirements, or direct that a revised bundle is submitted which does comply, in which event the judge may disallow the costs or make a different adverse costs order”</w:t>
      </w:r>
      <w:r w:rsidRPr="00911F40">
        <w:rPr>
          <w:rFonts w:asciiTheme="majorHAnsi" w:hAnsiTheme="majorHAnsi" w:cstheme="majorHAnsi"/>
          <w:color w:val="000000"/>
          <w:sz w:val="24"/>
          <w:szCs w:val="24"/>
          <w:lang w:eastAsia="en-GB"/>
        </w:rPr>
        <w:t xml:space="preserve"> – ACG </w:t>
      </w:r>
      <w:r w:rsidR="009167F0">
        <w:rPr>
          <w:rFonts w:asciiTheme="majorHAnsi" w:hAnsiTheme="majorHAnsi" w:cstheme="majorHAnsi"/>
          <w:color w:val="000000"/>
          <w:sz w:val="24"/>
          <w:szCs w:val="24"/>
          <w:lang w:eastAsia="en-GB"/>
        </w:rPr>
        <w:t>20.4.5</w:t>
      </w:r>
      <w:r w:rsidRPr="00911F40">
        <w:rPr>
          <w:rFonts w:asciiTheme="majorHAnsi" w:hAnsiTheme="majorHAnsi" w:cstheme="majorHAnsi"/>
          <w:color w:val="000000"/>
          <w:sz w:val="24"/>
          <w:szCs w:val="24"/>
          <w:lang w:eastAsia="en-GB"/>
        </w:rPr>
        <w:t>.</w:t>
      </w:r>
    </w:p>
    <w:p w14:paraId="1DF7D92C" w14:textId="77777777" w:rsidR="00E94324" w:rsidRPr="00911F40" w:rsidRDefault="00E94324" w:rsidP="00E94324">
      <w:pPr>
        <w:rPr>
          <w:rFonts w:asciiTheme="majorHAnsi" w:hAnsiTheme="majorHAnsi" w:cstheme="majorHAnsi"/>
          <w:sz w:val="24"/>
          <w:szCs w:val="24"/>
        </w:rPr>
      </w:pPr>
      <w:r w:rsidRPr="00911F40">
        <w:rPr>
          <w:rFonts w:asciiTheme="majorHAnsi" w:hAnsiTheme="majorHAnsi" w:cstheme="majorHAnsi"/>
          <w:sz w:val="24"/>
          <w:szCs w:val="24"/>
        </w:rPr>
        <w:t xml:space="preserve"> </w:t>
      </w:r>
    </w:p>
    <w:p w14:paraId="79A59CBA" w14:textId="77777777" w:rsidR="00994FE1" w:rsidRPr="00911F40" w:rsidRDefault="00E94324" w:rsidP="00994FE1">
      <w:pPr>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Timetable and content of skeleton arguments </w:t>
      </w:r>
    </w:p>
    <w:p w14:paraId="1DF7D92D" w14:textId="06EB2AB8" w:rsidR="00E94324" w:rsidRPr="00911F40" w:rsidRDefault="00E94324" w:rsidP="0068488D">
      <w:pPr>
        <w:spacing w:line="360" w:lineRule="auto"/>
        <w:rPr>
          <w:rFonts w:asciiTheme="majorHAnsi" w:hAnsiTheme="majorHAnsi" w:cstheme="majorHAnsi"/>
          <w:sz w:val="24"/>
          <w:szCs w:val="24"/>
        </w:rPr>
      </w:pPr>
      <w:r w:rsidRPr="00911F40">
        <w:rPr>
          <w:rFonts w:asciiTheme="majorHAnsi" w:hAnsiTheme="majorHAnsi" w:cstheme="majorHAnsi"/>
          <w:sz w:val="24"/>
          <w:szCs w:val="24"/>
        </w:rPr>
        <w:t>(CPD 54A 1</w:t>
      </w:r>
      <w:r w:rsidR="002B04E8">
        <w:rPr>
          <w:rFonts w:asciiTheme="majorHAnsi" w:hAnsiTheme="majorHAnsi" w:cstheme="majorHAnsi"/>
          <w:sz w:val="24"/>
          <w:szCs w:val="24"/>
        </w:rPr>
        <w:t>4</w:t>
      </w:r>
      <w:r w:rsidRPr="00911F40">
        <w:rPr>
          <w:rFonts w:asciiTheme="majorHAnsi" w:hAnsiTheme="majorHAnsi" w:cstheme="majorHAnsi"/>
          <w:sz w:val="24"/>
          <w:szCs w:val="24"/>
        </w:rPr>
        <w:t xml:space="preserve"> &amp; ACG 1</w:t>
      </w:r>
      <w:r w:rsidR="002B04E8">
        <w:rPr>
          <w:rFonts w:asciiTheme="majorHAnsi" w:hAnsiTheme="majorHAnsi" w:cstheme="majorHAnsi"/>
          <w:sz w:val="24"/>
          <w:szCs w:val="24"/>
        </w:rPr>
        <w:t>9</w:t>
      </w:r>
      <w:r w:rsidRPr="00911F40">
        <w:rPr>
          <w:rFonts w:asciiTheme="majorHAnsi" w:hAnsiTheme="majorHAnsi" w:cstheme="majorHAnsi"/>
          <w:sz w:val="24"/>
          <w:szCs w:val="24"/>
        </w:rPr>
        <w:t xml:space="preserve">, PD of 11 November 2013 para 8 for UT Immigration cases) </w:t>
      </w:r>
    </w:p>
    <w:p w14:paraId="1DF7D92E" w14:textId="06D283D4"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Claimant must file a skeleton 21 </w:t>
      </w:r>
      <w:r w:rsidRPr="00911F40">
        <w:rPr>
          <w:rFonts w:asciiTheme="majorHAnsi" w:hAnsiTheme="majorHAnsi" w:cstheme="majorHAnsi"/>
          <w:sz w:val="24"/>
          <w:szCs w:val="24"/>
          <w:u w:val="single"/>
        </w:rPr>
        <w:t>working</w:t>
      </w:r>
      <w:r w:rsidRPr="00911F40">
        <w:rPr>
          <w:rFonts w:asciiTheme="majorHAnsi" w:hAnsiTheme="majorHAnsi" w:cstheme="majorHAnsi"/>
          <w:sz w:val="24"/>
          <w:szCs w:val="24"/>
        </w:rPr>
        <w:t xml:space="preserve"> days before the hearing or the short warned list date. The Defendant must file their skeleton 14 </w:t>
      </w:r>
      <w:r w:rsidRPr="00911F40">
        <w:rPr>
          <w:rFonts w:asciiTheme="majorHAnsi" w:hAnsiTheme="majorHAnsi" w:cstheme="majorHAnsi"/>
          <w:sz w:val="24"/>
          <w:szCs w:val="24"/>
          <w:u w:val="single"/>
        </w:rPr>
        <w:t>working</w:t>
      </w:r>
      <w:r w:rsidRPr="00911F40">
        <w:rPr>
          <w:rFonts w:asciiTheme="majorHAnsi" w:hAnsiTheme="majorHAnsi" w:cstheme="majorHAnsi"/>
          <w:sz w:val="24"/>
          <w:szCs w:val="24"/>
        </w:rPr>
        <w:t xml:space="preserve"> days before those dates. </w:t>
      </w:r>
      <w:r w:rsidR="009167F0">
        <w:rPr>
          <w:rFonts w:asciiTheme="majorHAnsi" w:hAnsiTheme="majorHAnsi" w:cstheme="majorHAnsi"/>
          <w:sz w:val="24"/>
          <w:szCs w:val="24"/>
        </w:rPr>
        <w:t>The court may refuse to permit a party to rely on a skeleton argument which does not comply with the ACG guidance, or is served late, or may make an adverse costs order [ACG 19.4.5]</w:t>
      </w:r>
      <w:r w:rsidRPr="00911F40">
        <w:rPr>
          <w:rFonts w:asciiTheme="majorHAnsi" w:hAnsiTheme="majorHAnsi" w:cstheme="majorHAnsi"/>
          <w:sz w:val="24"/>
          <w:szCs w:val="24"/>
        </w:rPr>
        <w:t xml:space="preserve">.  </w:t>
      </w:r>
    </w:p>
    <w:p w14:paraId="1DF7D92F" w14:textId="77777777" w:rsidR="00E94324" w:rsidRPr="00911F40" w:rsidRDefault="00E94324" w:rsidP="00E94324">
      <w:pPr>
        <w:spacing w:line="360" w:lineRule="auto"/>
        <w:ind w:left="502"/>
        <w:rPr>
          <w:rFonts w:asciiTheme="majorHAnsi" w:hAnsiTheme="majorHAnsi" w:cstheme="majorHAnsi"/>
          <w:sz w:val="24"/>
          <w:szCs w:val="24"/>
        </w:rPr>
      </w:pPr>
    </w:p>
    <w:p w14:paraId="1DF7D932" w14:textId="55180B38"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Claimant must file a bundle of documents with the court at the same time as the Claimant’s skeleton argument </w:t>
      </w:r>
      <w:r w:rsidR="00994FE1" w:rsidRPr="00911F40">
        <w:rPr>
          <w:rFonts w:asciiTheme="majorHAnsi" w:hAnsiTheme="majorHAnsi" w:cstheme="majorHAnsi"/>
          <w:sz w:val="24"/>
          <w:szCs w:val="24"/>
        </w:rPr>
        <w:t>(unless alternative directions have been made): see</w:t>
      </w:r>
      <w:r w:rsidRPr="00911F40">
        <w:rPr>
          <w:rFonts w:asciiTheme="majorHAnsi" w:hAnsiTheme="majorHAnsi" w:cstheme="majorHAnsi"/>
          <w:sz w:val="24"/>
          <w:szCs w:val="24"/>
        </w:rPr>
        <w:t xml:space="preserve">  PD54A</w:t>
      </w:r>
      <w:r w:rsidR="00994FE1" w:rsidRPr="00911F40">
        <w:rPr>
          <w:rFonts w:asciiTheme="majorHAnsi" w:hAnsiTheme="majorHAnsi" w:cstheme="majorHAnsi"/>
          <w:sz w:val="24"/>
          <w:szCs w:val="24"/>
        </w:rPr>
        <w:t>, [</w:t>
      </w:r>
      <w:r w:rsidRPr="00911F40">
        <w:rPr>
          <w:rFonts w:asciiTheme="majorHAnsi" w:hAnsiTheme="majorHAnsi" w:cstheme="majorHAnsi"/>
          <w:sz w:val="24"/>
          <w:szCs w:val="24"/>
        </w:rPr>
        <w:t>1</w:t>
      </w:r>
      <w:r w:rsidR="002B04E8">
        <w:rPr>
          <w:rFonts w:asciiTheme="majorHAnsi" w:hAnsiTheme="majorHAnsi" w:cstheme="majorHAnsi"/>
          <w:sz w:val="24"/>
          <w:szCs w:val="24"/>
        </w:rPr>
        <w:t>5</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933" w14:textId="77777777" w:rsidR="00E94324" w:rsidRPr="00911F40" w:rsidRDefault="00E94324" w:rsidP="0068488D">
      <w:pPr>
        <w:pStyle w:val="ListParagraph"/>
        <w:spacing w:line="360" w:lineRule="auto"/>
        <w:jc w:val="both"/>
        <w:rPr>
          <w:rFonts w:asciiTheme="majorHAnsi" w:hAnsiTheme="majorHAnsi" w:cstheme="majorHAnsi"/>
          <w:sz w:val="24"/>
          <w:szCs w:val="24"/>
        </w:rPr>
      </w:pPr>
    </w:p>
    <w:p w14:paraId="1DF7D934" w14:textId="1FA217AC"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Skeleton arguments may be filed by email. Each region has its own email address. These are listed at ACG</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annex 1. </w:t>
      </w:r>
    </w:p>
    <w:p w14:paraId="1DF7D935" w14:textId="77777777" w:rsidR="00E94324" w:rsidRPr="00911F40" w:rsidRDefault="00E94324" w:rsidP="00E94324">
      <w:pPr>
        <w:spacing w:line="360" w:lineRule="auto"/>
        <w:ind w:left="502"/>
        <w:rPr>
          <w:rFonts w:asciiTheme="majorHAnsi" w:hAnsiTheme="majorHAnsi" w:cstheme="majorHAnsi"/>
          <w:sz w:val="24"/>
          <w:szCs w:val="24"/>
        </w:rPr>
      </w:pPr>
      <w:r w:rsidRPr="00911F40">
        <w:rPr>
          <w:rFonts w:asciiTheme="majorHAnsi" w:hAnsiTheme="majorHAnsi" w:cstheme="majorHAnsi"/>
          <w:sz w:val="24"/>
          <w:szCs w:val="24"/>
        </w:rPr>
        <w:t xml:space="preserve"> </w:t>
      </w:r>
    </w:p>
    <w:p w14:paraId="1DF7D936" w14:textId="607D2909"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PD 54A </w:t>
      </w:r>
      <w:r w:rsidR="00994FE1" w:rsidRPr="00911F40">
        <w:rPr>
          <w:rFonts w:asciiTheme="majorHAnsi" w:hAnsiTheme="majorHAnsi" w:cstheme="majorHAnsi"/>
          <w:sz w:val="24"/>
          <w:szCs w:val="24"/>
        </w:rPr>
        <w:t>[</w:t>
      </w:r>
      <w:r w:rsidR="002B04E8">
        <w:rPr>
          <w:rFonts w:asciiTheme="majorHAnsi" w:hAnsiTheme="majorHAnsi" w:cstheme="majorHAnsi"/>
          <w:sz w:val="24"/>
          <w:szCs w:val="24"/>
        </w:rPr>
        <w:t>14</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requires that skeleton arguments </w:t>
      </w:r>
      <w:r w:rsidRPr="00911F40">
        <w:rPr>
          <w:rFonts w:asciiTheme="majorHAnsi" w:hAnsiTheme="majorHAnsi" w:cstheme="majorHAnsi"/>
          <w:sz w:val="24"/>
          <w:szCs w:val="24"/>
          <w:u w:val="single"/>
        </w:rPr>
        <w:t>must</w:t>
      </w:r>
      <w:r w:rsidRPr="00911F40">
        <w:rPr>
          <w:rFonts w:asciiTheme="majorHAnsi" w:hAnsiTheme="majorHAnsi" w:cstheme="majorHAnsi"/>
          <w:sz w:val="24"/>
          <w:szCs w:val="24"/>
        </w:rPr>
        <w:t xml:space="preserve">: </w:t>
      </w:r>
    </w:p>
    <w:p w14:paraId="1DF7D937" w14:textId="77777777" w:rsidR="00E94324" w:rsidRPr="00911F40" w:rsidRDefault="00E94324" w:rsidP="00E94324">
      <w:pPr>
        <w:spacing w:line="360" w:lineRule="auto"/>
        <w:rPr>
          <w:rFonts w:asciiTheme="majorHAnsi" w:hAnsiTheme="majorHAnsi" w:cstheme="majorHAnsi"/>
          <w:sz w:val="24"/>
          <w:szCs w:val="24"/>
        </w:rPr>
      </w:pPr>
    </w:p>
    <w:p w14:paraId="1DF7D938" w14:textId="3C9C1D81" w:rsidR="00E94324" w:rsidRPr="00911F40" w:rsidRDefault="008B17D3" w:rsidP="006F53FC">
      <w:pPr>
        <w:numPr>
          <w:ilvl w:val="1"/>
          <w:numId w:val="31"/>
        </w:numP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not exceed 25 pages without the court’s permission;</w:t>
      </w:r>
    </w:p>
    <w:p w14:paraId="1DF7D939" w14:textId="77777777" w:rsidR="00E94324" w:rsidRPr="00911F40" w:rsidRDefault="00E94324" w:rsidP="00E94324">
      <w:pPr>
        <w:spacing w:line="360" w:lineRule="auto"/>
        <w:rPr>
          <w:rFonts w:asciiTheme="majorHAnsi" w:hAnsiTheme="majorHAnsi" w:cstheme="majorHAnsi"/>
          <w:color w:val="000000"/>
          <w:sz w:val="24"/>
          <w:szCs w:val="24"/>
        </w:rPr>
      </w:pPr>
    </w:p>
    <w:p w14:paraId="1DF7D93A" w14:textId="4C24B288" w:rsidR="00E94324" w:rsidRPr="00911F40" w:rsidRDefault="002B04E8" w:rsidP="006F53FC">
      <w:pPr>
        <w:numPr>
          <w:ilvl w:val="1"/>
          <w:numId w:val="31"/>
        </w:numP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define and confine the areas of controversy;</w:t>
      </w:r>
    </w:p>
    <w:p w14:paraId="1DF7D93B" w14:textId="149A22C0" w:rsidR="00E94324" w:rsidRPr="00911F40" w:rsidRDefault="002B04E8" w:rsidP="006F53FC">
      <w:pPr>
        <w:numPr>
          <w:ilvl w:val="1"/>
          <w:numId w:val="31"/>
        </w:numPr>
        <w:spacing w:before="240" w:after="0" w:line="360" w:lineRule="auto"/>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lastRenderedPageBreak/>
        <w:t>be in numbered paragraphs</w:t>
      </w:r>
      <w:r w:rsidR="008B17D3">
        <w:rPr>
          <w:rFonts w:asciiTheme="majorHAnsi" w:hAnsiTheme="majorHAnsi" w:cstheme="majorHAnsi"/>
          <w:color w:val="000000"/>
          <w:sz w:val="24"/>
          <w:szCs w:val="24"/>
          <w:lang w:val="en-US"/>
        </w:rPr>
        <w:t>, cross referenced to any relevant document in the bundle;</w:t>
      </w:r>
    </w:p>
    <w:p w14:paraId="1DF7D93E" w14:textId="3788DF6C" w:rsidR="00E94324" w:rsidRPr="00911F40" w:rsidRDefault="008B17D3" w:rsidP="006F53FC">
      <w:pPr>
        <w:numPr>
          <w:ilvl w:val="1"/>
          <w:numId w:val="31"/>
        </w:numPr>
        <w:spacing w:before="240"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not contain extensive quotations from documents or authorities;</w:t>
      </w:r>
      <w:r w:rsidR="00E94324" w:rsidRPr="00911F40">
        <w:rPr>
          <w:rFonts w:asciiTheme="majorHAnsi" w:hAnsiTheme="majorHAnsi" w:cstheme="majorHAnsi"/>
          <w:color w:val="000000"/>
          <w:sz w:val="24"/>
          <w:szCs w:val="24"/>
        </w:rPr>
        <w:t xml:space="preserve"> </w:t>
      </w:r>
    </w:p>
    <w:p w14:paraId="1DF7D93F" w14:textId="77777777" w:rsidR="00E94324" w:rsidRPr="00911F40" w:rsidRDefault="00E94324" w:rsidP="0068488D">
      <w:pPr>
        <w:spacing w:before="240" w:after="0" w:line="360" w:lineRule="auto"/>
        <w:ind w:left="1080"/>
        <w:rPr>
          <w:rFonts w:asciiTheme="majorHAnsi" w:hAnsiTheme="majorHAnsi" w:cstheme="majorHAnsi"/>
          <w:color w:val="000000"/>
          <w:sz w:val="24"/>
          <w:szCs w:val="24"/>
        </w:rPr>
      </w:pPr>
    </w:p>
    <w:p w14:paraId="1DF7D940" w14:textId="4D5697B4" w:rsidR="00E94324" w:rsidRPr="00911F40" w:rsidRDefault="00E94324" w:rsidP="006F53FC">
      <w:pPr>
        <w:numPr>
          <w:ilvl w:val="0"/>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color w:val="000000"/>
          <w:sz w:val="24"/>
          <w:szCs w:val="24"/>
        </w:rPr>
        <w:t xml:space="preserve">The ACG at </w:t>
      </w:r>
      <w:r w:rsidR="008B17D3">
        <w:rPr>
          <w:rFonts w:asciiTheme="majorHAnsi" w:hAnsiTheme="majorHAnsi" w:cstheme="majorHAnsi"/>
          <w:color w:val="000000"/>
          <w:sz w:val="24"/>
          <w:szCs w:val="24"/>
        </w:rPr>
        <w:t>19.2.4</w:t>
      </w:r>
      <w:r w:rsidRPr="00911F40">
        <w:rPr>
          <w:rFonts w:asciiTheme="majorHAnsi" w:hAnsiTheme="majorHAnsi" w:cstheme="majorHAnsi"/>
          <w:color w:val="000000"/>
          <w:sz w:val="24"/>
          <w:szCs w:val="24"/>
        </w:rPr>
        <w:t xml:space="preserve"> </w:t>
      </w:r>
      <w:r w:rsidR="008B17D3">
        <w:rPr>
          <w:rFonts w:asciiTheme="majorHAnsi" w:hAnsiTheme="majorHAnsi" w:cstheme="majorHAnsi"/>
          <w:color w:val="000000"/>
          <w:sz w:val="24"/>
          <w:szCs w:val="24"/>
        </w:rPr>
        <w:t>states that</w:t>
      </w:r>
      <w:r w:rsidRPr="00911F40">
        <w:rPr>
          <w:rStyle w:val="FootnoteReference"/>
          <w:rFonts w:asciiTheme="majorHAnsi" w:hAnsiTheme="majorHAnsi" w:cstheme="majorHAnsi"/>
          <w:color w:val="000000"/>
          <w:sz w:val="24"/>
          <w:szCs w:val="24"/>
        </w:rPr>
        <w:footnoteReference w:id="8"/>
      </w:r>
      <w:r w:rsidRPr="00911F40">
        <w:rPr>
          <w:rFonts w:asciiTheme="majorHAnsi" w:hAnsiTheme="majorHAnsi" w:cstheme="majorHAnsi"/>
          <w:color w:val="000000"/>
          <w:sz w:val="24"/>
          <w:szCs w:val="24"/>
        </w:rPr>
        <w:t xml:space="preserve">: </w:t>
      </w:r>
    </w:p>
    <w:p w14:paraId="4F783D6B" w14:textId="13EC05B6" w:rsidR="008B17D3" w:rsidRPr="00E71382" w:rsidRDefault="008B17D3" w:rsidP="008B17D3">
      <w:pPr>
        <w:autoSpaceDE w:val="0"/>
        <w:autoSpaceDN w:val="0"/>
        <w:adjustRightInd w:val="0"/>
        <w:spacing w:after="0" w:line="360" w:lineRule="auto"/>
        <w:ind w:left="720"/>
        <w:rPr>
          <w:rFonts w:asciiTheme="majorHAnsi" w:hAnsiTheme="majorHAnsi" w:cstheme="majorHAnsi"/>
          <w:iCs/>
          <w:color w:val="000000"/>
          <w:sz w:val="24"/>
          <w:szCs w:val="24"/>
          <w:lang w:eastAsia="en-GB"/>
        </w:rPr>
      </w:pPr>
      <w:r w:rsidRPr="00E71382">
        <w:rPr>
          <w:rFonts w:asciiTheme="majorHAnsi" w:hAnsiTheme="majorHAnsi" w:cstheme="majorHAnsi"/>
          <w:iCs/>
          <w:color w:val="000000"/>
          <w:sz w:val="24"/>
          <w:szCs w:val="24"/>
          <w:lang w:eastAsia="en-GB"/>
        </w:rPr>
        <w:t>“It is important that:</w:t>
      </w:r>
    </w:p>
    <w:p w14:paraId="386F4286" w14:textId="31FCEF61" w:rsidR="008B17D3" w:rsidRPr="00E71382" w:rsidRDefault="008B17D3" w:rsidP="00E71382">
      <w:pPr>
        <w:autoSpaceDE w:val="0"/>
        <w:autoSpaceDN w:val="0"/>
        <w:adjustRightInd w:val="0"/>
        <w:spacing w:after="0" w:line="360" w:lineRule="auto"/>
        <w:ind w:left="720"/>
        <w:rPr>
          <w:rFonts w:asciiTheme="majorHAnsi" w:hAnsiTheme="majorHAnsi" w:cstheme="majorHAnsi"/>
          <w:iCs/>
          <w:color w:val="000000"/>
          <w:sz w:val="24"/>
          <w:szCs w:val="24"/>
          <w:lang w:eastAsia="en-GB"/>
        </w:rPr>
      </w:pPr>
      <w:r w:rsidRPr="00E71382">
        <w:rPr>
          <w:rFonts w:asciiTheme="majorHAnsi" w:hAnsiTheme="majorHAnsi" w:cstheme="majorHAnsi"/>
          <w:iCs/>
          <w:color w:val="000000"/>
          <w:sz w:val="24"/>
          <w:szCs w:val="24"/>
          <w:lang w:eastAsia="en-GB"/>
        </w:rPr>
        <w:t>19.2.4.1. the decision or other conduct challenged under challenge is</w:t>
      </w:r>
    </w:p>
    <w:p w14:paraId="1F57DE55" w14:textId="77777777" w:rsidR="008B17D3" w:rsidRPr="00E71382" w:rsidRDefault="008B17D3" w:rsidP="00E71382">
      <w:pPr>
        <w:autoSpaceDE w:val="0"/>
        <w:autoSpaceDN w:val="0"/>
        <w:adjustRightInd w:val="0"/>
        <w:spacing w:after="0" w:line="360" w:lineRule="auto"/>
        <w:ind w:left="720"/>
        <w:rPr>
          <w:rFonts w:asciiTheme="majorHAnsi" w:hAnsiTheme="majorHAnsi" w:cstheme="majorHAnsi"/>
          <w:iCs/>
          <w:color w:val="000000"/>
          <w:sz w:val="24"/>
          <w:szCs w:val="24"/>
          <w:lang w:eastAsia="en-GB"/>
        </w:rPr>
      </w:pPr>
      <w:r w:rsidRPr="00E71382">
        <w:rPr>
          <w:rFonts w:asciiTheme="majorHAnsi" w:hAnsiTheme="majorHAnsi" w:cstheme="majorHAnsi"/>
          <w:iCs/>
          <w:color w:val="000000"/>
          <w:sz w:val="24"/>
          <w:szCs w:val="24"/>
          <w:lang w:eastAsia="en-GB"/>
        </w:rPr>
        <w:t>clearly identified;</w:t>
      </w:r>
    </w:p>
    <w:p w14:paraId="08F91995" w14:textId="77777777" w:rsidR="008B17D3" w:rsidRPr="00E71382" w:rsidRDefault="008B17D3" w:rsidP="00E71382">
      <w:pPr>
        <w:autoSpaceDE w:val="0"/>
        <w:autoSpaceDN w:val="0"/>
        <w:adjustRightInd w:val="0"/>
        <w:spacing w:after="0" w:line="360" w:lineRule="auto"/>
        <w:ind w:left="720"/>
        <w:rPr>
          <w:rFonts w:asciiTheme="majorHAnsi" w:hAnsiTheme="majorHAnsi" w:cstheme="majorHAnsi"/>
          <w:iCs/>
          <w:color w:val="000000"/>
          <w:sz w:val="24"/>
          <w:szCs w:val="24"/>
          <w:lang w:eastAsia="en-GB"/>
        </w:rPr>
      </w:pPr>
      <w:r w:rsidRPr="00E71382">
        <w:rPr>
          <w:rFonts w:asciiTheme="majorHAnsi" w:hAnsiTheme="majorHAnsi" w:cstheme="majorHAnsi"/>
          <w:iCs/>
          <w:color w:val="000000"/>
          <w:sz w:val="24"/>
          <w:szCs w:val="24"/>
          <w:lang w:eastAsia="en-GB"/>
        </w:rPr>
        <w:t>19.2.4.2. the relevant facts, including any relevant change of circumstances</w:t>
      </w:r>
    </w:p>
    <w:p w14:paraId="41A1129F" w14:textId="7C1713CC" w:rsidR="008B17D3" w:rsidRPr="00E71382" w:rsidRDefault="008B17D3" w:rsidP="00E71382">
      <w:pPr>
        <w:autoSpaceDE w:val="0"/>
        <w:autoSpaceDN w:val="0"/>
        <w:adjustRightInd w:val="0"/>
        <w:spacing w:after="0" w:line="360" w:lineRule="auto"/>
        <w:ind w:left="720"/>
        <w:rPr>
          <w:rFonts w:asciiTheme="majorHAnsi" w:hAnsiTheme="majorHAnsi" w:cstheme="majorHAnsi"/>
          <w:iCs/>
          <w:color w:val="000000"/>
          <w:sz w:val="24"/>
          <w:szCs w:val="24"/>
          <w:lang w:eastAsia="en-GB"/>
        </w:rPr>
      </w:pPr>
      <w:r w:rsidRPr="00E71382">
        <w:rPr>
          <w:rFonts w:asciiTheme="majorHAnsi" w:hAnsiTheme="majorHAnsi" w:cstheme="majorHAnsi"/>
          <w:iCs/>
          <w:color w:val="000000"/>
          <w:sz w:val="24"/>
          <w:szCs w:val="24"/>
          <w:lang w:eastAsia="en-GB"/>
        </w:rPr>
        <w:t>since the Claim Form and supporting documentation were lodged, are set out;</w:t>
      </w:r>
    </w:p>
    <w:p w14:paraId="1DF7D947" w14:textId="15A11AA7" w:rsidR="00E94324" w:rsidRPr="00E71382" w:rsidRDefault="008B17D3" w:rsidP="008B17D3">
      <w:pPr>
        <w:autoSpaceDE w:val="0"/>
        <w:autoSpaceDN w:val="0"/>
        <w:adjustRightInd w:val="0"/>
        <w:spacing w:after="0" w:line="360" w:lineRule="auto"/>
        <w:ind w:left="720"/>
        <w:rPr>
          <w:rFonts w:asciiTheme="majorHAnsi" w:hAnsiTheme="majorHAnsi" w:cstheme="majorHAnsi"/>
          <w:iCs/>
          <w:color w:val="000000"/>
          <w:sz w:val="24"/>
          <w:szCs w:val="24"/>
          <w:lang w:eastAsia="en-GB"/>
        </w:rPr>
      </w:pPr>
      <w:r w:rsidRPr="00E71382">
        <w:rPr>
          <w:rFonts w:asciiTheme="majorHAnsi" w:hAnsiTheme="majorHAnsi" w:cstheme="majorHAnsi"/>
          <w:iCs/>
          <w:color w:val="000000"/>
          <w:sz w:val="24"/>
          <w:szCs w:val="24"/>
          <w:lang w:eastAsia="en-GB"/>
        </w:rPr>
        <w:t>19.2.4.3. the grounds for seeking judicial review (or interim relief, or any other order) are set out under numbered headings. The grounds must be stated shortly and numbered in sequence. Each ground should raise a distinct issue in relation to the decision under challenge;</w:t>
      </w:r>
    </w:p>
    <w:p w14:paraId="6159DEC9" w14:textId="19345893" w:rsidR="008B17D3" w:rsidRPr="008B17D3" w:rsidRDefault="008B17D3" w:rsidP="008B17D3">
      <w:pPr>
        <w:autoSpaceDE w:val="0"/>
        <w:autoSpaceDN w:val="0"/>
        <w:adjustRightInd w:val="0"/>
        <w:spacing w:after="0" w:line="360" w:lineRule="auto"/>
        <w:ind w:left="720"/>
        <w:rPr>
          <w:rFonts w:asciiTheme="majorHAnsi" w:hAnsiTheme="majorHAnsi" w:cstheme="majorHAnsi"/>
          <w:sz w:val="24"/>
          <w:szCs w:val="24"/>
          <w:lang w:val="en-US"/>
        </w:rPr>
      </w:pPr>
      <w:r>
        <w:rPr>
          <w:rFonts w:asciiTheme="majorHAnsi" w:hAnsiTheme="majorHAnsi" w:cstheme="majorHAnsi"/>
          <w:sz w:val="24"/>
          <w:szCs w:val="24"/>
          <w:lang w:val="en-US"/>
        </w:rPr>
        <w:t xml:space="preserve">19.2.4.4 </w:t>
      </w:r>
      <w:r w:rsidRPr="008B17D3">
        <w:rPr>
          <w:rFonts w:asciiTheme="majorHAnsi" w:hAnsiTheme="majorHAnsi" w:cstheme="majorHAnsi"/>
          <w:sz w:val="24"/>
          <w:szCs w:val="24"/>
          <w:lang w:val="en-US"/>
        </w:rPr>
        <w:t>arguments and submissions in support of the grounds are set out</w:t>
      </w:r>
      <w:r>
        <w:rPr>
          <w:rFonts w:asciiTheme="majorHAnsi" w:hAnsiTheme="majorHAnsi" w:cstheme="majorHAnsi"/>
          <w:sz w:val="24"/>
          <w:szCs w:val="24"/>
          <w:lang w:val="en-US"/>
        </w:rPr>
        <w:t xml:space="preserve"> </w:t>
      </w:r>
      <w:r w:rsidRPr="008B17D3">
        <w:rPr>
          <w:rFonts w:asciiTheme="majorHAnsi" w:hAnsiTheme="majorHAnsi" w:cstheme="majorHAnsi"/>
          <w:sz w:val="24"/>
          <w:szCs w:val="24"/>
          <w:lang w:val="en-US"/>
        </w:rPr>
        <w:t>separately in relation to each ground;</w:t>
      </w:r>
    </w:p>
    <w:p w14:paraId="0180D70E" w14:textId="122D0C78" w:rsidR="008B17D3" w:rsidRPr="008B17D3" w:rsidRDefault="008B17D3" w:rsidP="008B17D3">
      <w:pPr>
        <w:autoSpaceDE w:val="0"/>
        <w:autoSpaceDN w:val="0"/>
        <w:adjustRightInd w:val="0"/>
        <w:spacing w:after="0" w:line="360" w:lineRule="auto"/>
        <w:ind w:left="720"/>
        <w:rPr>
          <w:rFonts w:asciiTheme="majorHAnsi" w:hAnsiTheme="majorHAnsi" w:cstheme="majorHAnsi"/>
          <w:sz w:val="24"/>
          <w:szCs w:val="24"/>
          <w:lang w:val="en-US"/>
        </w:rPr>
      </w:pPr>
      <w:r w:rsidRPr="008B17D3">
        <w:rPr>
          <w:rFonts w:asciiTheme="majorHAnsi" w:hAnsiTheme="majorHAnsi" w:cstheme="majorHAnsi"/>
          <w:sz w:val="24"/>
          <w:szCs w:val="24"/>
          <w:lang w:val="en-US"/>
        </w:rPr>
        <w:t>19.2.4.5. relevant legal principles are set out. Lengthy extracts from statut</w:t>
      </w:r>
      <w:r>
        <w:rPr>
          <w:rFonts w:asciiTheme="majorHAnsi" w:hAnsiTheme="majorHAnsi" w:cstheme="majorHAnsi"/>
          <w:sz w:val="24"/>
          <w:szCs w:val="24"/>
          <w:lang w:val="en-US"/>
        </w:rPr>
        <w:t>o</w:t>
      </w:r>
      <w:r w:rsidRPr="008B17D3">
        <w:rPr>
          <w:rFonts w:asciiTheme="majorHAnsi" w:hAnsiTheme="majorHAnsi" w:cstheme="majorHAnsi"/>
          <w:sz w:val="24"/>
          <w:szCs w:val="24"/>
          <w:lang w:val="en-US"/>
        </w:rPr>
        <w:t>ry</w:t>
      </w:r>
      <w:r>
        <w:rPr>
          <w:rFonts w:asciiTheme="majorHAnsi" w:hAnsiTheme="majorHAnsi" w:cstheme="majorHAnsi"/>
          <w:sz w:val="24"/>
          <w:szCs w:val="24"/>
          <w:lang w:val="en-US"/>
        </w:rPr>
        <w:t xml:space="preserve"> </w:t>
      </w:r>
      <w:r w:rsidRPr="008B17D3">
        <w:rPr>
          <w:rFonts w:asciiTheme="majorHAnsi" w:hAnsiTheme="majorHAnsi" w:cstheme="majorHAnsi"/>
          <w:sz w:val="24"/>
          <w:szCs w:val="24"/>
          <w:lang w:val="en-US"/>
        </w:rPr>
        <w:t>or international materials, case law and other sources should be</w:t>
      </w:r>
      <w:r>
        <w:rPr>
          <w:rFonts w:asciiTheme="majorHAnsi" w:hAnsiTheme="majorHAnsi" w:cstheme="majorHAnsi"/>
          <w:sz w:val="24"/>
          <w:szCs w:val="24"/>
          <w:lang w:val="en-US"/>
        </w:rPr>
        <w:t xml:space="preserve"> </w:t>
      </w:r>
      <w:r w:rsidRPr="008B17D3">
        <w:rPr>
          <w:rFonts w:asciiTheme="majorHAnsi" w:hAnsiTheme="majorHAnsi" w:cstheme="majorHAnsi"/>
          <w:sz w:val="24"/>
          <w:szCs w:val="24"/>
          <w:lang w:val="en-US"/>
        </w:rPr>
        <w:t>avoided unless it is considered that this will materially speed up the</w:t>
      </w:r>
      <w:r>
        <w:rPr>
          <w:rFonts w:asciiTheme="majorHAnsi" w:hAnsiTheme="majorHAnsi" w:cstheme="majorHAnsi"/>
          <w:sz w:val="24"/>
          <w:szCs w:val="24"/>
          <w:lang w:val="en-US"/>
        </w:rPr>
        <w:t xml:space="preserve"> </w:t>
      </w:r>
      <w:r w:rsidRPr="008B17D3">
        <w:rPr>
          <w:rFonts w:asciiTheme="majorHAnsi" w:hAnsiTheme="majorHAnsi" w:cstheme="majorHAnsi"/>
          <w:sz w:val="24"/>
          <w:szCs w:val="24"/>
          <w:lang w:val="en-US"/>
        </w:rPr>
        <w:t>Court’s pre-reading, the presentation of the oral argument or the</w:t>
      </w:r>
      <w:r>
        <w:rPr>
          <w:rFonts w:asciiTheme="majorHAnsi" w:hAnsiTheme="majorHAnsi" w:cstheme="majorHAnsi"/>
          <w:sz w:val="24"/>
          <w:szCs w:val="24"/>
          <w:lang w:val="en-US"/>
        </w:rPr>
        <w:t xml:space="preserve"> </w:t>
      </w:r>
      <w:r w:rsidRPr="008B17D3">
        <w:rPr>
          <w:rFonts w:asciiTheme="majorHAnsi" w:hAnsiTheme="majorHAnsi" w:cstheme="majorHAnsi"/>
          <w:sz w:val="24"/>
          <w:szCs w:val="24"/>
          <w:lang w:val="en-US"/>
        </w:rPr>
        <w:t>preparation of judgment;</w:t>
      </w:r>
    </w:p>
    <w:p w14:paraId="46C6DB80" w14:textId="77777777" w:rsidR="008B17D3" w:rsidRPr="008B17D3" w:rsidRDefault="008B17D3" w:rsidP="008B17D3">
      <w:pPr>
        <w:autoSpaceDE w:val="0"/>
        <w:autoSpaceDN w:val="0"/>
        <w:adjustRightInd w:val="0"/>
        <w:spacing w:after="0" w:line="360" w:lineRule="auto"/>
        <w:ind w:left="720"/>
        <w:rPr>
          <w:rFonts w:asciiTheme="majorHAnsi" w:hAnsiTheme="majorHAnsi" w:cstheme="majorHAnsi"/>
          <w:sz w:val="24"/>
          <w:szCs w:val="24"/>
          <w:lang w:val="en-US"/>
        </w:rPr>
      </w:pPr>
      <w:r w:rsidRPr="008B17D3">
        <w:rPr>
          <w:rFonts w:asciiTheme="majorHAnsi" w:hAnsiTheme="majorHAnsi" w:cstheme="majorHAnsi"/>
          <w:sz w:val="24"/>
          <w:szCs w:val="24"/>
          <w:lang w:val="en-US"/>
        </w:rPr>
        <w:t>19.2.4.6. the remedy sought is identified;</w:t>
      </w:r>
    </w:p>
    <w:p w14:paraId="7B1D2000" w14:textId="7E0D8759" w:rsidR="008B17D3" w:rsidRPr="008B17D3" w:rsidRDefault="008B17D3" w:rsidP="008B17D3">
      <w:pPr>
        <w:autoSpaceDE w:val="0"/>
        <w:autoSpaceDN w:val="0"/>
        <w:adjustRightInd w:val="0"/>
        <w:spacing w:after="0" w:line="360" w:lineRule="auto"/>
        <w:ind w:left="720"/>
        <w:rPr>
          <w:rFonts w:asciiTheme="majorHAnsi" w:hAnsiTheme="majorHAnsi" w:cstheme="majorHAnsi"/>
          <w:sz w:val="24"/>
          <w:szCs w:val="24"/>
          <w:lang w:val="en-US"/>
        </w:rPr>
      </w:pPr>
      <w:r w:rsidRPr="008B17D3">
        <w:rPr>
          <w:rFonts w:asciiTheme="majorHAnsi" w:hAnsiTheme="majorHAnsi" w:cstheme="majorHAnsi"/>
          <w:sz w:val="24"/>
          <w:szCs w:val="24"/>
          <w:lang w:val="en-US"/>
        </w:rPr>
        <w:t>19.2.4.7. any urgency or other matter relevant to the timing of the case</w:t>
      </w:r>
      <w:r>
        <w:rPr>
          <w:rFonts w:asciiTheme="majorHAnsi" w:hAnsiTheme="majorHAnsi" w:cstheme="majorHAnsi"/>
          <w:sz w:val="24"/>
          <w:szCs w:val="24"/>
          <w:lang w:val="en-US"/>
        </w:rPr>
        <w:t xml:space="preserve"> </w:t>
      </w:r>
      <w:r w:rsidRPr="008B17D3">
        <w:rPr>
          <w:rFonts w:asciiTheme="majorHAnsi" w:hAnsiTheme="majorHAnsi" w:cstheme="majorHAnsi"/>
          <w:sz w:val="24"/>
          <w:szCs w:val="24"/>
          <w:lang w:val="en-US"/>
        </w:rPr>
        <w:t>is explained;</w:t>
      </w:r>
    </w:p>
    <w:p w14:paraId="608827E0" w14:textId="747D8A74" w:rsidR="008B17D3" w:rsidRDefault="008B17D3" w:rsidP="008B17D3">
      <w:pPr>
        <w:autoSpaceDE w:val="0"/>
        <w:autoSpaceDN w:val="0"/>
        <w:adjustRightInd w:val="0"/>
        <w:spacing w:after="0" w:line="360" w:lineRule="auto"/>
        <w:ind w:left="720"/>
        <w:rPr>
          <w:rFonts w:asciiTheme="majorHAnsi" w:hAnsiTheme="majorHAnsi" w:cstheme="majorHAnsi"/>
          <w:sz w:val="24"/>
          <w:szCs w:val="24"/>
          <w:lang w:val="en-US"/>
        </w:rPr>
      </w:pPr>
      <w:r w:rsidRPr="008B17D3">
        <w:rPr>
          <w:rFonts w:asciiTheme="majorHAnsi" w:hAnsiTheme="majorHAnsi" w:cstheme="majorHAnsi"/>
          <w:sz w:val="24"/>
          <w:szCs w:val="24"/>
          <w:lang w:val="en-US"/>
        </w:rPr>
        <w:t>19.2.4.8. any other relevant point, such as delay, alternative remedy or any</w:t>
      </w:r>
      <w:r>
        <w:rPr>
          <w:rFonts w:asciiTheme="majorHAnsi" w:hAnsiTheme="majorHAnsi" w:cstheme="majorHAnsi"/>
          <w:sz w:val="24"/>
          <w:szCs w:val="24"/>
          <w:lang w:val="en-US"/>
        </w:rPr>
        <w:t xml:space="preserve"> </w:t>
      </w:r>
      <w:r w:rsidRPr="008B17D3">
        <w:rPr>
          <w:rFonts w:asciiTheme="majorHAnsi" w:hAnsiTheme="majorHAnsi" w:cstheme="majorHAnsi"/>
          <w:sz w:val="24"/>
          <w:szCs w:val="24"/>
          <w:lang w:val="en-US"/>
        </w:rPr>
        <w:t>other bar to relief, is identified and addressed</w:t>
      </w:r>
      <w:r>
        <w:rPr>
          <w:rFonts w:asciiTheme="majorHAnsi" w:hAnsiTheme="majorHAnsi" w:cstheme="majorHAnsi"/>
          <w:sz w:val="24"/>
          <w:szCs w:val="24"/>
          <w:lang w:val="en-US"/>
        </w:rPr>
        <w:t>”</w:t>
      </w:r>
    </w:p>
    <w:p w14:paraId="0F35798E" w14:textId="77777777" w:rsidR="008B17D3" w:rsidRPr="00911F40" w:rsidRDefault="008B17D3" w:rsidP="00E71382">
      <w:pPr>
        <w:autoSpaceDE w:val="0"/>
        <w:autoSpaceDN w:val="0"/>
        <w:adjustRightInd w:val="0"/>
        <w:spacing w:after="0" w:line="360" w:lineRule="auto"/>
        <w:ind w:left="720"/>
        <w:rPr>
          <w:rFonts w:asciiTheme="majorHAnsi" w:hAnsiTheme="majorHAnsi" w:cstheme="majorHAnsi"/>
          <w:sz w:val="24"/>
          <w:szCs w:val="24"/>
          <w:lang w:val="en-US"/>
        </w:rPr>
      </w:pPr>
    </w:p>
    <w:p w14:paraId="1DF7D948" w14:textId="45E5B61F"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color w:val="000000"/>
          <w:sz w:val="24"/>
          <w:szCs w:val="24"/>
        </w:rPr>
        <w:t>The document should be at least 1.5 spaced and not less than 1</w:t>
      </w:r>
      <w:r w:rsidR="008B17D3">
        <w:rPr>
          <w:rFonts w:asciiTheme="majorHAnsi" w:hAnsiTheme="majorHAnsi" w:cstheme="majorHAnsi"/>
          <w:color w:val="000000"/>
          <w:sz w:val="24"/>
          <w:szCs w:val="24"/>
        </w:rPr>
        <w:t>2</w:t>
      </w:r>
      <w:r w:rsidRPr="00911F40">
        <w:rPr>
          <w:rFonts w:asciiTheme="majorHAnsi" w:hAnsiTheme="majorHAnsi" w:cstheme="majorHAnsi"/>
          <w:color w:val="000000"/>
          <w:sz w:val="24"/>
          <w:szCs w:val="24"/>
        </w:rPr>
        <w:t xml:space="preserve"> point. It should be paginated and </w:t>
      </w:r>
      <w:r w:rsidR="008B17D3">
        <w:rPr>
          <w:rFonts w:asciiTheme="majorHAnsi" w:hAnsiTheme="majorHAnsi" w:cstheme="majorHAnsi"/>
          <w:color w:val="000000"/>
          <w:sz w:val="24"/>
          <w:szCs w:val="24"/>
        </w:rPr>
        <w:t xml:space="preserve">must not exceed 25 pages without the court’s permission. Skeleton arguments filed and served by email should be sent as Word documents, not pdf. </w:t>
      </w:r>
    </w:p>
    <w:p w14:paraId="1DF7D949" w14:textId="77777777" w:rsidR="00E94324" w:rsidRPr="00911F40" w:rsidRDefault="00E94324" w:rsidP="00B50AFB">
      <w:pPr>
        <w:autoSpaceDE w:val="0"/>
        <w:autoSpaceDN w:val="0"/>
        <w:adjustRightInd w:val="0"/>
        <w:spacing w:line="360" w:lineRule="auto"/>
        <w:ind w:left="502"/>
        <w:jc w:val="both"/>
        <w:rPr>
          <w:rFonts w:asciiTheme="majorHAnsi" w:hAnsiTheme="majorHAnsi" w:cstheme="majorHAnsi"/>
          <w:sz w:val="24"/>
          <w:szCs w:val="24"/>
          <w:lang w:val="en-US"/>
        </w:rPr>
      </w:pPr>
    </w:p>
    <w:p w14:paraId="1DF7D94A" w14:textId="4AF49538"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color w:val="000000"/>
          <w:sz w:val="24"/>
          <w:szCs w:val="24"/>
        </w:rPr>
        <w:t>Citation of authorities should follow the Practice Direction of 9</w:t>
      </w:r>
      <w:r w:rsidR="00994FE1" w:rsidRPr="00911F40">
        <w:rPr>
          <w:rFonts w:asciiTheme="majorHAnsi" w:hAnsiTheme="majorHAnsi" w:cstheme="majorHAnsi"/>
          <w:color w:val="000000"/>
          <w:sz w:val="24"/>
          <w:szCs w:val="24"/>
          <w:vertAlign w:val="superscript"/>
        </w:rPr>
        <w:t>th</w:t>
      </w:r>
      <w:r w:rsidRPr="00911F40">
        <w:rPr>
          <w:rFonts w:asciiTheme="majorHAnsi" w:hAnsiTheme="majorHAnsi" w:cstheme="majorHAnsi"/>
          <w:color w:val="000000"/>
          <w:sz w:val="24"/>
          <w:szCs w:val="24"/>
        </w:rPr>
        <w:t xml:space="preserve"> April 2001 ([2001] 1 WLR 1001). In particular: </w:t>
      </w:r>
      <w:r w:rsidRPr="00911F40">
        <w:rPr>
          <w:rFonts w:asciiTheme="majorHAnsi" w:hAnsiTheme="majorHAnsi" w:cstheme="majorHAnsi"/>
          <w:i/>
          <w:color w:val="000000"/>
          <w:sz w:val="24"/>
          <w:szCs w:val="24"/>
        </w:rPr>
        <w:t>“</w:t>
      </w:r>
      <w:r w:rsidRPr="00911F40">
        <w:rPr>
          <w:rFonts w:asciiTheme="majorHAnsi" w:hAnsiTheme="majorHAnsi" w:cstheme="majorHAnsi"/>
          <w:i/>
          <w:sz w:val="24"/>
          <w:szCs w:val="24"/>
          <w:lang w:val="en-US"/>
        </w:rPr>
        <w:t xml:space="preserve">The skeleton should…clearly identify what authorities, and what parts of what authorities, are relied on, and carry the certification of counsel as required by the </w:t>
      </w:r>
      <w:r w:rsidRPr="00911F40">
        <w:rPr>
          <w:rFonts w:asciiTheme="majorHAnsi" w:hAnsiTheme="majorHAnsi" w:cstheme="majorHAnsi"/>
          <w:i/>
          <w:sz w:val="24"/>
          <w:szCs w:val="24"/>
          <w:u w:val="single"/>
          <w:lang w:val="en-US"/>
        </w:rPr>
        <w:t>Lord Chief Justice’s Practice Direction</w:t>
      </w:r>
      <w:r w:rsidRPr="00911F40">
        <w:rPr>
          <w:rFonts w:asciiTheme="majorHAnsi" w:hAnsiTheme="majorHAnsi" w:cstheme="majorHAnsi"/>
          <w:i/>
          <w:iCs/>
          <w:sz w:val="24"/>
          <w:szCs w:val="24"/>
          <w:lang w:val="en-US"/>
        </w:rPr>
        <w:t xml:space="preserve"> </w:t>
      </w:r>
      <w:r w:rsidRPr="00911F40">
        <w:rPr>
          <w:rFonts w:asciiTheme="majorHAnsi" w:hAnsiTheme="majorHAnsi" w:cstheme="majorHAnsi"/>
          <w:i/>
          <w:sz w:val="24"/>
          <w:szCs w:val="24"/>
          <w:lang w:val="en-US"/>
        </w:rPr>
        <w:t>[2001] 1 WLR 1001</w:t>
      </w:r>
      <w:r w:rsidRPr="00911F40">
        <w:rPr>
          <w:rFonts w:asciiTheme="majorHAnsi" w:hAnsiTheme="majorHAnsi" w:cstheme="majorHAnsi"/>
          <w:sz w:val="24"/>
          <w:szCs w:val="24"/>
          <w:lang w:val="en-US"/>
        </w:rPr>
        <w:t xml:space="preserve">” – </w:t>
      </w:r>
      <w:r w:rsidRPr="00911F40">
        <w:rPr>
          <w:rFonts w:asciiTheme="majorHAnsi" w:hAnsiTheme="majorHAnsi" w:cstheme="majorHAnsi"/>
          <w:i/>
          <w:sz w:val="24"/>
          <w:szCs w:val="24"/>
          <w:lang w:val="en-US"/>
        </w:rPr>
        <w:t xml:space="preserve">R (Prokopp) v London Underground </w:t>
      </w:r>
      <w:r w:rsidRPr="00911F40">
        <w:rPr>
          <w:rFonts w:asciiTheme="majorHAnsi" w:hAnsiTheme="majorHAnsi" w:cstheme="majorHAnsi"/>
          <w:sz w:val="24"/>
          <w:szCs w:val="24"/>
        </w:rPr>
        <w:t>[2003]</w:t>
      </w:r>
      <w:r w:rsidRPr="00911F40">
        <w:rPr>
          <w:rFonts w:asciiTheme="majorHAnsi" w:hAnsiTheme="majorHAnsi" w:cstheme="majorHAnsi"/>
          <w:sz w:val="24"/>
          <w:szCs w:val="24"/>
          <w:lang w:val="en-US"/>
        </w:rPr>
        <w:t xml:space="preserve"> EWCA Civ 961. See also Munby LJ’s </w:t>
      </w:r>
      <w:r w:rsidRPr="00911F40">
        <w:rPr>
          <w:rFonts w:asciiTheme="majorHAnsi" w:hAnsiTheme="majorHAnsi" w:cstheme="majorHAnsi"/>
          <w:i/>
          <w:sz w:val="24"/>
          <w:szCs w:val="24"/>
          <w:lang w:val="en-US"/>
        </w:rPr>
        <w:t>“afterword”</w:t>
      </w:r>
      <w:r w:rsidRPr="00911F40">
        <w:rPr>
          <w:rFonts w:asciiTheme="majorHAnsi" w:hAnsiTheme="majorHAnsi" w:cstheme="majorHAnsi"/>
          <w:sz w:val="24"/>
          <w:szCs w:val="24"/>
          <w:lang w:val="en-US"/>
        </w:rPr>
        <w:t xml:space="preserve"> </w:t>
      </w:r>
      <w:r w:rsidRPr="00911F40">
        <w:rPr>
          <w:rFonts w:asciiTheme="majorHAnsi" w:hAnsiTheme="majorHAnsi" w:cstheme="majorHAnsi"/>
          <w:i/>
          <w:sz w:val="24"/>
          <w:szCs w:val="24"/>
          <w:lang w:val="en-US"/>
        </w:rPr>
        <w:t xml:space="preserve"> </w:t>
      </w:r>
      <w:r w:rsidRPr="00911F40">
        <w:rPr>
          <w:rFonts w:asciiTheme="majorHAnsi" w:hAnsiTheme="majorHAnsi" w:cstheme="majorHAnsi"/>
          <w:sz w:val="24"/>
          <w:szCs w:val="24"/>
          <w:lang w:val="en-US"/>
        </w:rPr>
        <w:t>in</w:t>
      </w:r>
      <w:r w:rsidRPr="00911F40">
        <w:rPr>
          <w:rFonts w:asciiTheme="majorHAnsi" w:hAnsiTheme="majorHAnsi" w:cstheme="majorHAnsi"/>
          <w:i/>
          <w:sz w:val="24"/>
          <w:szCs w:val="24"/>
          <w:lang w:val="en-US"/>
        </w:rPr>
        <w:t xml:space="preserve"> R (B) v CC Derbyshire Constabulary</w:t>
      </w:r>
      <w:r w:rsidRPr="00911F40">
        <w:rPr>
          <w:rFonts w:asciiTheme="majorHAnsi" w:hAnsiTheme="majorHAnsi" w:cstheme="majorHAnsi"/>
          <w:sz w:val="24"/>
          <w:szCs w:val="24"/>
          <w:lang w:val="en-US"/>
        </w:rPr>
        <w:t xml:space="preserve"> [2011] EWHC 2362 (Admin) at </w:t>
      </w:r>
      <w:r w:rsidR="00B50AFB"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96</w:t>
      </w:r>
      <w:r w:rsidR="00B50AFB"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B50AFB"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101</w:t>
      </w:r>
      <w:r w:rsidR="00B50AFB" w:rsidRPr="00911F40">
        <w:rPr>
          <w:rFonts w:asciiTheme="majorHAnsi" w:hAnsiTheme="majorHAnsi" w:cstheme="majorHAnsi"/>
          <w:sz w:val="24"/>
          <w:szCs w:val="24"/>
          <w:lang w:val="en-US"/>
        </w:rPr>
        <w:t>].</w:t>
      </w:r>
      <w:r w:rsidRPr="00911F40">
        <w:rPr>
          <w:rFonts w:asciiTheme="majorHAnsi" w:hAnsiTheme="majorHAnsi" w:cstheme="majorHAnsi"/>
          <w:i/>
          <w:sz w:val="24"/>
          <w:szCs w:val="24"/>
          <w:lang w:val="en-US"/>
        </w:rPr>
        <w:t xml:space="preserve"> </w:t>
      </w:r>
    </w:p>
    <w:p w14:paraId="1DF7D94B"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4C" w14:textId="77777777" w:rsidR="00E94324" w:rsidRPr="00911F40" w:rsidRDefault="00E94324" w:rsidP="006F53FC">
      <w:pPr>
        <w:numPr>
          <w:ilvl w:val="0"/>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At the time of drafting the skeleton argument Claimants should also take stock and reconsider: </w:t>
      </w:r>
    </w:p>
    <w:p w14:paraId="1DF7D94D"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4E" w14:textId="31B64B2F" w:rsidR="00E94324" w:rsidRPr="00911F40" w:rsidRDefault="00E94324" w:rsidP="006F53FC">
      <w:pPr>
        <w:numPr>
          <w:ilvl w:val="1"/>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What the object is of the proceedings and what relief the Claimant seeks. It is helpful to have a draft of the </w:t>
      </w:r>
      <w:r w:rsidR="00D416CA" w:rsidRPr="00911F40">
        <w:rPr>
          <w:rFonts w:asciiTheme="majorHAnsi" w:hAnsiTheme="majorHAnsi" w:cstheme="majorHAnsi"/>
          <w:sz w:val="24"/>
          <w:szCs w:val="24"/>
          <w:lang w:val="en-US"/>
        </w:rPr>
        <w:t>o</w:t>
      </w:r>
      <w:r w:rsidRPr="00911F40">
        <w:rPr>
          <w:rFonts w:asciiTheme="majorHAnsi" w:hAnsiTheme="majorHAnsi" w:cstheme="majorHAnsi"/>
          <w:sz w:val="24"/>
          <w:szCs w:val="24"/>
          <w:lang w:val="en-US"/>
        </w:rPr>
        <w:t xml:space="preserve">rders that the Court might be invited to make. </w:t>
      </w:r>
    </w:p>
    <w:p w14:paraId="1DF7D94F"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50" w14:textId="77777777" w:rsidR="00E94324" w:rsidRPr="00911F40" w:rsidRDefault="00E94324" w:rsidP="006F53FC">
      <w:pPr>
        <w:numPr>
          <w:ilvl w:val="1"/>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Whether it is necessary to pursue all of the arguments initially advanced or whether the case can be more usefully focused. </w:t>
      </w:r>
    </w:p>
    <w:p w14:paraId="1DF7D952" w14:textId="77777777" w:rsidR="00E94324" w:rsidRPr="00911F40" w:rsidRDefault="00E94324" w:rsidP="00B50AFB">
      <w:pPr>
        <w:autoSpaceDE w:val="0"/>
        <w:autoSpaceDN w:val="0"/>
        <w:adjustRightInd w:val="0"/>
        <w:ind w:left="2160"/>
        <w:rPr>
          <w:rFonts w:asciiTheme="majorHAnsi" w:hAnsiTheme="majorHAnsi" w:cstheme="majorHAnsi"/>
          <w:i/>
          <w:sz w:val="24"/>
          <w:szCs w:val="24"/>
        </w:rPr>
      </w:pPr>
      <w:r w:rsidRPr="00911F40">
        <w:rPr>
          <w:rFonts w:asciiTheme="majorHAnsi" w:hAnsiTheme="majorHAnsi" w:cstheme="majorHAnsi"/>
          <w:i/>
          <w:sz w:val="24"/>
          <w:szCs w:val="24"/>
        </w:rPr>
        <w:t xml:space="preserve">“One of the merits of great advocates, as Lord Pearce pointed out in Rondel v Worsley [1969] 1 AC 191 at p 255G, has been the ability ruthlessly to sacrifice nine points and win on the tenth and best…The leave no stone unturned approach is no longer to be encouraged…” </w:t>
      </w:r>
    </w:p>
    <w:p w14:paraId="1DF7D954" w14:textId="77777777" w:rsidR="00E94324" w:rsidRPr="00911F40" w:rsidRDefault="00E94324" w:rsidP="00E94324">
      <w:pPr>
        <w:autoSpaceDE w:val="0"/>
        <w:autoSpaceDN w:val="0"/>
        <w:adjustRightInd w:val="0"/>
        <w:spacing w:line="360" w:lineRule="auto"/>
        <w:ind w:left="1440"/>
        <w:rPr>
          <w:rFonts w:asciiTheme="majorHAnsi" w:hAnsiTheme="majorHAnsi" w:cstheme="majorHAnsi"/>
          <w:sz w:val="24"/>
          <w:szCs w:val="24"/>
        </w:rPr>
      </w:pPr>
      <w:r w:rsidRPr="00911F40">
        <w:rPr>
          <w:rFonts w:asciiTheme="majorHAnsi" w:hAnsiTheme="majorHAnsi" w:cstheme="majorHAnsi"/>
          <w:sz w:val="24"/>
          <w:szCs w:val="24"/>
        </w:rPr>
        <w:t xml:space="preserve">Munby J in </w:t>
      </w:r>
      <w:r w:rsidRPr="00911F40">
        <w:rPr>
          <w:rFonts w:asciiTheme="majorHAnsi" w:hAnsiTheme="majorHAnsi" w:cstheme="majorHAnsi"/>
          <w:i/>
          <w:sz w:val="24"/>
          <w:szCs w:val="24"/>
        </w:rPr>
        <w:t xml:space="preserve">R (Bateman) v LSC </w:t>
      </w:r>
      <w:r w:rsidRPr="00911F40">
        <w:rPr>
          <w:rFonts w:asciiTheme="majorHAnsi" w:hAnsiTheme="majorHAnsi" w:cstheme="majorHAnsi"/>
          <w:sz w:val="24"/>
          <w:szCs w:val="24"/>
        </w:rPr>
        <w:t xml:space="preserve">[2001] EWHC Admin 797. </w:t>
      </w:r>
    </w:p>
    <w:p w14:paraId="1DF7D956" w14:textId="77777777" w:rsidR="00E94324" w:rsidRPr="00911F40" w:rsidRDefault="00E94324" w:rsidP="006F53FC">
      <w:pPr>
        <w:numPr>
          <w:ilvl w:val="1"/>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What documents (and authorities) are really necessary for the Court. In </w:t>
      </w:r>
      <w:r w:rsidRPr="00911F40">
        <w:rPr>
          <w:rFonts w:asciiTheme="majorHAnsi" w:hAnsiTheme="majorHAnsi" w:cstheme="majorHAnsi"/>
          <w:i/>
          <w:sz w:val="24"/>
          <w:szCs w:val="24"/>
          <w:lang w:val="en-US"/>
        </w:rPr>
        <w:t xml:space="preserve">Prokopp, </w:t>
      </w:r>
      <w:r w:rsidRPr="00911F40">
        <w:rPr>
          <w:rFonts w:asciiTheme="majorHAnsi" w:hAnsiTheme="majorHAnsi" w:cstheme="majorHAnsi"/>
          <w:sz w:val="24"/>
          <w:szCs w:val="24"/>
          <w:lang w:val="en-US"/>
        </w:rPr>
        <w:t xml:space="preserve">Schiemann LJ said: </w:t>
      </w:r>
    </w:p>
    <w:p w14:paraId="1DF7D958" w14:textId="77777777" w:rsidR="00E94324" w:rsidRPr="00911F40" w:rsidRDefault="00E94324" w:rsidP="00B50AFB">
      <w:pPr>
        <w:autoSpaceDE w:val="0"/>
        <w:autoSpaceDN w:val="0"/>
        <w:adjustRightInd w:val="0"/>
        <w:ind w:left="1440"/>
        <w:jc w:val="both"/>
        <w:rPr>
          <w:rFonts w:asciiTheme="majorHAnsi" w:hAnsiTheme="majorHAnsi" w:cstheme="majorHAnsi"/>
          <w:i/>
          <w:sz w:val="24"/>
          <w:szCs w:val="24"/>
          <w:lang w:val="en-US"/>
        </w:rPr>
      </w:pPr>
      <w:r w:rsidRPr="00911F40">
        <w:rPr>
          <w:rFonts w:asciiTheme="majorHAnsi" w:hAnsiTheme="majorHAnsi" w:cstheme="majorHAnsi"/>
          <w:i/>
          <w:sz w:val="24"/>
          <w:szCs w:val="24"/>
          <w:lang w:val="en-US"/>
        </w:rPr>
        <w:t>“Even if one were prepared to accept – which I am not - that they were all relevant to those actions they were certainly not relevant to the appeals before us. Their production before us not only involved a grotesque waste of environmental assets such as trees but an equally grotesque waste of public money and judicial time and energy in laying one’s hand on the few documents and authorities which are relevant. It is the duty of Counsel and solicitors to go through material in order to decide what is relevant. Counsel apparently did this and referred to what they thought was arguably relevant. Yet far more was placed before us”.</w:t>
      </w:r>
    </w:p>
    <w:p w14:paraId="1DF7D959"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5C" w14:textId="18889F20" w:rsidR="00B50AFB" w:rsidRPr="00911F40" w:rsidRDefault="00E94324" w:rsidP="00911F40">
      <w:pPr>
        <w:autoSpaceDE w:val="0"/>
        <w:autoSpaceDN w:val="0"/>
        <w:adjustRightInd w:val="0"/>
        <w:spacing w:after="0" w:line="360" w:lineRule="auto"/>
        <w:ind w:left="720"/>
        <w:jc w:val="both"/>
        <w:rPr>
          <w:rFonts w:asciiTheme="majorHAnsi" w:hAnsiTheme="majorHAnsi" w:cstheme="majorHAnsi"/>
          <w:i/>
          <w:sz w:val="24"/>
          <w:szCs w:val="24"/>
          <w:lang w:val="en-US"/>
        </w:rPr>
      </w:pPr>
      <w:r w:rsidRPr="00911F40">
        <w:rPr>
          <w:rFonts w:asciiTheme="majorHAnsi" w:hAnsiTheme="majorHAnsi" w:cstheme="majorHAnsi"/>
          <w:sz w:val="24"/>
          <w:szCs w:val="24"/>
          <w:lang w:val="en-US"/>
        </w:rPr>
        <w:t xml:space="preserve">The parties should agree a bundle of authorities which are really necessary. ACG </w:t>
      </w:r>
      <w:r w:rsidR="00534A26">
        <w:rPr>
          <w:rFonts w:asciiTheme="majorHAnsi" w:hAnsiTheme="majorHAnsi" w:cstheme="majorHAnsi"/>
          <w:sz w:val="24"/>
          <w:szCs w:val="24"/>
          <w:lang w:val="en-US"/>
        </w:rPr>
        <w:t>21</w:t>
      </w:r>
      <w:r w:rsidRPr="00911F40">
        <w:rPr>
          <w:rFonts w:asciiTheme="majorHAnsi" w:hAnsiTheme="majorHAnsi" w:cstheme="majorHAnsi"/>
          <w:sz w:val="24"/>
          <w:szCs w:val="24"/>
          <w:lang w:val="en-US"/>
        </w:rPr>
        <w:t xml:space="preserve"> suggests that in most case</w:t>
      </w:r>
      <w:r w:rsidR="00D416CA" w:rsidRPr="00911F40">
        <w:rPr>
          <w:rFonts w:asciiTheme="majorHAnsi" w:hAnsiTheme="majorHAnsi" w:cstheme="majorHAnsi"/>
          <w:sz w:val="24"/>
          <w:szCs w:val="24"/>
          <w:lang w:val="en-US"/>
        </w:rPr>
        <w:t>s</w:t>
      </w:r>
      <w:r w:rsidRPr="00911F40">
        <w:rPr>
          <w:rFonts w:asciiTheme="majorHAnsi" w:hAnsiTheme="majorHAnsi" w:cstheme="majorHAnsi"/>
          <w:sz w:val="24"/>
          <w:szCs w:val="24"/>
          <w:lang w:val="en-US"/>
        </w:rPr>
        <w:t xml:space="preserve"> there will be no need for more than 10 and some case</w:t>
      </w:r>
      <w:r w:rsidR="00D416CA" w:rsidRPr="00911F40">
        <w:rPr>
          <w:rFonts w:asciiTheme="majorHAnsi" w:hAnsiTheme="majorHAnsi" w:cstheme="majorHAnsi"/>
          <w:sz w:val="24"/>
          <w:szCs w:val="24"/>
          <w:lang w:val="en-US"/>
        </w:rPr>
        <w:t>s</w:t>
      </w:r>
      <w:r w:rsidRPr="00911F40">
        <w:rPr>
          <w:rFonts w:asciiTheme="majorHAnsi" w:hAnsiTheme="majorHAnsi" w:cstheme="majorHAnsi"/>
          <w:sz w:val="24"/>
          <w:szCs w:val="24"/>
          <w:lang w:val="en-US"/>
        </w:rPr>
        <w:t xml:space="preserve"> will require fewer, if any, authorities. </w:t>
      </w:r>
    </w:p>
    <w:p w14:paraId="1DF7D95D" w14:textId="77777777" w:rsidR="00E94324" w:rsidRPr="00911F40" w:rsidRDefault="00B50AFB" w:rsidP="00B50AFB">
      <w:pPr>
        <w:pStyle w:val="ListParagraph"/>
        <w:numPr>
          <w:ilvl w:val="0"/>
          <w:numId w:val="30"/>
        </w:numPr>
        <w:autoSpaceDE w:val="0"/>
        <w:autoSpaceDN w:val="0"/>
        <w:adjustRightInd w:val="0"/>
        <w:spacing w:line="360" w:lineRule="auto"/>
        <w:jc w:val="center"/>
        <w:rPr>
          <w:rFonts w:asciiTheme="majorHAnsi" w:hAnsiTheme="majorHAnsi" w:cstheme="majorHAnsi"/>
          <w:b/>
          <w:sz w:val="24"/>
          <w:szCs w:val="24"/>
          <w:lang w:val="en-US"/>
        </w:rPr>
      </w:pPr>
      <w:r w:rsidRPr="00911F40">
        <w:rPr>
          <w:rFonts w:asciiTheme="majorHAnsi" w:hAnsiTheme="majorHAnsi" w:cstheme="majorHAnsi"/>
          <w:b/>
          <w:sz w:val="24"/>
          <w:szCs w:val="24"/>
          <w:lang w:val="en-US"/>
        </w:rPr>
        <w:t>THE HEARING</w:t>
      </w:r>
    </w:p>
    <w:p w14:paraId="1DF7D95F" w14:textId="77777777" w:rsidR="00E94324" w:rsidRPr="00911F40" w:rsidRDefault="00E94324" w:rsidP="0068488D">
      <w:pPr>
        <w:autoSpaceDE w:val="0"/>
        <w:autoSpaceDN w:val="0"/>
        <w:adjustRightInd w:val="0"/>
        <w:spacing w:line="360" w:lineRule="auto"/>
        <w:rPr>
          <w:rFonts w:asciiTheme="majorHAnsi" w:hAnsiTheme="majorHAnsi" w:cstheme="majorHAnsi"/>
          <w:i/>
          <w:sz w:val="24"/>
          <w:szCs w:val="24"/>
        </w:rPr>
      </w:pPr>
      <w:r w:rsidRPr="00911F40">
        <w:rPr>
          <w:rFonts w:asciiTheme="majorHAnsi" w:hAnsiTheme="majorHAnsi" w:cstheme="majorHAnsi"/>
          <w:i/>
          <w:sz w:val="24"/>
          <w:szCs w:val="24"/>
        </w:rPr>
        <w:t>Composition of the Court</w:t>
      </w:r>
    </w:p>
    <w:p w14:paraId="1DF7D960" w14:textId="77777777"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Criminal cases may be heard by a single judge or by a divisional court of two judges. Simpler cases will ordinarily be suitable for decision by a single judge but note that only a Divisional Court has power to make a Defendant’s costs order in a criminal case (Prosecution of Offences Act 1985 s. 16(5) – but see the limitations in 16A). </w:t>
      </w:r>
    </w:p>
    <w:p w14:paraId="1DF7D961" w14:textId="77777777" w:rsidR="00E94324" w:rsidRPr="00911F40" w:rsidRDefault="00E94324" w:rsidP="00B50AFB">
      <w:pPr>
        <w:autoSpaceDE w:val="0"/>
        <w:autoSpaceDN w:val="0"/>
        <w:adjustRightInd w:val="0"/>
        <w:spacing w:line="360" w:lineRule="auto"/>
        <w:jc w:val="both"/>
        <w:rPr>
          <w:rFonts w:asciiTheme="majorHAnsi" w:hAnsiTheme="majorHAnsi" w:cstheme="majorHAnsi"/>
          <w:sz w:val="24"/>
          <w:szCs w:val="24"/>
        </w:rPr>
      </w:pPr>
    </w:p>
    <w:p w14:paraId="1DF7D962" w14:textId="77777777"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Civil cases are ordinarily heard by a single judge. The order granting permission may state that the case is suitable for decision by a deputy judge or specify more than one judge. </w:t>
      </w:r>
    </w:p>
    <w:p w14:paraId="1DF7D963" w14:textId="77777777" w:rsidR="00E94324" w:rsidRPr="00911F40" w:rsidRDefault="00E94324" w:rsidP="00B50AFB">
      <w:pPr>
        <w:autoSpaceDE w:val="0"/>
        <w:autoSpaceDN w:val="0"/>
        <w:adjustRightInd w:val="0"/>
        <w:spacing w:line="360" w:lineRule="auto"/>
        <w:jc w:val="both"/>
        <w:rPr>
          <w:rFonts w:asciiTheme="majorHAnsi" w:hAnsiTheme="majorHAnsi" w:cstheme="majorHAnsi"/>
          <w:sz w:val="24"/>
          <w:szCs w:val="24"/>
        </w:rPr>
      </w:pPr>
    </w:p>
    <w:p w14:paraId="1DF7D964" w14:textId="77777777"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If a judge has refused permission on the papers then the case will not normally be listed before them (</w:t>
      </w:r>
      <w:r w:rsidRPr="00911F40">
        <w:rPr>
          <w:rFonts w:asciiTheme="majorHAnsi" w:hAnsiTheme="majorHAnsi" w:cstheme="majorHAnsi"/>
          <w:i/>
          <w:sz w:val="24"/>
          <w:szCs w:val="24"/>
        </w:rPr>
        <w:t>R (Mohammed) v Special Adjudicator</w:t>
      </w:r>
      <w:r w:rsidRPr="00911F40">
        <w:rPr>
          <w:rFonts w:asciiTheme="majorHAnsi" w:hAnsiTheme="majorHAnsi" w:cstheme="majorHAnsi"/>
          <w:sz w:val="24"/>
          <w:szCs w:val="24"/>
        </w:rPr>
        <w:t xml:space="preserve"> [2002] EWHC 2496 Admin, </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4</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 xml:space="preserve">) but if it is then this will not ordinarily be a ground for asking the judge not to sit </w:t>
      </w:r>
      <w:r w:rsidRPr="00911F40">
        <w:rPr>
          <w:rFonts w:asciiTheme="majorHAnsi" w:hAnsiTheme="majorHAnsi" w:cstheme="majorHAnsi"/>
          <w:i/>
          <w:sz w:val="24"/>
          <w:szCs w:val="24"/>
        </w:rPr>
        <w:t xml:space="preserve">Sengupta v Holmes </w:t>
      </w:r>
      <w:r w:rsidRPr="00911F40">
        <w:rPr>
          <w:rFonts w:asciiTheme="majorHAnsi" w:hAnsiTheme="majorHAnsi" w:cstheme="majorHAnsi"/>
          <w:sz w:val="24"/>
          <w:szCs w:val="24"/>
        </w:rPr>
        <w:t>[2002] EWCA Civ 1104.</w:t>
      </w:r>
    </w:p>
    <w:p w14:paraId="1DF7D965" w14:textId="77777777" w:rsidR="00E94324" w:rsidRPr="00911F40" w:rsidRDefault="00E94324" w:rsidP="00B50AFB">
      <w:pPr>
        <w:spacing w:line="360" w:lineRule="auto"/>
        <w:jc w:val="both"/>
        <w:rPr>
          <w:rFonts w:asciiTheme="majorHAnsi" w:hAnsiTheme="majorHAnsi" w:cstheme="majorHAnsi"/>
          <w:sz w:val="24"/>
          <w:szCs w:val="24"/>
        </w:rPr>
      </w:pPr>
    </w:p>
    <w:p w14:paraId="1DF7D966"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Standing</w:t>
      </w:r>
      <w:r w:rsidRPr="00911F40">
        <w:rPr>
          <w:rFonts w:asciiTheme="majorHAnsi" w:hAnsiTheme="majorHAnsi" w:cstheme="majorHAnsi"/>
          <w:sz w:val="24"/>
          <w:szCs w:val="24"/>
        </w:rPr>
        <w:t xml:space="preserve"> can be considered again but overlaps with remedy – </w:t>
      </w:r>
      <w:r w:rsidRPr="00911F40">
        <w:rPr>
          <w:rFonts w:asciiTheme="majorHAnsi" w:hAnsiTheme="majorHAnsi" w:cstheme="majorHAnsi"/>
          <w:i/>
          <w:sz w:val="24"/>
          <w:szCs w:val="24"/>
        </w:rPr>
        <w:t>R v Secretary of state for Health ex p Presvac Engineering Ltd</w:t>
      </w:r>
      <w:r w:rsidRPr="00911F40">
        <w:rPr>
          <w:rFonts w:asciiTheme="majorHAnsi" w:hAnsiTheme="majorHAnsi" w:cstheme="majorHAnsi"/>
          <w:sz w:val="24"/>
          <w:szCs w:val="24"/>
        </w:rPr>
        <w:t xml:space="preserve"> (1991) 4 Admin LR 121. </w:t>
      </w:r>
    </w:p>
    <w:p w14:paraId="1DF7D967" w14:textId="77777777" w:rsidR="00E94324" w:rsidRPr="00911F40" w:rsidRDefault="00E94324" w:rsidP="00B50AFB">
      <w:pPr>
        <w:spacing w:line="360" w:lineRule="auto"/>
        <w:jc w:val="both"/>
        <w:rPr>
          <w:rFonts w:asciiTheme="majorHAnsi" w:hAnsiTheme="majorHAnsi" w:cstheme="majorHAnsi"/>
          <w:sz w:val="24"/>
          <w:szCs w:val="24"/>
        </w:rPr>
      </w:pPr>
    </w:p>
    <w:p w14:paraId="1DF7D968" w14:textId="26D08534"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Delay</w:t>
      </w:r>
      <w:r w:rsidRPr="00911F40">
        <w:rPr>
          <w:rFonts w:asciiTheme="majorHAnsi" w:hAnsiTheme="majorHAnsi" w:cstheme="majorHAnsi"/>
          <w:sz w:val="24"/>
          <w:szCs w:val="24"/>
        </w:rPr>
        <w:t xml:space="preserve"> – A decision at the permission stage that a claim was brought promptly or to extend time despite this is final and cannot be re-opened at the final hearing. However the Defendant may still argue that relief should be refused because of undue delay (</w:t>
      </w:r>
      <w:r w:rsidRPr="00911F40">
        <w:rPr>
          <w:rFonts w:asciiTheme="majorHAnsi" w:hAnsiTheme="majorHAnsi" w:cstheme="majorHAnsi"/>
          <w:i/>
          <w:sz w:val="24"/>
          <w:szCs w:val="24"/>
        </w:rPr>
        <w:t xml:space="preserve">R v CICB ex p </w:t>
      </w:r>
      <w:r w:rsidRPr="00911F40">
        <w:rPr>
          <w:rFonts w:asciiTheme="majorHAnsi" w:hAnsiTheme="majorHAnsi" w:cstheme="majorHAnsi"/>
          <w:sz w:val="24"/>
          <w:szCs w:val="24"/>
        </w:rPr>
        <w:t xml:space="preserve">A [1999] 2 AC 330). In </w:t>
      </w:r>
      <w:r w:rsidRPr="00911F40">
        <w:rPr>
          <w:rFonts w:asciiTheme="majorHAnsi" w:hAnsiTheme="majorHAnsi" w:cstheme="majorHAnsi"/>
          <w:i/>
          <w:sz w:val="24"/>
          <w:szCs w:val="24"/>
        </w:rPr>
        <w:t xml:space="preserve">R (Lichfield Securities Ltd) v Lichfield </w:t>
      </w:r>
      <w:r w:rsidRPr="00911F40">
        <w:rPr>
          <w:rFonts w:asciiTheme="majorHAnsi" w:hAnsiTheme="majorHAnsi" w:cstheme="majorHAnsi"/>
          <w:sz w:val="24"/>
          <w:szCs w:val="24"/>
        </w:rPr>
        <w:t xml:space="preserve">DC [2001] EWCA Civ 304 the </w:t>
      </w:r>
      <w:r w:rsidR="00994FE1" w:rsidRPr="00911F40">
        <w:rPr>
          <w:rFonts w:asciiTheme="majorHAnsi" w:hAnsiTheme="majorHAnsi" w:cstheme="majorHAnsi"/>
          <w:sz w:val="24"/>
          <w:szCs w:val="24"/>
        </w:rPr>
        <w:t>Court of Appeal</w:t>
      </w:r>
      <w:r w:rsidRPr="00911F40">
        <w:rPr>
          <w:rFonts w:asciiTheme="majorHAnsi" w:hAnsiTheme="majorHAnsi" w:cstheme="majorHAnsi"/>
          <w:sz w:val="24"/>
          <w:szCs w:val="24"/>
        </w:rPr>
        <w:t xml:space="preserve"> held that where the effect of undue delay had been fully argued at the permission hearing then it should be re-opened only where (a) the judge at the initial hearing had expressly so indicated; (b) new and relevant material was introduced </w:t>
      </w:r>
      <w:r w:rsidRPr="00911F40">
        <w:rPr>
          <w:rFonts w:asciiTheme="majorHAnsi" w:hAnsiTheme="majorHAnsi" w:cstheme="majorHAnsi"/>
          <w:sz w:val="24"/>
          <w:szCs w:val="24"/>
        </w:rPr>
        <w:lastRenderedPageBreak/>
        <w:t xml:space="preserve">at the substantive hearing; (c) in an exceptional case, the issues as they developed at the full hearing put a different aspect on the question of promptness; or (d) the first judge had plainly overlooked some relevant matter or had otherwise reached a decision </w:t>
      </w:r>
      <w:r w:rsidRPr="00911F40">
        <w:rPr>
          <w:rFonts w:asciiTheme="majorHAnsi" w:hAnsiTheme="majorHAnsi" w:cstheme="majorHAnsi"/>
          <w:i/>
          <w:sz w:val="24"/>
          <w:szCs w:val="24"/>
        </w:rPr>
        <w:t>per incuriam</w:t>
      </w:r>
      <w:r w:rsidRPr="00911F40">
        <w:rPr>
          <w:rFonts w:asciiTheme="majorHAnsi" w:hAnsiTheme="majorHAnsi" w:cstheme="majorHAnsi"/>
          <w:sz w:val="24"/>
          <w:szCs w:val="24"/>
        </w:rPr>
        <w:t>.</w:t>
      </w:r>
    </w:p>
    <w:p w14:paraId="1DF7D969"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6A" w14:textId="7FA85E6A"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Where limited permission was given</w:t>
      </w:r>
      <w:r w:rsidRPr="00911F40">
        <w:rPr>
          <w:rFonts w:asciiTheme="majorHAnsi" w:hAnsiTheme="majorHAnsi" w:cstheme="majorHAnsi"/>
          <w:sz w:val="24"/>
          <w:szCs w:val="24"/>
        </w:rPr>
        <w:t xml:space="preserve">: </w:t>
      </w:r>
      <w:r w:rsidR="00994FE1" w:rsidRPr="00911F40">
        <w:rPr>
          <w:rFonts w:asciiTheme="majorHAnsi" w:hAnsiTheme="majorHAnsi" w:cstheme="majorHAnsi"/>
          <w:sz w:val="24"/>
          <w:szCs w:val="24"/>
        </w:rPr>
        <w:t xml:space="preserve">As mentioned above, </w:t>
      </w:r>
      <w:r w:rsidRPr="00911F40">
        <w:rPr>
          <w:rFonts w:asciiTheme="majorHAnsi" w:hAnsiTheme="majorHAnsi" w:cstheme="majorHAnsi"/>
          <w:sz w:val="24"/>
          <w:szCs w:val="24"/>
        </w:rPr>
        <w:t xml:space="preserve">CPR Part 54.15 also permits a Claimant to give notice that they intend to rely on grounds in their original N.461 for which they were not granted or refused permission. However, this may be an abuse of process in the absence of significant justification– </w:t>
      </w:r>
      <w:r w:rsidRPr="00911F40">
        <w:rPr>
          <w:rFonts w:asciiTheme="majorHAnsi" w:hAnsiTheme="majorHAnsi" w:cstheme="majorHAnsi"/>
          <w:i/>
          <w:sz w:val="24"/>
          <w:szCs w:val="24"/>
        </w:rPr>
        <w:t>R (Opoku) v Principal of Southwark College</w:t>
      </w:r>
      <w:r w:rsidRPr="00911F40">
        <w:rPr>
          <w:rFonts w:asciiTheme="majorHAnsi" w:hAnsiTheme="majorHAnsi" w:cstheme="majorHAnsi"/>
          <w:sz w:val="24"/>
          <w:szCs w:val="24"/>
        </w:rPr>
        <w:t xml:space="preserve"> [2002] EWHC (Admin) 272, and </w:t>
      </w:r>
      <w:r w:rsidRPr="00911F40">
        <w:rPr>
          <w:rFonts w:asciiTheme="majorHAnsi" w:hAnsiTheme="majorHAnsi" w:cstheme="majorHAnsi"/>
          <w:i/>
          <w:sz w:val="24"/>
          <w:szCs w:val="24"/>
        </w:rPr>
        <w:t>R (Smith) v Parole Board</w:t>
      </w:r>
      <w:r w:rsidRPr="00911F40">
        <w:rPr>
          <w:rFonts w:asciiTheme="majorHAnsi" w:hAnsiTheme="majorHAnsi" w:cstheme="majorHAnsi"/>
          <w:sz w:val="24"/>
          <w:szCs w:val="24"/>
        </w:rPr>
        <w:t xml:space="preserve"> [2003] EWCA Civ 1014.</w:t>
      </w:r>
    </w:p>
    <w:p w14:paraId="1DF7D96B" w14:textId="77777777" w:rsidR="00B50AFB" w:rsidRPr="00911F40" w:rsidRDefault="00B50AFB" w:rsidP="00B50AFB">
      <w:pPr>
        <w:pStyle w:val="ListParagraph"/>
        <w:rPr>
          <w:rFonts w:asciiTheme="majorHAnsi" w:hAnsiTheme="majorHAnsi" w:cstheme="majorHAnsi"/>
          <w:sz w:val="24"/>
          <w:szCs w:val="24"/>
        </w:rPr>
      </w:pPr>
    </w:p>
    <w:p w14:paraId="1DF7D96C" w14:textId="77777777" w:rsidR="00B50AFB"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Relief may be refused at the full hearing (or before) without consideration of the merits if there has been a material non-disclosure by the Claimant. </w:t>
      </w:r>
    </w:p>
    <w:p w14:paraId="1DF7D96D" w14:textId="77777777" w:rsidR="00B50AFB" w:rsidRPr="00911F40" w:rsidRDefault="00B50AFB" w:rsidP="00B50AFB">
      <w:pPr>
        <w:pStyle w:val="ListParagraph"/>
        <w:rPr>
          <w:rFonts w:asciiTheme="majorHAnsi" w:hAnsiTheme="majorHAnsi" w:cstheme="majorHAnsi"/>
          <w:sz w:val="24"/>
          <w:szCs w:val="24"/>
          <w:u w:val="single"/>
        </w:rPr>
      </w:pPr>
    </w:p>
    <w:p w14:paraId="1DF7D96E"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Any difference</w:t>
      </w:r>
      <w:r w:rsidRPr="00911F40">
        <w:rPr>
          <w:rFonts w:asciiTheme="majorHAnsi" w:hAnsiTheme="majorHAnsi" w:cstheme="majorHAnsi"/>
          <w:sz w:val="24"/>
          <w:szCs w:val="24"/>
        </w:rPr>
        <w:t>. By s. 31(2A) and (2B) of the Senior Courts Act 2015 (inserted by s. 84 of the Criminal Justice and Courts Act 2015:</w:t>
      </w:r>
    </w:p>
    <w:p w14:paraId="1DF7D96F" w14:textId="77777777" w:rsidR="00E94324" w:rsidRPr="00911F40" w:rsidRDefault="00E94324" w:rsidP="00B50AFB">
      <w:pPr>
        <w:pStyle w:val="ListParagraph"/>
        <w:jc w:val="both"/>
        <w:rPr>
          <w:rFonts w:asciiTheme="majorHAnsi" w:hAnsiTheme="majorHAnsi" w:cstheme="majorHAnsi"/>
          <w:sz w:val="24"/>
          <w:szCs w:val="24"/>
          <w:lang w:eastAsia="en-GB"/>
        </w:rPr>
      </w:pPr>
    </w:p>
    <w:p w14:paraId="1DF7D970" w14:textId="77777777" w:rsidR="00E94324" w:rsidRPr="00911F40" w:rsidRDefault="00E94324" w:rsidP="00B50AFB">
      <w:pPr>
        <w:spacing w:line="360" w:lineRule="auto"/>
        <w:ind w:left="1080"/>
        <w:rPr>
          <w:rFonts w:asciiTheme="majorHAnsi" w:hAnsiTheme="majorHAnsi" w:cstheme="majorHAnsi"/>
          <w:i/>
          <w:sz w:val="24"/>
          <w:szCs w:val="24"/>
          <w:u w:val="single"/>
        </w:rPr>
      </w:pPr>
      <w:r w:rsidRPr="00911F40">
        <w:rPr>
          <w:rFonts w:asciiTheme="majorHAnsi" w:hAnsiTheme="majorHAnsi" w:cstheme="majorHAnsi"/>
          <w:i/>
          <w:sz w:val="24"/>
          <w:szCs w:val="24"/>
          <w:lang w:eastAsia="en-GB"/>
        </w:rPr>
        <w:t>“(2A) The High Court—</w:t>
      </w:r>
    </w:p>
    <w:p w14:paraId="1DF7D971" w14:textId="77777777" w:rsidR="00E94324" w:rsidRPr="00911F40" w:rsidRDefault="00E94324" w:rsidP="00B50AFB">
      <w:pPr>
        <w:ind w:left="1440" w:hanging="360"/>
        <w:rPr>
          <w:rFonts w:asciiTheme="majorHAnsi" w:hAnsiTheme="majorHAnsi" w:cstheme="majorHAnsi"/>
          <w:i/>
          <w:sz w:val="24"/>
          <w:szCs w:val="24"/>
          <w:lang w:eastAsia="en-GB"/>
        </w:rPr>
      </w:pPr>
      <w:r w:rsidRPr="00911F40">
        <w:rPr>
          <w:rFonts w:asciiTheme="majorHAnsi" w:hAnsiTheme="majorHAnsi" w:cstheme="majorHAnsi"/>
          <w:i/>
          <w:sz w:val="24"/>
          <w:szCs w:val="24"/>
          <w:lang w:eastAsia="en-GB"/>
        </w:rPr>
        <w:t>(a) must refuse to grant relief on an application for judicial review, and</w:t>
      </w:r>
    </w:p>
    <w:p w14:paraId="1DF7D972" w14:textId="77777777" w:rsidR="00E94324" w:rsidRPr="00911F40" w:rsidRDefault="00E94324" w:rsidP="00B50AFB">
      <w:pPr>
        <w:ind w:left="720"/>
        <w:rPr>
          <w:rFonts w:asciiTheme="majorHAnsi" w:hAnsiTheme="majorHAnsi" w:cstheme="majorHAnsi"/>
          <w:i/>
          <w:sz w:val="24"/>
          <w:szCs w:val="24"/>
          <w:lang w:eastAsia="en-GB"/>
        </w:rPr>
      </w:pPr>
    </w:p>
    <w:p w14:paraId="1DF7D973" w14:textId="77777777" w:rsidR="00E94324" w:rsidRPr="00911F40" w:rsidRDefault="00E94324" w:rsidP="00B50AFB">
      <w:pPr>
        <w:ind w:left="1440" w:hanging="360"/>
        <w:rPr>
          <w:rFonts w:asciiTheme="majorHAnsi" w:hAnsiTheme="majorHAnsi" w:cstheme="majorHAnsi"/>
          <w:i/>
          <w:sz w:val="24"/>
          <w:szCs w:val="24"/>
          <w:lang w:eastAsia="en-GB"/>
        </w:rPr>
      </w:pPr>
      <w:r w:rsidRPr="00911F40">
        <w:rPr>
          <w:rFonts w:asciiTheme="majorHAnsi" w:hAnsiTheme="majorHAnsi" w:cstheme="majorHAnsi"/>
          <w:i/>
          <w:sz w:val="24"/>
          <w:szCs w:val="24"/>
          <w:lang w:eastAsia="en-GB"/>
        </w:rPr>
        <w:t>(b) may not make an award under subsection (4) on such an application, if it appears to the court to be highly likely that the outcome for the applicant would not have been substantially different if the conduct complained of had not occurred.</w:t>
      </w:r>
    </w:p>
    <w:p w14:paraId="1DF7D974" w14:textId="77777777" w:rsidR="00E94324" w:rsidRPr="00911F40" w:rsidRDefault="00E94324" w:rsidP="00B50AFB">
      <w:pPr>
        <w:ind w:left="720" w:firstLine="360"/>
        <w:rPr>
          <w:rFonts w:asciiTheme="majorHAnsi" w:hAnsiTheme="majorHAnsi" w:cstheme="majorHAnsi"/>
          <w:i/>
          <w:sz w:val="24"/>
          <w:szCs w:val="24"/>
          <w:lang w:eastAsia="en-GB"/>
        </w:rPr>
      </w:pPr>
    </w:p>
    <w:p w14:paraId="1DF7D975" w14:textId="77777777" w:rsidR="00E94324" w:rsidRPr="00911F40" w:rsidRDefault="00E94324" w:rsidP="00B50AFB">
      <w:pPr>
        <w:ind w:left="1440" w:hanging="360"/>
        <w:rPr>
          <w:rFonts w:asciiTheme="majorHAnsi" w:hAnsiTheme="majorHAnsi" w:cstheme="majorHAnsi"/>
          <w:i/>
          <w:sz w:val="24"/>
          <w:szCs w:val="24"/>
          <w:lang w:eastAsia="en-GB"/>
        </w:rPr>
      </w:pPr>
      <w:r w:rsidRPr="00911F40">
        <w:rPr>
          <w:rFonts w:asciiTheme="majorHAnsi" w:hAnsiTheme="majorHAnsi" w:cstheme="majorHAnsi"/>
          <w:i/>
          <w:sz w:val="24"/>
          <w:szCs w:val="24"/>
          <w:lang w:eastAsia="en-GB"/>
        </w:rPr>
        <w:t xml:space="preserve">(2B) The court may disregard the requirements in subsection (2A)(a) and (b) if it considers that it is appropriate to do so for reasons of exceptional public interest”. </w:t>
      </w:r>
    </w:p>
    <w:p w14:paraId="1DF7D976" w14:textId="77777777" w:rsidR="00E94324" w:rsidRPr="00911F40" w:rsidRDefault="00E94324" w:rsidP="00E94324">
      <w:pPr>
        <w:spacing w:line="360" w:lineRule="auto"/>
        <w:rPr>
          <w:rFonts w:asciiTheme="majorHAnsi" w:hAnsiTheme="majorHAnsi" w:cstheme="majorHAnsi"/>
          <w:sz w:val="24"/>
          <w:szCs w:val="24"/>
        </w:rPr>
      </w:pPr>
    </w:p>
    <w:p w14:paraId="1DF7D977" w14:textId="6DF0007F" w:rsidR="00E94324" w:rsidRPr="00911F40" w:rsidRDefault="008127F9"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See </w:t>
      </w:r>
      <w:r w:rsidRPr="00911F40">
        <w:rPr>
          <w:rFonts w:asciiTheme="majorHAnsi" w:hAnsiTheme="majorHAnsi" w:cstheme="majorHAnsi"/>
          <w:i/>
          <w:iCs/>
          <w:sz w:val="24"/>
          <w:szCs w:val="24"/>
        </w:rPr>
        <w:t xml:space="preserve">R(Plan B Earth) v Secretary of State for Transport </w:t>
      </w:r>
      <w:r w:rsidRPr="00911F40">
        <w:rPr>
          <w:rFonts w:asciiTheme="majorHAnsi" w:hAnsiTheme="majorHAnsi" w:cstheme="majorHAnsi"/>
          <w:sz w:val="24"/>
          <w:szCs w:val="24"/>
        </w:rPr>
        <w:t xml:space="preserve"> [2020] EWCA Civ 214</w:t>
      </w:r>
      <w:r w:rsidR="00A05ED4" w:rsidRPr="00911F40">
        <w:rPr>
          <w:rStyle w:val="FootnoteReference"/>
          <w:rFonts w:asciiTheme="majorHAnsi" w:hAnsiTheme="majorHAnsi" w:cstheme="majorHAnsi"/>
          <w:sz w:val="24"/>
          <w:szCs w:val="24"/>
        </w:rPr>
        <w:footnoteReference w:id="9"/>
      </w:r>
      <w:r w:rsidRPr="00911F40">
        <w:rPr>
          <w:rFonts w:asciiTheme="majorHAnsi" w:hAnsiTheme="majorHAnsi" w:cstheme="majorHAnsi"/>
          <w:sz w:val="24"/>
          <w:szCs w:val="24"/>
        </w:rPr>
        <w:t xml:space="preserve"> </w:t>
      </w:r>
      <w:r w:rsidR="00A05ED4" w:rsidRPr="00911F40">
        <w:rPr>
          <w:rFonts w:asciiTheme="majorHAnsi" w:hAnsiTheme="majorHAnsi" w:cstheme="majorHAnsi"/>
          <w:sz w:val="24"/>
          <w:szCs w:val="24"/>
        </w:rPr>
        <w:t xml:space="preserve">at </w:t>
      </w:r>
      <w:r w:rsidRPr="00911F40">
        <w:rPr>
          <w:rFonts w:asciiTheme="majorHAnsi" w:hAnsiTheme="majorHAnsi" w:cstheme="majorHAnsi"/>
          <w:sz w:val="24"/>
          <w:szCs w:val="24"/>
        </w:rPr>
        <w:t>227-3</w:t>
      </w:r>
      <w:r w:rsidR="00CC6FC9"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for the general approach. The test </w:t>
      </w:r>
      <w:r w:rsidR="00B71CFA" w:rsidRPr="00911F40">
        <w:rPr>
          <w:rFonts w:asciiTheme="majorHAnsi" w:hAnsiTheme="majorHAnsi" w:cstheme="majorHAnsi"/>
          <w:sz w:val="24"/>
          <w:szCs w:val="24"/>
        </w:rPr>
        <w:t xml:space="preserve">remains </w:t>
      </w:r>
      <w:r w:rsidRPr="00911F40">
        <w:rPr>
          <w:rFonts w:asciiTheme="majorHAnsi" w:hAnsiTheme="majorHAnsi" w:cstheme="majorHAnsi"/>
          <w:sz w:val="24"/>
          <w:szCs w:val="24"/>
        </w:rPr>
        <w:t xml:space="preserve">a high </w:t>
      </w:r>
      <w:r w:rsidR="00B71CFA" w:rsidRPr="00911F40">
        <w:rPr>
          <w:rFonts w:asciiTheme="majorHAnsi" w:hAnsiTheme="majorHAnsi" w:cstheme="majorHAnsi"/>
          <w:sz w:val="24"/>
          <w:szCs w:val="24"/>
        </w:rPr>
        <w:t xml:space="preserve">one and the courts </w:t>
      </w:r>
      <w:r w:rsidR="00CC6FC9" w:rsidRPr="00911F40">
        <w:rPr>
          <w:rFonts w:asciiTheme="majorHAnsi" w:hAnsiTheme="majorHAnsi" w:cstheme="majorHAnsi"/>
          <w:sz w:val="24"/>
          <w:szCs w:val="24"/>
        </w:rPr>
        <w:t>s</w:t>
      </w:r>
      <w:r w:rsidR="005122E5" w:rsidRPr="00911F40">
        <w:rPr>
          <w:rFonts w:asciiTheme="majorHAnsi" w:hAnsiTheme="majorHAnsi" w:cstheme="majorHAnsi"/>
          <w:color w:val="3D3D3D"/>
          <w:sz w:val="24"/>
          <w:szCs w:val="24"/>
          <w:shd w:val="clear" w:color="auto" w:fill="FFFFFF"/>
        </w:rPr>
        <w:t>hould still be cautious about straying, even subconsciously, into the forbidden territory of assessing the merits of a public decision under challenge by way of judicial review.</w:t>
      </w:r>
      <w:r w:rsidR="007C2D2C" w:rsidRPr="00911F40">
        <w:rPr>
          <w:rFonts w:asciiTheme="majorHAnsi" w:hAnsiTheme="majorHAnsi" w:cstheme="majorHAnsi"/>
          <w:color w:val="3D3D3D"/>
          <w:sz w:val="24"/>
          <w:szCs w:val="24"/>
          <w:shd w:val="clear" w:color="auto" w:fill="FFFFFF"/>
        </w:rPr>
        <w:t xml:space="preserve">  </w:t>
      </w:r>
      <w:r w:rsidR="00255C61" w:rsidRPr="00911F40">
        <w:rPr>
          <w:rFonts w:asciiTheme="majorHAnsi" w:hAnsiTheme="majorHAnsi" w:cstheme="majorHAnsi"/>
          <w:color w:val="3D3D3D"/>
          <w:sz w:val="24"/>
          <w:szCs w:val="24"/>
          <w:shd w:val="clear" w:color="auto" w:fill="FFFFFF"/>
        </w:rPr>
        <w:t>“</w:t>
      </w:r>
      <w:r w:rsidR="007C2D2C" w:rsidRPr="00911F40">
        <w:rPr>
          <w:rFonts w:asciiTheme="majorHAnsi" w:hAnsiTheme="majorHAnsi" w:cstheme="majorHAnsi"/>
          <w:color w:val="3D3D3D"/>
          <w:sz w:val="24"/>
          <w:szCs w:val="24"/>
          <w:shd w:val="clear" w:color="auto" w:fill="FFFFFF"/>
        </w:rPr>
        <w:t>Self-interested speculations of this kind by an official of the public authority which has been found to have acted unlawfully should be approached with a degree of scepticism by a court</w:t>
      </w:r>
      <w:r w:rsidR="00255C61" w:rsidRPr="00911F40">
        <w:rPr>
          <w:rFonts w:asciiTheme="majorHAnsi" w:hAnsiTheme="majorHAnsi" w:cstheme="majorHAnsi"/>
          <w:color w:val="3D3D3D"/>
          <w:sz w:val="24"/>
          <w:szCs w:val="24"/>
          <w:shd w:val="clear" w:color="auto" w:fill="FFFFFF"/>
        </w:rPr>
        <w:t xml:space="preserve">” </w:t>
      </w:r>
      <w:hyperlink r:id="rId15" w:history="1">
        <w:r w:rsidR="00255C61" w:rsidRPr="00911F40">
          <w:rPr>
            <w:rStyle w:val="Hyperlink"/>
            <w:rFonts w:asciiTheme="majorHAnsi" w:hAnsiTheme="majorHAnsi" w:cstheme="majorHAnsi"/>
            <w:i/>
            <w:iCs/>
            <w:color w:val="0E568C"/>
            <w:sz w:val="24"/>
            <w:szCs w:val="24"/>
            <w:bdr w:val="none" w:sz="0" w:space="0" w:color="auto" w:frame="1"/>
          </w:rPr>
          <w:t>R (Public and Commercial Services Union) v Minister for the Cabinet Office [2018] ICR 269</w:t>
        </w:r>
      </w:hyperlink>
      <w:r w:rsidR="00255C61" w:rsidRPr="00911F40">
        <w:rPr>
          <w:rFonts w:asciiTheme="majorHAnsi" w:hAnsiTheme="majorHAnsi" w:cstheme="majorHAnsi"/>
          <w:color w:val="3D3D3D"/>
          <w:sz w:val="24"/>
          <w:szCs w:val="24"/>
          <w:shd w:val="clear" w:color="auto" w:fill="FFFFFF"/>
        </w:rPr>
        <w:t>, para 91</w:t>
      </w:r>
      <w:r w:rsidR="007C2D2C" w:rsidRPr="00911F40">
        <w:rPr>
          <w:rFonts w:asciiTheme="majorHAnsi" w:hAnsiTheme="majorHAnsi" w:cstheme="majorHAnsi"/>
          <w:color w:val="3D3D3D"/>
          <w:sz w:val="24"/>
          <w:szCs w:val="24"/>
          <w:shd w:val="clear" w:color="auto" w:fill="FFFFFF"/>
        </w:rPr>
        <w:t>.</w:t>
      </w:r>
      <w:r w:rsidR="00E94324" w:rsidRPr="00911F40">
        <w:rPr>
          <w:rFonts w:asciiTheme="majorHAnsi" w:hAnsiTheme="majorHAnsi" w:cstheme="majorHAnsi"/>
          <w:sz w:val="24"/>
          <w:szCs w:val="24"/>
        </w:rPr>
        <w:t xml:space="preserve"> </w:t>
      </w:r>
    </w:p>
    <w:p w14:paraId="1DF7D978" w14:textId="77777777" w:rsidR="00E94324" w:rsidRPr="00911F40" w:rsidRDefault="00E94324" w:rsidP="00E94324">
      <w:pPr>
        <w:spacing w:line="360" w:lineRule="auto"/>
        <w:rPr>
          <w:rFonts w:asciiTheme="majorHAnsi" w:hAnsiTheme="majorHAnsi" w:cstheme="majorHAnsi"/>
          <w:sz w:val="24"/>
          <w:szCs w:val="24"/>
        </w:rPr>
      </w:pPr>
    </w:p>
    <w:p w14:paraId="0762E100" w14:textId="5DDA7F4A" w:rsidR="00994FE1" w:rsidRPr="00911F40" w:rsidRDefault="00E94324" w:rsidP="00994FE1">
      <w:pPr>
        <w:pStyle w:val="ListParagraph"/>
        <w:numPr>
          <w:ilvl w:val="0"/>
          <w:numId w:val="30"/>
        </w:numPr>
        <w:spacing w:line="360" w:lineRule="auto"/>
        <w:jc w:val="center"/>
        <w:rPr>
          <w:rFonts w:asciiTheme="majorHAnsi" w:hAnsiTheme="majorHAnsi" w:cstheme="majorHAnsi"/>
          <w:b/>
          <w:caps/>
          <w:sz w:val="24"/>
          <w:szCs w:val="24"/>
        </w:rPr>
      </w:pPr>
      <w:r w:rsidRPr="00911F40">
        <w:rPr>
          <w:rFonts w:asciiTheme="majorHAnsi" w:hAnsiTheme="majorHAnsi" w:cstheme="majorHAnsi"/>
          <w:b/>
          <w:caps/>
          <w:sz w:val="24"/>
          <w:szCs w:val="24"/>
        </w:rPr>
        <w:t xml:space="preserve">Orders and appeals </w:t>
      </w:r>
    </w:p>
    <w:p w14:paraId="1DF7D97A" w14:textId="2F6DF606" w:rsidR="00E94324"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time estimate given in the skeleton argument assumes that judgment will be given at the hearing. If so then it will be transcribed but counsel must still make a note in case of an urgent appeal. </w:t>
      </w:r>
      <w:r w:rsidR="00B50AFB" w:rsidRPr="00911F40">
        <w:rPr>
          <w:rFonts w:asciiTheme="majorHAnsi" w:hAnsiTheme="majorHAnsi" w:cstheme="majorHAnsi"/>
          <w:sz w:val="24"/>
          <w:szCs w:val="24"/>
        </w:rPr>
        <w:t xml:space="preserve"> However in practice it is rare for judgment to be given at this time.</w:t>
      </w:r>
    </w:p>
    <w:p w14:paraId="2884219E" w14:textId="77777777" w:rsidR="00507FEF" w:rsidRPr="00911F40" w:rsidRDefault="00507FEF" w:rsidP="00507FEF">
      <w:pPr>
        <w:spacing w:after="0" w:line="360" w:lineRule="auto"/>
        <w:ind w:left="720"/>
        <w:jc w:val="both"/>
        <w:rPr>
          <w:rFonts w:asciiTheme="majorHAnsi" w:hAnsiTheme="majorHAnsi" w:cstheme="majorHAnsi"/>
          <w:sz w:val="24"/>
          <w:szCs w:val="24"/>
        </w:rPr>
      </w:pPr>
    </w:p>
    <w:p w14:paraId="1DF7D97C"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judgment is not given at the hearing then usually a confidential draft judgment will be prepared in advance with a direction for the parties to submit typing corrections and notes of other obvious errors (PD40E). The parties need not attend for handing down of judgment if all consequential orders have been agreed and may not be able to recover costs if they attend when this is unnecessary. The court is not bound by the draft decision so circulated and in exceptional cases the court can be invited to alter it – </w:t>
      </w:r>
      <w:r w:rsidRPr="00911F40">
        <w:rPr>
          <w:rFonts w:asciiTheme="majorHAnsi" w:hAnsiTheme="majorHAnsi" w:cstheme="majorHAnsi"/>
          <w:i/>
          <w:sz w:val="24"/>
          <w:szCs w:val="24"/>
        </w:rPr>
        <w:t xml:space="preserve">R (Mohamed) v Secretary of State for Foreign and Commonwealth Affairs (No 2) </w:t>
      </w:r>
      <w:r w:rsidRPr="00911F40">
        <w:rPr>
          <w:rFonts w:asciiTheme="majorHAnsi" w:hAnsiTheme="majorHAnsi" w:cstheme="majorHAnsi"/>
          <w:sz w:val="24"/>
          <w:szCs w:val="24"/>
        </w:rPr>
        <w:t xml:space="preserve"> [2011] QB 218. </w:t>
      </w:r>
    </w:p>
    <w:p w14:paraId="1DF7D97D"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7E" w14:textId="775E5F9D"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Counsel will usually be asked to agree a draft minute of </w:t>
      </w:r>
      <w:r w:rsidR="00994FE1" w:rsidRPr="00911F40">
        <w:rPr>
          <w:rFonts w:asciiTheme="majorHAnsi" w:hAnsiTheme="majorHAnsi" w:cstheme="majorHAnsi"/>
          <w:sz w:val="24"/>
          <w:szCs w:val="24"/>
        </w:rPr>
        <w:t xml:space="preserve">the </w:t>
      </w:r>
      <w:r w:rsidRPr="00911F40">
        <w:rPr>
          <w:rFonts w:asciiTheme="majorHAnsi" w:hAnsiTheme="majorHAnsi" w:cstheme="majorHAnsi"/>
          <w:sz w:val="24"/>
          <w:szCs w:val="24"/>
        </w:rPr>
        <w:t xml:space="preserve">Order to be lodged with the Court. </w:t>
      </w:r>
    </w:p>
    <w:p w14:paraId="1DF7D97F" w14:textId="77777777" w:rsidR="00E94324" w:rsidRPr="00911F40" w:rsidRDefault="00E94324" w:rsidP="00B50AFB">
      <w:pPr>
        <w:pStyle w:val="ListParagraph"/>
        <w:jc w:val="both"/>
        <w:rPr>
          <w:rFonts w:asciiTheme="majorHAnsi" w:hAnsiTheme="majorHAnsi" w:cstheme="majorHAnsi"/>
          <w:sz w:val="24"/>
          <w:szCs w:val="24"/>
        </w:rPr>
      </w:pPr>
    </w:p>
    <w:p w14:paraId="1DF7D980"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Court may make any one of the Orders referred to in s. 31 of the SCA 1981 (mandatory, prohibiting, certiorari, declaration or injunction). Each of these remedies is discretionary but the starting point is that in most case in which a decision has been found to be flawed it would not be a proper exercise of discretion to refuse to quash it  </w:t>
      </w:r>
      <w:r w:rsidRPr="00911F40">
        <w:rPr>
          <w:rFonts w:asciiTheme="majorHAnsi" w:hAnsiTheme="majorHAnsi" w:cstheme="majorHAnsi"/>
          <w:i/>
          <w:sz w:val="24"/>
          <w:szCs w:val="24"/>
        </w:rPr>
        <w:t xml:space="preserve">(R (Edwards) v Environment Agency </w:t>
      </w:r>
      <w:r w:rsidRPr="00911F40">
        <w:rPr>
          <w:rFonts w:asciiTheme="majorHAnsi" w:hAnsiTheme="majorHAnsi" w:cstheme="majorHAnsi"/>
          <w:sz w:val="24"/>
          <w:szCs w:val="24"/>
        </w:rPr>
        <w:t>[2009] 1 All ER 57</w:t>
      </w:r>
      <w:r w:rsidR="00B50AFB" w:rsidRPr="00911F40">
        <w:rPr>
          <w:rFonts w:asciiTheme="majorHAnsi" w:hAnsiTheme="majorHAnsi" w:cstheme="majorHAnsi"/>
          <w:sz w:val="24"/>
          <w:szCs w:val="24"/>
        </w:rPr>
        <w:t>, [</w:t>
      </w:r>
      <w:r w:rsidRPr="00911F40">
        <w:rPr>
          <w:rFonts w:asciiTheme="majorHAnsi" w:hAnsiTheme="majorHAnsi" w:cstheme="majorHAnsi"/>
          <w:sz w:val="24"/>
          <w:szCs w:val="24"/>
        </w:rPr>
        <w:t>63</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w:t>
      </w: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 xml:space="preserve"> </w:t>
      </w:r>
    </w:p>
    <w:p w14:paraId="1DF7D981" w14:textId="77777777" w:rsidR="00E94324" w:rsidRPr="00911F40" w:rsidRDefault="00E94324" w:rsidP="00B50AFB">
      <w:pPr>
        <w:pStyle w:val="ListParagraph"/>
        <w:jc w:val="both"/>
        <w:rPr>
          <w:rFonts w:asciiTheme="majorHAnsi" w:hAnsiTheme="majorHAnsi" w:cstheme="majorHAnsi"/>
          <w:sz w:val="24"/>
          <w:szCs w:val="24"/>
        </w:rPr>
      </w:pPr>
    </w:p>
    <w:p w14:paraId="1DF7D982"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 court quashes a decision and is satisfied that but for the error there is only one decision that the defendant could have reached then it may substitute its own decision for the decision in question (SCA 1981 s. 31(5A)- (5B) and CPR 54.19). SCA s. 43 contains a separate power to vary a sentence in criminal proceedings where the original sentence was unlawful. </w:t>
      </w:r>
    </w:p>
    <w:p w14:paraId="1DF7D983" w14:textId="77777777" w:rsidR="00E94324" w:rsidRPr="00911F40" w:rsidRDefault="00E94324" w:rsidP="00E94324">
      <w:pPr>
        <w:pStyle w:val="ListParagraph"/>
        <w:rPr>
          <w:rFonts w:asciiTheme="majorHAnsi" w:hAnsiTheme="majorHAnsi" w:cstheme="majorHAnsi"/>
          <w:sz w:val="24"/>
          <w:szCs w:val="24"/>
        </w:rPr>
      </w:pPr>
    </w:p>
    <w:p w14:paraId="1DF7D984"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court may award damages only where damages would have been awarded in a private law claim based on the same facts. Where a judicial review decision may lead to a complex damages claim or the assessment of damages is complex then the court may refer the case to another division or to the County Court for that issue to be dealt with. </w:t>
      </w:r>
    </w:p>
    <w:p w14:paraId="1DF7D985" w14:textId="77777777" w:rsidR="00E94324" w:rsidRPr="00911F40" w:rsidRDefault="00E94324" w:rsidP="00E94324">
      <w:pPr>
        <w:spacing w:line="360" w:lineRule="auto"/>
        <w:ind w:left="360"/>
        <w:rPr>
          <w:rFonts w:asciiTheme="majorHAnsi" w:hAnsiTheme="majorHAnsi" w:cstheme="majorHAnsi"/>
          <w:sz w:val="24"/>
          <w:szCs w:val="24"/>
        </w:rPr>
      </w:pPr>
    </w:p>
    <w:p w14:paraId="1DF7D986"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Once sealed the Order of the Court is final, subject to correction under the slip rule (CPR 40.12).</w:t>
      </w:r>
    </w:p>
    <w:p w14:paraId="1DF7D987" w14:textId="77777777" w:rsidR="00E94324" w:rsidRPr="00911F40" w:rsidRDefault="00E94324" w:rsidP="00E94324">
      <w:pPr>
        <w:spacing w:line="360" w:lineRule="auto"/>
        <w:rPr>
          <w:rFonts w:asciiTheme="majorHAnsi" w:hAnsiTheme="majorHAnsi" w:cstheme="majorHAnsi"/>
          <w:sz w:val="24"/>
          <w:szCs w:val="24"/>
        </w:rPr>
      </w:pPr>
    </w:p>
    <w:p w14:paraId="1DF7D988" w14:textId="77777777" w:rsidR="00E94324" w:rsidRPr="00911F40" w:rsidRDefault="00E94324" w:rsidP="005F5903">
      <w:pPr>
        <w:keepNext/>
        <w:spacing w:line="360" w:lineRule="auto"/>
        <w:ind w:firstLine="505"/>
        <w:rPr>
          <w:rFonts w:asciiTheme="majorHAnsi" w:hAnsiTheme="majorHAnsi" w:cstheme="majorHAnsi"/>
          <w:i/>
          <w:sz w:val="24"/>
          <w:szCs w:val="24"/>
        </w:rPr>
      </w:pPr>
      <w:r w:rsidRPr="00911F40">
        <w:rPr>
          <w:rFonts w:asciiTheme="majorHAnsi" w:hAnsiTheme="majorHAnsi" w:cstheme="majorHAnsi"/>
          <w:i/>
          <w:sz w:val="24"/>
          <w:szCs w:val="24"/>
        </w:rPr>
        <w:t xml:space="preserve">Appeals  </w:t>
      </w:r>
    </w:p>
    <w:p w14:paraId="1DF7D989" w14:textId="77777777" w:rsidR="00E94324" w:rsidRPr="00911F40" w:rsidRDefault="00E94324" w:rsidP="005F5903">
      <w:pPr>
        <w:keepNext/>
        <w:spacing w:line="360" w:lineRule="auto"/>
        <w:ind w:firstLine="505"/>
        <w:rPr>
          <w:rFonts w:asciiTheme="majorHAnsi" w:hAnsiTheme="majorHAnsi" w:cstheme="majorHAnsi"/>
          <w:i/>
          <w:sz w:val="24"/>
          <w:szCs w:val="24"/>
          <w:u w:val="single"/>
        </w:rPr>
      </w:pPr>
      <w:r w:rsidRPr="00911F40">
        <w:rPr>
          <w:rFonts w:asciiTheme="majorHAnsi" w:hAnsiTheme="majorHAnsi" w:cstheme="majorHAnsi"/>
          <w:i/>
          <w:sz w:val="24"/>
          <w:szCs w:val="24"/>
          <w:u w:val="single"/>
        </w:rPr>
        <w:t xml:space="preserve">Civil cases </w:t>
      </w:r>
    </w:p>
    <w:p w14:paraId="1DF7D98A"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In a civil case an appeal lies to the Court of Appeal</w:t>
      </w:r>
      <w:r w:rsidRPr="00911F40">
        <w:rPr>
          <w:rFonts w:asciiTheme="majorHAnsi" w:hAnsiTheme="majorHAnsi" w:cstheme="majorHAnsi"/>
          <w:sz w:val="24"/>
          <w:szCs w:val="24"/>
          <w:vertAlign w:val="superscript"/>
        </w:rPr>
        <w:footnoteReference w:id="10"/>
      </w:r>
      <w:r w:rsidRPr="00911F40">
        <w:rPr>
          <w:rFonts w:asciiTheme="majorHAnsi" w:hAnsiTheme="majorHAnsi" w:cstheme="majorHAnsi"/>
          <w:sz w:val="24"/>
          <w:szCs w:val="24"/>
        </w:rPr>
        <w:t>, with permission of either the lower court or Court of Appeal. It is not necessary to seek permission from the lower court but it is usual to do so. Permission will only be granted by either court if either [Part 52.6]:</w:t>
      </w:r>
    </w:p>
    <w:p w14:paraId="1DF7D98B" w14:textId="77777777" w:rsidR="00E94324" w:rsidRPr="00911F40" w:rsidRDefault="00E94324" w:rsidP="00E94324">
      <w:pPr>
        <w:spacing w:line="360" w:lineRule="auto"/>
        <w:ind w:left="360"/>
        <w:rPr>
          <w:rFonts w:asciiTheme="majorHAnsi" w:hAnsiTheme="majorHAnsi" w:cstheme="majorHAnsi"/>
          <w:sz w:val="24"/>
          <w:szCs w:val="24"/>
        </w:rPr>
      </w:pPr>
    </w:p>
    <w:p w14:paraId="1DF7D98C"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There is a real prospect of success or </w:t>
      </w:r>
    </w:p>
    <w:p w14:paraId="1DF7D98D" w14:textId="77777777" w:rsidR="00E94324" w:rsidRPr="00911F40" w:rsidRDefault="00E94324" w:rsidP="00E94324">
      <w:pPr>
        <w:spacing w:line="360" w:lineRule="auto"/>
        <w:ind w:left="1080"/>
        <w:rPr>
          <w:rFonts w:asciiTheme="majorHAnsi" w:hAnsiTheme="majorHAnsi" w:cstheme="majorHAnsi"/>
          <w:sz w:val="24"/>
          <w:szCs w:val="24"/>
        </w:rPr>
      </w:pPr>
    </w:p>
    <w:p w14:paraId="1DF7D98E"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There is some other compelling reason why the appeal should be heard. This can lead to an appeal on a point of public importance even if the prospects of success are poor – </w:t>
      </w:r>
      <w:r w:rsidRPr="00911F40">
        <w:rPr>
          <w:rFonts w:asciiTheme="majorHAnsi" w:hAnsiTheme="majorHAnsi" w:cstheme="majorHAnsi"/>
          <w:i/>
          <w:sz w:val="24"/>
          <w:szCs w:val="24"/>
        </w:rPr>
        <w:t>R (Benabdelaziz) v Haringey LBC</w:t>
      </w:r>
      <w:r w:rsidRPr="00911F40">
        <w:rPr>
          <w:rFonts w:asciiTheme="majorHAnsi" w:hAnsiTheme="majorHAnsi" w:cstheme="majorHAnsi"/>
          <w:sz w:val="24"/>
          <w:szCs w:val="24"/>
        </w:rPr>
        <w:t xml:space="preserve"> [2001] EWCA Civ. </w:t>
      </w:r>
    </w:p>
    <w:p w14:paraId="1DF7D98F" w14:textId="77777777" w:rsidR="00E94324" w:rsidRPr="00911F40" w:rsidRDefault="00E94324" w:rsidP="00E94324">
      <w:pPr>
        <w:spacing w:line="360" w:lineRule="auto"/>
        <w:ind w:left="1080"/>
        <w:rPr>
          <w:rFonts w:asciiTheme="majorHAnsi" w:hAnsiTheme="majorHAnsi" w:cstheme="majorHAnsi"/>
          <w:sz w:val="24"/>
          <w:szCs w:val="24"/>
        </w:rPr>
      </w:pPr>
    </w:p>
    <w:p w14:paraId="1DF7D990"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lastRenderedPageBreak/>
        <w:t xml:space="preserve">Time for appealing runs from the date on which the decision is given and not the date on which the order is sealed [CPR 52.12]. </w:t>
      </w:r>
    </w:p>
    <w:p w14:paraId="1DF7D991" w14:textId="77777777" w:rsidR="00E94324" w:rsidRPr="00911F40" w:rsidRDefault="00E94324" w:rsidP="00E94324">
      <w:pPr>
        <w:spacing w:line="360" w:lineRule="auto"/>
        <w:ind w:left="360"/>
        <w:rPr>
          <w:rFonts w:asciiTheme="majorHAnsi" w:hAnsiTheme="majorHAnsi" w:cstheme="majorHAnsi"/>
          <w:sz w:val="24"/>
          <w:szCs w:val="24"/>
        </w:rPr>
      </w:pPr>
    </w:p>
    <w:p w14:paraId="1DF7D992"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An application for permission to the Administrative Court is usually made when judgment is handed down. If time permits then it should be accompanied by draft grounds of appeal. An application for permission to the Court of Appeal is contained in the Notice of Appeal (N161) itself and must be accompanied by grounds and a skeleton argument in support. </w:t>
      </w:r>
    </w:p>
    <w:p w14:paraId="1DF7D993" w14:textId="77777777" w:rsidR="00E94324" w:rsidRPr="00911F40" w:rsidRDefault="00E94324" w:rsidP="00E94324">
      <w:pPr>
        <w:spacing w:line="360" w:lineRule="auto"/>
        <w:ind w:left="360"/>
        <w:rPr>
          <w:rFonts w:asciiTheme="majorHAnsi" w:hAnsiTheme="majorHAnsi" w:cstheme="majorHAnsi"/>
          <w:sz w:val="24"/>
          <w:szCs w:val="24"/>
        </w:rPr>
      </w:pPr>
    </w:p>
    <w:p w14:paraId="1DF7D994"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Appellant has 21 days to appeal but this time limit can be extended by the Administrative Court whether or not it actually grants permission provided the application is made within the 21 day period. Any application for an extension outside that period must be made to the Court of Appeal. </w:t>
      </w:r>
    </w:p>
    <w:p w14:paraId="1DF7D995" w14:textId="77777777" w:rsidR="00E94324" w:rsidRPr="00911F40" w:rsidRDefault="00E94324" w:rsidP="00E94324">
      <w:pPr>
        <w:spacing w:line="360" w:lineRule="auto"/>
        <w:rPr>
          <w:rFonts w:asciiTheme="majorHAnsi" w:hAnsiTheme="majorHAnsi" w:cstheme="majorHAnsi"/>
          <w:sz w:val="24"/>
          <w:szCs w:val="24"/>
        </w:rPr>
      </w:pPr>
    </w:p>
    <w:p w14:paraId="1DF7D996" w14:textId="77777777" w:rsidR="00E94324" w:rsidRPr="00911F40" w:rsidRDefault="00E94324" w:rsidP="005F5903">
      <w:pPr>
        <w:keepNext/>
        <w:spacing w:line="360" w:lineRule="auto"/>
        <w:ind w:left="505"/>
        <w:rPr>
          <w:rFonts w:asciiTheme="majorHAnsi" w:hAnsiTheme="majorHAnsi" w:cstheme="majorHAnsi"/>
          <w:i/>
          <w:sz w:val="24"/>
          <w:szCs w:val="24"/>
          <w:u w:val="single"/>
        </w:rPr>
      </w:pPr>
      <w:r w:rsidRPr="00911F40">
        <w:rPr>
          <w:rFonts w:asciiTheme="majorHAnsi" w:hAnsiTheme="majorHAnsi" w:cstheme="majorHAnsi"/>
          <w:i/>
          <w:sz w:val="24"/>
          <w:szCs w:val="24"/>
          <w:u w:val="single"/>
        </w:rPr>
        <w:t xml:space="preserve">Criminal cases </w:t>
      </w:r>
    </w:p>
    <w:p w14:paraId="1DF7D997"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In the case of a criminal cause or matter an appeal lies to the Supreme Court (under the Administration of Justice Act 1960). It is a precondition of such an appeal that: </w:t>
      </w:r>
    </w:p>
    <w:p w14:paraId="1DF7D998" w14:textId="77777777" w:rsidR="00E94324" w:rsidRPr="00911F40" w:rsidRDefault="00E94324" w:rsidP="00E94324">
      <w:pPr>
        <w:spacing w:line="360" w:lineRule="auto"/>
        <w:ind w:left="360"/>
        <w:rPr>
          <w:rFonts w:asciiTheme="majorHAnsi" w:hAnsiTheme="majorHAnsi" w:cstheme="majorHAnsi"/>
          <w:sz w:val="24"/>
          <w:szCs w:val="24"/>
        </w:rPr>
      </w:pPr>
    </w:p>
    <w:p w14:paraId="1DF7D999"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High Court grants a certificate that the case raises a point of law of general public importance. Only the High Court can grant this. </w:t>
      </w:r>
    </w:p>
    <w:p w14:paraId="1DF7D99A" w14:textId="77777777" w:rsidR="00E94324" w:rsidRPr="00911F40" w:rsidRDefault="00E94324" w:rsidP="00E94324">
      <w:pPr>
        <w:spacing w:line="360" w:lineRule="auto"/>
        <w:ind w:left="1080"/>
        <w:rPr>
          <w:rFonts w:asciiTheme="majorHAnsi" w:hAnsiTheme="majorHAnsi" w:cstheme="majorHAnsi"/>
          <w:sz w:val="24"/>
          <w:szCs w:val="24"/>
        </w:rPr>
      </w:pPr>
    </w:p>
    <w:p w14:paraId="1DF7D99B"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The High Court or the Supreme Court grants leave to appeal. An application must be made first to the High Court but in practice it is very rare that court to grant leave. An application for leave to appeal must be made to the Administrative Court within 28 days of the decision and must be accompanied by a draft of the question that the Court is being asked to certify. If that Court refuses permission then the Appellant must present a petition to the Supreme Court within 28 days.</w:t>
      </w:r>
    </w:p>
    <w:p w14:paraId="1DF7D99C" w14:textId="77777777" w:rsidR="00E94324" w:rsidRPr="00911F40" w:rsidRDefault="00E94324" w:rsidP="00E94324">
      <w:pPr>
        <w:pStyle w:val="ListParagraph"/>
        <w:rPr>
          <w:rFonts w:asciiTheme="majorHAnsi" w:hAnsiTheme="majorHAnsi" w:cstheme="majorHAnsi"/>
          <w:sz w:val="24"/>
          <w:szCs w:val="24"/>
        </w:rPr>
      </w:pPr>
    </w:p>
    <w:p w14:paraId="1DF7D99D" w14:textId="77777777" w:rsidR="00B50AFB" w:rsidRPr="00911F40" w:rsidRDefault="00B50AFB" w:rsidP="00E94324">
      <w:pPr>
        <w:pStyle w:val="ListParagraph"/>
        <w:rPr>
          <w:rFonts w:asciiTheme="majorHAnsi" w:hAnsiTheme="majorHAnsi" w:cstheme="majorHAnsi"/>
          <w:sz w:val="24"/>
          <w:szCs w:val="24"/>
        </w:rPr>
      </w:pPr>
    </w:p>
    <w:p w14:paraId="1DF7D99E" w14:textId="4C4D5CA0" w:rsidR="00E94324" w:rsidRPr="00911F40" w:rsidRDefault="00E94324" w:rsidP="005F5903">
      <w:pPr>
        <w:pStyle w:val="ListParagraph"/>
        <w:numPr>
          <w:ilvl w:val="0"/>
          <w:numId w:val="30"/>
        </w:numPr>
        <w:spacing w:line="360" w:lineRule="auto"/>
        <w:jc w:val="center"/>
        <w:rPr>
          <w:rFonts w:asciiTheme="majorHAnsi" w:hAnsiTheme="majorHAnsi" w:cstheme="majorHAnsi"/>
          <w:b/>
          <w:caps/>
          <w:sz w:val="24"/>
          <w:szCs w:val="24"/>
        </w:rPr>
      </w:pPr>
      <w:r w:rsidRPr="00911F40">
        <w:rPr>
          <w:rFonts w:asciiTheme="majorHAnsi" w:hAnsiTheme="majorHAnsi" w:cstheme="majorHAnsi"/>
          <w:b/>
          <w:caps/>
          <w:sz w:val="24"/>
          <w:szCs w:val="24"/>
        </w:rPr>
        <w:lastRenderedPageBreak/>
        <w:t>Costs (ACG 2</w:t>
      </w:r>
      <w:r w:rsidR="00507FEF">
        <w:rPr>
          <w:rFonts w:asciiTheme="majorHAnsi" w:hAnsiTheme="majorHAnsi" w:cstheme="majorHAnsi"/>
          <w:b/>
          <w:caps/>
          <w:sz w:val="24"/>
          <w:szCs w:val="24"/>
        </w:rPr>
        <w:t>4</w:t>
      </w:r>
      <w:r w:rsidRPr="00911F40">
        <w:rPr>
          <w:rFonts w:asciiTheme="majorHAnsi" w:hAnsiTheme="majorHAnsi" w:cstheme="majorHAnsi"/>
          <w:b/>
          <w:caps/>
          <w:sz w:val="24"/>
          <w:szCs w:val="24"/>
        </w:rPr>
        <w:t>)</w:t>
      </w:r>
    </w:p>
    <w:p w14:paraId="1DF7D99F"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CPR do</w:t>
      </w:r>
      <w:r w:rsidR="00B50AFB" w:rsidRPr="00911F40">
        <w:rPr>
          <w:rFonts w:asciiTheme="majorHAnsi" w:hAnsiTheme="majorHAnsi" w:cstheme="majorHAnsi"/>
          <w:sz w:val="24"/>
          <w:szCs w:val="24"/>
        </w:rPr>
        <w:t>es</w:t>
      </w:r>
      <w:r w:rsidRPr="00911F40">
        <w:rPr>
          <w:rFonts w:asciiTheme="majorHAnsi" w:hAnsiTheme="majorHAnsi" w:cstheme="majorHAnsi"/>
          <w:sz w:val="24"/>
          <w:szCs w:val="24"/>
        </w:rPr>
        <w:t xml:space="preserve"> not recognise a particular costs regime applicable to judicial review. Costs orders therefore have to be fitted within a framework mainly designed to cope with litigation between private parties. </w:t>
      </w:r>
    </w:p>
    <w:p w14:paraId="1DF7D9A0"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A1"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Costs are in the discretion of the Court (s. 52 of the Senior Courts Act 1981). Guidance is given in CPR Part 44.2 about how this discretion should be exercised. The general rule is that costs follow the event but the court may make a different order. Relevant factors include how far a party has succeeded and their conduct.</w:t>
      </w:r>
    </w:p>
    <w:p w14:paraId="1DF7D9A2"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A3"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For many judicial review hearings the court will want to conduct a summary assessment of costs PD 44 para 9. The Court will normally do so in any case lasting less than one day. A schedule of costs must be served not less than 24 hours before the hearing. The court will not make a summary assessment of the costs of a publicly funded litigant but may so assess the costs payable by them. </w:t>
      </w:r>
    </w:p>
    <w:p w14:paraId="1DF7D9A4" w14:textId="77777777" w:rsidR="00E94324" w:rsidRPr="00911F40" w:rsidRDefault="00E94324" w:rsidP="00E94324">
      <w:pPr>
        <w:spacing w:line="360" w:lineRule="auto"/>
        <w:ind w:left="360"/>
        <w:rPr>
          <w:rFonts w:asciiTheme="majorHAnsi" w:hAnsiTheme="majorHAnsi" w:cstheme="majorHAnsi"/>
          <w:sz w:val="24"/>
          <w:szCs w:val="24"/>
        </w:rPr>
      </w:pPr>
    </w:p>
    <w:p w14:paraId="1DF7D9A5" w14:textId="77777777" w:rsidR="00E94324" w:rsidRPr="00911F40" w:rsidRDefault="00E94324" w:rsidP="00E94324">
      <w:pPr>
        <w:spacing w:line="360" w:lineRule="auto"/>
        <w:ind w:firstLine="502"/>
        <w:rPr>
          <w:rFonts w:asciiTheme="majorHAnsi" w:hAnsiTheme="majorHAnsi" w:cstheme="majorHAnsi"/>
          <w:sz w:val="24"/>
          <w:szCs w:val="24"/>
        </w:rPr>
      </w:pPr>
      <w:r w:rsidRPr="00911F40">
        <w:rPr>
          <w:rFonts w:asciiTheme="majorHAnsi" w:hAnsiTheme="majorHAnsi" w:cstheme="majorHAnsi"/>
          <w:i/>
          <w:sz w:val="24"/>
          <w:szCs w:val="24"/>
        </w:rPr>
        <w:t>Public interest litigation</w:t>
      </w:r>
      <w:r w:rsidRPr="00911F40">
        <w:rPr>
          <w:rFonts w:asciiTheme="majorHAnsi" w:hAnsiTheme="majorHAnsi" w:cstheme="majorHAnsi"/>
          <w:sz w:val="24"/>
          <w:szCs w:val="24"/>
        </w:rPr>
        <w:t xml:space="preserve"> </w:t>
      </w:r>
    </w:p>
    <w:p w14:paraId="1DF7D9A6" w14:textId="734CC524"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Where a Claimant has brought a claim concerning an issue of genuine public importance then that may be a reason not to award </w:t>
      </w:r>
      <w:r w:rsidR="00D416CA" w:rsidRPr="00911F40">
        <w:rPr>
          <w:rFonts w:asciiTheme="majorHAnsi" w:hAnsiTheme="majorHAnsi" w:cstheme="majorHAnsi"/>
          <w:sz w:val="24"/>
          <w:szCs w:val="24"/>
        </w:rPr>
        <w:t xml:space="preserve">costs </w:t>
      </w:r>
      <w:r w:rsidRPr="00911F40">
        <w:rPr>
          <w:rFonts w:asciiTheme="majorHAnsi" w:hAnsiTheme="majorHAnsi" w:cstheme="majorHAnsi"/>
          <w:sz w:val="24"/>
          <w:szCs w:val="24"/>
        </w:rPr>
        <w:t xml:space="preserve">to a successful Defendant. </w:t>
      </w:r>
      <w:r w:rsidRPr="00911F40">
        <w:rPr>
          <w:rFonts w:asciiTheme="majorHAnsi" w:hAnsiTheme="majorHAnsi" w:cstheme="majorHAnsi"/>
          <w:i/>
          <w:sz w:val="24"/>
          <w:szCs w:val="24"/>
        </w:rPr>
        <w:t>New Zealand Maori Council v AG of New Zealand</w:t>
      </w:r>
      <w:r w:rsidRPr="00911F40">
        <w:rPr>
          <w:rFonts w:asciiTheme="majorHAnsi" w:hAnsiTheme="majorHAnsi" w:cstheme="majorHAnsi"/>
          <w:sz w:val="24"/>
          <w:szCs w:val="24"/>
        </w:rPr>
        <w:t xml:space="preserve"> [1994] 1 AC 466; </w:t>
      </w:r>
      <w:r w:rsidRPr="00911F40">
        <w:rPr>
          <w:rFonts w:asciiTheme="majorHAnsi" w:hAnsiTheme="majorHAnsi" w:cstheme="majorHAnsi"/>
          <w:i/>
          <w:sz w:val="24"/>
          <w:szCs w:val="24"/>
        </w:rPr>
        <w:t>R (Friends of the Earth &amp; Greenpeace) v Secretary of State</w:t>
      </w:r>
      <w:r w:rsidRPr="00911F40">
        <w:rPr>
          <w:rFonts w:asciiTheme="majorHAnsi" w:hAnsiTheme="majorHAnsi" w:cstheme="majorHAnsi"/>
          <w:sz w:val="24"/>
          <w:szCs w:val="24"/>
        </w:rPr>
        <w:t xml:space="preserve"> [2001] EWCA Civ 1950). The difficulty in predicting whether or not this will be the outcome after a trial led to the development of protective costs orders (now costs capping orders). </w:t>
      </w:r>
    </w:p>
    <w:p w14:paraId="1DF7D9A7"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A8"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In other cases (for example, but not limited to those involving best interests declarations) no costs should be awarded to </w:t>
      </w:r>
      <w:r w:rsidRPr="00911F40">
        <w:rPr>
          <w:rFonts w:asciiTheme="majorHAnsi" w:hAnsiTheme="majorHAnsi" w:cstheme="majorHAnsi"/>
          <w:sz w:val="24"/>
          <w:szCs w:val="24"/>
          <w:lang w:val="en-US"/>
        </w:rPr>
        <w:t>reflect “a proper recognition that a judicial resolution of the best interests issue</w:t>
      </w:r>
      <w:r w:rsidRPr="00911F40">
        <w:rPr>
          <w:rFonts w:asciiTheme="majorHAnsi" w:hAnsiTheme="majorHAnsi" w:cstheme="majorHAnsi"/>
          <w:sz w:val="24"/>
          <w:szCs w:val="24"/>
        </w:rPr>
        <w:t xml:space="preserve"> </w:t>
      </w:r>
      <w:r w:rsidRPr="00911F40">
        <w:rPr>
          <w:rFonts w:asciiTheme="majorHAnsi" w:hAnsiTheme="majorHAnsi" w:cstheme="majorHAnsi"/>
          <w:sz w:val="24"/>
          <w:szCs w:val="24"/>
          <w:lang w:val="en-US"/>
        </w:rPr>
        <w:t xml:space="preserve">between two parties with conflicting rights and duties was the only means of resolving it” – </w:t>
      </w:r>
      <w:r w:rsidRPr="00911F40">
        <w:rPr>
          <w:rFonts w:asciiTheme="majorHAnsi" w:hAnsiTheme="majorHAnsi" w:cstheme="majorHAnsi"/>
          <w:i/>
          <w:sz w:val="24"/>
          <w:szCs w:val="24"/>
          <w:lang w:val="en-US"/>
        </w:rPr>
        <w:t>Wyatt v Portsmouth Hospital NHS Trust</w:t>
      </w:r>
      <w:r w:rsidRPr="00911F40">
        <w:rPr>
          <w:rFonts w:asciiTheme="majorHAnsi" w:hAnsiTheme="majorHAnsi" w:cstheme="majorHAnsi"/>
          <w:sz w:val="24"/>
          <w:szCs w:val="24"/>
          <w:lang w:val="en-US"/>
        </w:rPr>
        <w:t xml:space="preserve"> [2006] EWCA Civ 526. The same considerations will not apply on appeal.  </w:t>
      </w:r>
    </w:p>
    <w:p w14:paraId="1DF7D9A9" w14:textId="77777777" w:rsidR="00E94324" w:rsidRPr="00911F40" w:rsidRDefault="00E94324" w:rsidP="00B50AFB">
      <w:pPr>
        <w:pStyle w:val="ListParagraph"/>
        <w:jc w:val="both"/>
        <w:rPr>
          <w:rFonts w:asciiTheme="majorHAnsi" w:hAnsiTheme="majorHAnsi" w:cstheme="majorHAnsi"/>
          <w:sz w:val="24"/>
          <w:szCs w:val="24"/>
          <w:lang w:val="en-US"/>
        </w:rPr>
      </w:pPr>
    </w:p>
    <w:p w14:paraId="1DF7D9AA"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lastRenderedPageBreak/>
        <w:t xml:space="preserve">A claimant may be ordered to pay costs where they pursue a claim unnecessarily. In </w:t>
      </w:r>
      <w:r w:rsidRPr="00911F40">
        <w:rPr>
          <w:rFonts w:asciiTheme="majorHAnsi" w:hAnsiTheme="majorHAnsi" w:cstheme="majorHAnsi"/>
          <w:i/>
          <w:sz w:val="24"/>
          <w:szCs w:val="24"/>
          <w:lang w:val="en-US"/>
        </w:rPr>
        <w:t xml:space="preserve">R (Khullar) v (1) Feltham Magistrates Court, (2) Hounslow LBC </w:t>
      </w:r>
      <w:r w:rsidRPr="00911F40">
        <w:rPr>
          <w:rFonts w:asciiTheme="majorHAnsi" w:hAnsiTheme="majorHAnsi" w:cstheme="majorHAnsi"/>
          <w:sz w:val="24"/>
          <w:szCs w:val="24"/>
          <w:lang w:val="en-US"/>
        </w:rPr>
        <w:t xml:space="preserve">OBD Phillip Mott QC 17 Apr 2013 a claimant brought proceedings to set aside a liability order for council tax. The order was set aside and the claimant was invited to withdraw his claim but did not do so. The authority was awarded its costs after the order had been set aside. </w:t>
      </w:r>
    </w:p>
    <w:p w14:paraId="1DF7D9AB"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AC" w14:textId="77777777" w:rsidR="00E94324" w:rsidRPr="00911F40" w:rsidRDefault="00E94324" w:rsidP="0068488D">
      <w:pPr>
        <w:spacing w:line="360" w:lineRule="auto"/>
        <w:ind w:firstLine="502"/>
        <w:jc w:val="both"/>
        <w:rPr>
          <w:rFonts w:asciiTheme="majorHAnsi" w:hAnsiTheme="majorHAnsi" w:cstheme="majorHAnsi"/>
          <w:sz w:val="24"/>
          <w:szCs w:val="24"/>
          <w:lang w:val="en-US"/>
        </w:rPr>
      </w:pPr>
      <w:r w:rsidRPr="00911F40">
        <w:rPr>
          <w:rFonts w:asciiTheme="majorHAnsi" w:hAnsiTheme="majorHAnsi" w:cstheme="majorHAnsi"/>
          <w:i/>
          <w:sz w:val="24"/>
          <w:szCs w:val="24"/>
        </w:rPr>
        <w:t>Partial success</w:t>
      </w:r>
    </w:p>
    <w:p w14:paraId="1DF7D9AD" w14:textId="22521B4B"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Orders the Court may make include those listed in CPR 44.2.6. These include an order that the paying party pay costs up to or from a certain date, or that they pay a proportion only of the costs, or that they pay the costs of a certain issue only. The court must avoid an </w:t>
      </w:r>
      <w:r w:rsidR="00994FE1" w:rsidRPr="00911F40">
        <w:rPr>
          <w:rFonts w:asciiTheme="majorHAnsi" w:hAnsiTheme="majorHAnsi" w:cstheme="majorHAnsi"/>
          <w:sz w:val="24"/>
          <w:szCs w:val="24"/>
        </w:rPr>
        <w:t>‘issue’</w:t>
      </w:r>
      <w:r w:rsidRPr="00911F40">
        <w:rPr>
          <w:rFonts w:asciiTheme="majorHAnsi" w:hAnsiTheme="majorHAnsi" w:cstheme="majorHAnsi"/>
          <w:sz w:val="24"/>
          <w:szCs w:val="24"/>
        </w:rPr>
        <w:t xml:space="preserve"> order if it can do so (CPR 44.3(7)).</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rPr>
        <w:t xml:space="preserve">The Court should start by asking which party has been successful overall and then ask whether there is a good reason to make a different order from the normal one. </w:t>
      </w:r>
    </w:p>
    <w:p w14:paraId="1DF7D9AE"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AF" w14:textId="1A37C721"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i/>
          <w:sz w:val="24"/>
          <w:szCs w:val="24"/>
        </w:rPr>
        <w:t>R (Bateman) v Legal Services Commission</w:t>
      </w:r>
      <w:r w:rsidRPr="00911F40">
        <w:rPr>
          <w:rFonts w:asciiTheme="majorHAnsi" w:hAnsiTheme="majorHAnsi" w:cstheme="majorHAnsi"/>
          <w:sz w:val="24"/>
          <w:szCs w:val="24"/>
        </w:rPr>
        <w:t xml:space="preserve"> [2001] EWHC Admin 797 – Claimants succeeded in quashing a decision of the LSC but were deprived of 25% and 15% of their costs respectively of the issues on which they failed. CPR 44.3 can </w:t>
      </w:r>
      <w:r w:rsidRPr="00911F40">
        <w:rPr>
          <w:rFonts w:asciiTheme="majorHAnsi" w:hAnsiTheme="majorHAnsi" w:cstheme="majorHAnsi"/>
          <w:i/>
          <w:sz w:val="24"/>
          <w:szCs w:val="24"/>
        </w:rPr>
        <w:t>“properly and where appropriate should be applied in such a way as positively to encourage litigants to be selective as to the points they take and positively to discourage litigants taking a multiplicity of bad points</w:t>
      </w:r>
      <w:r w:rsidR="00994FE1"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 xml:space="preserve">Munby J at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18</w:t>
      </w:r>
      <w:r w:rsidRPr="00911F40">
        <w:rPr>
          <w:rFonts w:asciiTheme="majorHAnsi" w:hAnsiTheme="majorHAnsi" w:cstheme="majorHAnsi"/>
          <w:sz w:val="24"/>
          <w:szCs w:val="24"/>
        </w:rPr>
        <w:footnoteReference w:id="11"/>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9B0" w14:textId="77777777" w:rsidR="00E94324" w:rsidRPr="00911F40" w:rsidRDefault="00E94324" w:rsidP="00E94324">
      <w:pPr>
        <w:spacing w:line="360" w:lineRule="auto"/>
        <w:ind w:left="360"/>
        <w:rPr>
          <w:rFonts w:asciiTheme="majorHAnsi" w:hAnsiTheme="majorHAnsi" w:cstheme="majorHAnsi"/>
          <w:sz w:val="24"/>
          <w:szCs w:val="24"/>
          <w:lang w:val="en-US"/>
        </w:rPr>
      </w:pPr>
    </w:p>
    <w:p w14:paraId="1DF7D9B1"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rPr>
        <w:t>Where there is partial success then the Court generally makes a rough and ready assessment of the relevant proportions</w:t>
      </w:r>
      <w:r w:rsidRPr="00911F40">
        <w:rPr>
          <w:rFonts w:asciiTheme="majorHAnsi" w:hAnsiTheme="majorHAnsi" w:cstheme="majorHAnsi"/>
          <w:sz w:val="24"/>
          <w:szCs w:val="24"/>
          <w:vertAlign w:val="superscript"/>
        </w:rPr>
        <w:footnoteReference w:id="12"/>
      </w:r>
      <w:r w:rsidRPr="00911F40">
        <w:rPr>
          <w:rFonts w:asciiTheme="majorHAnsi" w:hAnsiTheme="majorHAnsi" w:cstheme="majorHAnsi"/>
          <w:sz w:val="24"/>
          <w:szCs w:val="24"/>
        </w:rPr>
        <w:t xml:space="preserve">. The default position is no Order where the proportions cannot be assessed (e.g. </w:t>
      </w:r>
      <w:r w:rsidRPr="00911F40">
        <w:rPr>
          <w:rFonts w:asciiTheme="majorHAnsi" w:hAnsiTheme="majorHAnsi" w:cstheme="majorHAnsi"/>
          <w:i/>
          <w:sz w:val="24"/>
          <w:szCs w:val="24"/>
        </w:rPr>
        <w:t>Hackney LBC v (1) Burley Campbell (2) Lawrence Oliver Campbell</w:t>
      </w:r>
      <w:r w:rsidRPr="00911F40">
        <w:rPr>
          <w:rFonts w:asciiTheme="majorHAnsi" w:hAnsiTheme="majorHAnsi" w:cstheme="majorHAnsi"/>
          <w:sz w:val="24"/>
          <w:szCs w:val="24"/>
        </w:rPr>
        <w:t xml:space="preserve"> [2005] EWCA Civ 613 – a possession action).  </w:t>
      </w:r>
    </w:p>
    <w:p w14:paraId="1DF7D9B2" w14:textId="77777777" w:rsidR="00E94324" w:rsidRPr="00911F40" w:rsidRDefault="00E94324" w:rsidP="00E94324">
      <w:pPr>
        <w:spacing w:line="360" w:lineRule="auto"/>
        <w:ind w:firstLine="502"/>
        <w:rPr>
          <w:rFonts w:asciiTheme="majorHAnsi" w:hAnsiTheme="majorHAnsi" w:cstheme="majorHAnsi"/>
          <w:i/>
          <w:sz w:val="24"/>
          <w:szCs w:val="24"/>
        </w:rPr>
      </w:pPr>
    </w:p>
    <w:p w14:paraId="1DF7D9B3" w14:textId="77777777" w:rsidR="00E94324" w:rsidRPr="00911F40" w:rsidRDefault="00E94324" w:rsidP="00E94324">
      <w:pPr>
        <w:spacing w:line="360" w:lineRule="auto"/>
        <w:ind w:firstLine="502"/>
        <w:rPr>
          <w:rFonts w:asciiTheme="majorHAnsi" w:hAnsiTheme="majorHAnsi" w:cstheme="majorHAnsi"/>
          <w:i/>
          <w:sz w:val="24"/>
          <w:szCs w:val="24"/>
          <w:lang w:val="en-US"/>
        </w:rPr>
      </w:pPr>
      <w:r w:rsidRPr="00911F40">
        <w:rPr>
          <w:rFonts w:asciiTheme="majorHAnsi" w:hAnsiTheme="majorHAnsi" w:cstheme="majorHAnsi"/>
          <w:i/>
          <w:sz w:val="24"/>
          <w:szCs w:val="24"/>
        </w:rPr>
        <w:lastRenderedPageBreak/>
        <w:t xml:space="preserve">Costs as sanctions </w:t>
      </w:r>
    </w:p>
    <w:p w14:paraId="1DF7D9B4" w14:textId="77777777" w:rsidR="00E94324" w:rsidRPr="00911F40" w:rsidRDefault="00E94324" w:rsidP="006F53FC">
      <w:pPr>
        <w:numPr>
          <w:ilvl w:val="0"/>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rPr>
        <w:t xml:space="preserve">The ordinary costs orders can be departed from because of a party’s conduct. The conduct does not have to causative of the loss (contrast wasted costs orders).  </w:t>
      </w:r>
    </w:p>
    <w:p w14:paraId="1DF7D9B5" w14:textId="77777777" w:rsidR="00E94324" w:rsidRPr="00911F40" w:rsidRDefault="00E94324" w:rsidP="00E94324">
      <w:pPr>
        <w:spacing w:line="360" w:lineRule="auto"/>
        <w:ind w:left="502"/>
        <w:rPr>
          <w:rFonts w:asciiTheme="majorHAnsi" w:hAnsiTheme="majorHAnsi" w:cstheme="majorHAnsi"/>
          <w:sz w:val="24"/>
          <w:szCs w:val="24"/>
          <w:lang w:val="en-US"/>
        </w:rPr>
      </w:pPr>
    </w:p>
    <w:p w14:paraId="1DF7D9B6"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i/>
          <w:sz w:val="24"/>
          <w:szCs w:val="24"/>
        </w:rPr>
        <w:t>Aegis Group PLC v Commissioners Inland Revenue</w:t>
      </w:r>
      <w:r w:rsidRPr="00911F40">
        <w:rPr>
          <w:rFonts w:asciiTheme="majorHAnsi" w:hAnsiTheme="majorHAnsi" w:cstheme="majorHAnsi"/>
          <w:sz w:val="24"/>
          <w:szCs w:val="24"/>
        </w:rPr>
        <w:t xml:space="preserve"> [2005] EWCH 1468 Ch Park J. Late response to a judicial review pre-action protocol letter with no adequate explanation for the delay. Defendant recovered only 85% of their costs.</w:t>
      </w:r>
    </w:p>
    <w:p w14:paraId="1DF7D9B7" w14:textId="77777777" w:rsidR="00E94324" w:rsidRPr="00911F40" w:rsidRDefault="00E94324" w:rsidP="00E94324">
      <w:pPr>
        <w:spacing w:line="360" w:lineRule="auto"/>
        <w:ind w:left="1440"/>
        <w:rPr>
          <w:rFonts w:asciiTheme="majorHAnsi" w:hAnsiTheme="majorHAnsi" w:cstheme="majorHAnsi"/>
          <w:sz w:val="24"/>
          <w:szCs w:val="24"/>
          <w:lang w:val="en-US"/>
        </w:rPr>
      </w:pPr>
    </w:p>
    <w:p w14:paraId="1DF7D9B8"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i/>
          <w:sz w:val="24"/>
          <w:szCs w:val="24"/>
        </w:rPr>
        <w:t>R(B) v LB Lambeth</w:t>
      </w:r>
      <w:r w:rsidRPr="00911F40">
        <w:rPr>
          <w:rFonts w:asciiTheme="majorHAnsi" w:hAnsiTheme="majorHAnsi" w:cstheme="majorHAnsi"/>
          <w:sz w:val="24"/>
          <w:szCs w:val="24"/>
        </w:rPr>
        <w:t xml:space="preserve"> [2006] EWHC 639 Munby J – failure to amend to reflect changed case. </w:t>
      </w:r>
    </w:p>
    <w:p w14:paraId="1DF7D9B9" w14:textId="77777777" w:rsidR="00E94324" w:rsidRPr="00911F40" w:rsidRDefault="00E94324" w:rsidP="00E94324">
      <w:pPr>
        <w:pStyle w:val="ListParagraph"/>
        <w:rPr>
          <w:rFonts w:asciiTheme="majorHAnsi" w:hAnsiTheme="majorHAnsi" w:cstheme="majorHAnsi"/>
          <w:sz w:val="24"/>
          <w:szCs w:val="24"/>
          <w:lang w:val="en-US"/>
        </w:rPr>
      </w:pPr>
    </w:p>
    <w:p w14:paraId="1DF7D9BA" w14:textId="5696DB6A"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However, there is no case where, because of conduct alone</w:t>
      </w:r>
      <w:r w:rsidR="00334E26"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a successful defendant has had to pay all of the costs of an unsuccessful claimant – </w:t>
      </w:r>
      <w:r w:rsidRPr="00911F40">
        <w:rPr>
          <w:rFonts w:asciiTheme="majorHAnsi" w:hAnsiTheme="majorHAnsi" w:cstheme="majorHAnsi"/>
          <w:i/>
          <w:sz w:val="24"/>
          <w:szCs w:val="24"/>
          <w:lang w:val="en-US"/>
        </w:rPr>
        <w:t xml:space="preserve">R (Royal Free London NHS Foudation Trust) v Secretary of State for Health </w:t>
      </w:r>
      <w:r w:rsidRPr="00911F40">
        <w:rPr>
          <w:rFonts w:asciiTheme="majorHAnsi" w:hAnsiTheme="majorHAnsi" w:cstheme="majorHAnsi"/>
          <w:sz w:val="24"/>
          <w:szCs w:val="24"/>
          <w:lang w:val="en-US"/>
        </w:rPr>
        <w:t xml:space="preserve"> [2013] EWHC 4101 (Admin) Coulson J. </w:t>
      </w:r>
    </w:p>
    <w:p w14:paraId="1DF7D9BB" w14:textId="77777777" w:rsidR="00E94324" w:rsidRPr="00911F40" w:rsidRDefault="00E94324" w:rsidP="00E94324">
      <w:pPr>
        <w:spacing w:line="360" w:lineRule="auto"/>
        <w:rPr>
          <w:rFonts w:asciiTheme="majorHAnsi" w:hAnsiTheme="majorHAnsi" w:cstheme="majorHAnsi"/>
          <w:sz w:val="24"/>
          <w:szCs w:val="24"/>
          <w:lang w:val="en-US"/>
        </w:rPr>
      </w:pPr>
    </w:p>
    <w:p w14:paraId="1DF7D9BC" w14:textId="68DEFE40" w:rsidR="00E94324" w:rsidRPr="00911F40" w:rsidRDefault="00E94324" w:rsidP="006F53FC">
      <w:pPr>
        <w:numPr>
          <w:ilvl w:val="0"/>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rPr>
        <w:t>Costs can be awarded on an indemnity basis where there has been “unreasonable behaviour of such a high degree that it can be characterised as exceptional”</w:t>
      </w:r>
      <w:r w:rsidRPr="00911F40">
        <w:rPr>
          <w:rFonts w:asciiTheme="majorHAnsi" w:hAnsiTheme="majorHAnsi" w:cstheme="majorHAnsi"/>
          <w:sz w:val="24"/>
          <w:szCs w:val="24"/>
          <w:vertAlign w:val="superscript"/>
        </w:rPr>
        <w:footnoteReference w:id="13"/>
      </w:r>
      <w:r w:rsidRPr="00911F40">
        <w:rPr>
          <w:rFonts w:asciiTheme="majorHAnsi" w:hAnsiTheme="majorHAnsi" w:cstheme="majorHAnsi"/>
          <w:sz w:val="24"/>
          <w:szCs w:val="24"/>
        </w:rPr>
        <w:t xml:space="preserve">. Examples include taking “almost every possible point under the sun” – </w:t>
      </w:r>
      <w:r w:rsidRPr="00911F40">
        <w:rPr>
          <w:rFonts w:asciiTheme="majorHAnsi" w:hAnsiTheme="majorHAnsi" w:cstheme="majorHAnsi"/>
          <w:i/>
          <w:sz w:val="24"/>
          <w:szCs w:val="24"/>
        </w:rPr>
        <w:t>R</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v Costwold DC ex p Kissel</w:t>
      </w:r>
      <w:r w:rsidRPr="00911F40">
        <w:rPr>
          <w:rFonts w:asciiTheme="majorHAnsi" w:hAnsiTheme="majorHAnsi" w:cstheme="majorHAnsi"/>
          <w:sz w:val="24"/>
          <w:szCs w:val="24"/>
        </w:rPr>
        <w:t xml:space="preserve">  February 28 1997 unreported, or failure to give proper disclosure – </w:t>
      </w:r>
      <w:r w:rsidRPr="00911F40">
        <w:rPr>
          <w:rFonts w:asciiTheme="majorHAnsi" w:hAnsiTheme="majorHAnsi" w:cstheme="majorHAnsi"/>
          <w:i/>
          <w:sz w:val="24"/>
          <w:szCs w:val="24"/>
        </w:rPr>
        <w:t>R (Banks) v SSEFRA</w:t>
      </w:r>
      <w:r w:rsidRPr="00911F40">
        <w:rPr>
          <w:rFonts w:asciiTheme="majorHAnsi" w:hAnsiTheme="majorHAnsi" w:cstheme="majorHAnsi"/>
          <w:sz w:val="24"/>
          <w:szCs w:val="24"/>
        </w:rPr>
        <w:t xml:space="preserve"> [2004] EWHC 1031 (Admin), </w:t>
      </w:r>
      <w:r w:rsidRPr="00911F40">
        <w:rPr>
          <w:rFonts w:asciiTheme="majorHAnsi" w:hAnsiTheme="majorHAnsi" w:cstheme="majorHAnsi"/>
          <w:i/>
          <w:sz w:val="24"/>
          <w:szCs w:val="24"/>
        </w:rPr>
        <w:t xml:space="preserve">Al Sweady </w:t>
      </w:r>
      <w:r w:rsidRPr="00911F40">
        <w:rPr>
          <w:rFonts w:asciiTheme="majorHAnsi" w:hAnsiTheme="majorHAnsi" w:cstheme="majorHAnsi"/>
          <w:sz w:val="24"/>
          <w:szCs w:val="24"/>
        </w:rPr>
        <w:t xml:space="preserve">(above) at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13</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(where the approach to disclosure was </w:t>
      </w:r>
      <w:r w:rsidRPr="00911F40">
        <w:rPr>
          <w:rFonts w:asciiTheme="majorHAnsi" w:hAnsiTheme="majorHAnsi" w:cstheme="majorHAnsi"/>
          <w:i/>
          <w:sz w:val="24"/>
          <w:szCs w:val="24"/>
        </w:rPr>
        <w:t>“lamentable”).</w:t>
      </w:r>
      <w:r w:rsidRPr="00911F40">
        <w:rPr>
          <w:rFonts w:asciiTheme="majorHAnsi" w:hAnsiTheme="majorHAnsi" w:cstheme="majorHAnsi"/>
          <w:sz w:val="24"/>
          <w:szCs w:val="24"/>
        </w:rPr>
        <w:t xml:space="preserve">  </w:t>
      </w:r>
    </w:p>
    <w:p w14:paraId="1DF7D9BD" w14:textId="77777777" w:rsidR="00E94324" w:rsidRPr="00911F40" w:rsidRDefault="00E94324" w:rsidP="00E94324">
      <w:pPr>
        <w:spacing w:line="360" w:lineRule="auto"/>
        <w:ind w:left="360"/>
        <w:rPr>
          <w:rFonts w:asciiTheme="majorHAnsi" w:hAnsiTheme="majorHAnsi" w:cstheme="majorHAnsi"/>
          <w:sz w:val="24"/>
          <w:szCs w:val="24"/>
          <w:lang w:val="en-US"/>
        </w:rPr>
      </w:pPr>
    </w:p>
    <w:p w14:paraId="1DF7D9BE" w14:textId="77777777" w:rsidR="00E94324" w:rsidRPr="00911F40" w:rsidRDefault="00E94324" w:rsidP="0068488D">
      <w:pPr>
        <w:spacing w:line="360" w:lineRule="auto"/>
        <w:rPr>
          <w:rFonts w:asciiTheme="majorHAnsi" w:hAnsiTheme="majorHAnsi" w:cstheme="majorHAnsi"/>
          <w:i/>
          <w:sz w:val="24"/>
          <w:szCs w:val="24"/>
          <w:lang w:val="en-US"/>
        </w:rPr>
      </w:pPr>
      <w:r w:rsidRPr="00911F40">
        <w:rPr>
          <w:rFonts w:asciiTheme="majorHAnsi" w:hAnsiTheme="majorHAnsi" w:cstheme="majorHAnsi"/>
          <w:i/>
          <w:sz w:val="24"/>
          <w:szCs w:val="24"/>
        </w:rPr>
        <w:t xml:space="preserve">Where there has been no determination on the merits </w:t>
      </w:r>
    </w:p>
    <w:p w14:paraId="1DF7D9BF" w14:textId="4DCCBF1B"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A practice has developed whereby the parties often agree the substantive issues but not costs. In the judicial review context the leading cases are now </w:t>
      </w:r>
      <w:r w:rsidRPr="00911F40">
        <w:rPr>
          <w:rFonts w:asciiTheme="majorHAnsi" w:hAnsiTheme="majorHAnsi" w:cstheme="majorHAnsi"/>
          <w:i/>
          <w:sz w:val="24"/>
          <w:szCs w:val="24"/>
        </w:rPr>
        <w:t xml:space="preserve">R (Bahta) v SSHD </w:t>
      </w:r>
      <w:r w:rsidRPr="00911F40">
        <w:rPr>
          <w:rFonts w:asciiTheme="majorHAnsi" w:hAnsiTheme="majorHAnsi" w:cstheme="majorHAnsi"/>
          <w:sz w:val="24"/>
          <w:szCs w:val="24"/>
        </w:rPr>
        <w:t xml:space="preserve">[2011] CP Rep 43, </w:t>
      </w:r>
      <w:r w:rsidRPr="00911F40">
        <w:rPr>
          <w:rFonts w:asciiTheme="majorHAnsi" w:hAnsiTheme="majorHAnsi" w:cstheme="majorHAnsi"/>
          <w:i/>
          <w:sz w:val="24"/>
          <w:szCs w:val="24"/>
        </w:rPr>
        <w:t>M v Croydon LBC</w:t>
      </w:r>
      <w:r w:rsidRPr="00911F40">
        <w:rPr>
          <w:rFonts w:asciiTheme="majorHAnsi" w:hAnsiTheme="majorHAnsi" w:cstheme="majorHAnsi"/>
          <w:sz w:val="24"/>
          <w:szCs w:val="24"/>
        </w:rPr>
        <w:t xml:space="preserve"> [2012] 1 WLR 2607. They establish that public bodies are </w:t>
      </w:r>
      <w:r w:rsidRPr="00911F40">
        <w:rPr>
          <w:rFonts w:asciiTheme="majorHAnsi" w:hAnsiTheme="majorHAnsi" w:cstheme="majorHAnsi"/>
          <w:sz w:val="24"/>
          <w:szCs w:val="24"/>
        </w:rPr>
        <w:lastRenderedPageBreak/>
        <w:t>not in an special position allowing them to resist costs orders. Broadly the same principles apply on appeal from the Upper Tribunal (</w:t>
      </w:r>
      <w:r w:rsidRPr="00911F40">
        <w:rPr>
          <w:rFonts w:asciiTheme="majorHAnsi" w:hAnsiTheme="majorHAnsi" w:cstheme="majorHAnsi"/>
          <w:i/>
          <w:sz w:val="24"/>
          <w:szCs w:val="24"/>
        </w:rPr>
        <w:t>AL (Albania) v SSHD</w:t>
      </w:r>
      <w:r w:rsidRPr="00911F40">
        <w:rPr>
          <w:rFonts w:asciiTheme="majorHAnsi" w:hAnsiTheme="majorHAnsi" w:cstheme="majorHAnsi"/>
          <w:sz w:val="24"/>
          <w:szCs w:val="24"/>
        </w:rPr>
        <w:t xml:space="preserve"> [2012]</w:t>
      </w: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 xml:space="preserve">1 WLR 2898. The principles derived from those cases can be summarised as: </w:t>
      </w:r>
    </w:p>
    <w:p w14:paraId="1DF7D9C0" w14:textId="77777777" w:rsidR="00E94324" w:rsidRPr="00911F40" w:rsidRDefault="00E94324" w:rsidP="00E94324">
      <w:pPr>
        <w:spacing w:line="360" w:lineRule="auto"/>
        <w:ind w:left="502"/>
        <w:rPr>
          <w:rFonts w:asciiTheme="majorHAnsi" w:hAnsiTheme="majorHAnsi" w:cstheme="majorHAnsi"/>
          <w:sz w:val="24"/>
          <w:szCs w:val="24"/>
          <w:lang w:val="en-US"/>
        </w:rPr>
      </w:pPr>
    </w:p>
    <w:p w14:paraId="1DF7D9C1" w14:textId="45B65049"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Category 1: Where a claimant obtains all the relief sought by them then that triggers the </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loser </w:t>
      </w:r>
      <w:r w:rsidR="00994FE1" w:rsidRPr="00911F40">
        <w:rPr>
          <w:rFonts w:asciiTheme="majorHAnsi" w:hAnsiTheme="majorHAnsi" w:cstheme="majorHAnsi"/>
          <w:sz w:val="24"/>
          <w:szCs w:val="24"/>
          <w:lang w:val="en-US"/>
        </w:rPr>
        <w:t>pays’</w:t>
      </w:r>
      <w:r w:rsidRPr="00911F40">
        <w:rPr>
          <w:rFonts w:asciiTheme="majorHAnsi" w:hAnsiTheme="majorHAnsi" w:cstheme="majorHAnsi"/>
          <w:sz w:val="24"/>
          <w:szCs w:val="24"/>
          <w:lang w:val="en-US"/>
        </w:rPr>
        <w:t xml:space="preserve"> principle and there is no reason to depart from that approach because the success was achieved by consent rather than a contested hearing (</w:t>
      </w:r>
      <w:r w:rsidRPr="00911F40">
        <w:rPr>
          <w:rFonts w:asciiTheme="majorHAnsi" w:hAnsiTheme="majorHAnsi" w:cstheme="majorHAnsi"/>
          <w:i/>
          <w:sz w:val="24"/>
          <w:szCs w:val="24"/>
          <w:lang w:val="en-US"/>
        </w:rPr>
        <w:t xml:space="preserve">M </w:t>
      </w:r>
      <w:r w:rsidRPr="00911F40">
        <w:rPr>
          <w:rFonts w:asciiTheme="majorHAnsi" w:hAnsiTheme="majorHAnsi" w:cstheme="majorHAnsi"/>
          <w:sz w:val="24"/>
          <w:szCs w:val="24"/>
          <w:lang w:val="en-US"/>
        </w:rPr>
        <w:t xml:space="preserve">at </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49</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61</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r w:rsidRPr="00911F40">
        <w:rPr>
          <w:rFonts w:asciiTheme="majorHAnsi" w:hAnsiTheme="majorHAnsi" w:cstheme="majorHAnsi"/>
          <w:i/>
          <w:sz w:val="24"/>
          <w:szCs w:val="24"/>
          <w:lang w:val="en-US"/>
        </w:rPr>
        <w:t>Emezie v SSHD</w:t>
      </w:r>
      <w:r w:rsidRPr="00911F40">
        <w:rPr>
          <w:rFonts w:asciiTheme="majorHAnsi" w:hAnsiTheme="majorHAnsi" w:cstheme="majorHAnsi"/>
          <w:sz w:val="24"/>
          <w:szCs w:val="24"/>
          <w:lang w:val="en-US"/>
        </w:rPr>
        <w:t xml:space="preserve"> [2013] 5 Costs LR 685). </w:t>
      </w:r>
    </w:p>
    <w:p w14:paraId="1DF7D9C2" w14:textId="77777777" w:rsidR="00E94324" w:rsidRPr="00911F40" w:rsidRDefault="00E94324" w:rsidP="00E94324">
      <w:pPr>
        <w:spacing w:line="360" w:lineRule="auto"/>
        <w:ind w:left="1440"/>
        <w:rPr>
          <w:rFonts w:asciiTheme="majorHAnsi" w:hAnsiTheme="majorHAnsi" w:cstheme="majorHAnsi"/>
          <w:sz w:val="24"/>
          <w:szCs w:val="24"/>
          <w:lang w:val="en-US"/>
        </w:rPr>
      </w:pPr>
    </w:p>
    <w:p w14:paraId="1DF7D9C3" w14:textId="35185E55"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Category 2: If the Claimant gets only part of what they sought then </w:t>
      </w:r>
      <w:r w:rsidRPr="00911F40">
        <w:rPr>
          <w:rFonts w:asciiTheme="majorHAnsi" w:hAnsiTheme="majorHAnsi" w:cstheme="majorHAnsi"/>
          <w:i/>
          <w:sz w:val="24"/>
          <w:szCs w:val="24"/>
          <w:lang w:val="en-US"/>
        </w:rPr>
        <w:t>“</w:t>
      </w:r>
      <w:r w:rsidRPr="00911F40">
        <w:rPr>
          <w:rFonts w:asciiTheme="majorHAnsi" w:hAnsiTheme="majorHAnsi" w:cstheme="majorHAnsi"/>
          <w:i/>
          <w:sz w:val="24"/>
          <w:szCs w:val="24"/>
        </w:rPr>
        <w:t>the court will often decide to make no order for costs, unless it can without much effort decide that one of the parties has clearly won, or has won to a sufficient extent to justify some order for costs in its favour”.</w:t>
      </w:r>
      <w:r w:rsidRPr="00911F40">
        <w:rPr>
          <w:rFonts w:asciiTheme="majorHAnsi" w:hAnsiTheme="majorHAnsi" w:cstheme="majorHAnsi"/>
          <w:sz w:val="24"/>
          <w:szCs w:val="24"/>
        </w:rPr>
        <w:t xml:space="preserve"> In that case the court may make a partial costs order (</w:t>
      </w:r>
      <w:r w:rsidRPr="00911F40">
        <w:rPr>
          <w:rFonts w:asciiTheme="majorHAnsi" w:hAnsiTheme="majorHAnsi" w:cstheme="majorHAnsi"/>
          <w:i/>
          <w:sz w:val="24"/>
          <w:szCs w:val="24"/>
        </w:rPr>
        <w:t>M</w:t>
      </w:r>
      <w:r w:rsidRPr="00911F40">
        <w:rPr>
          <w:rFonts w:asciiTheme="majorHAnsi" w:hAnsiTheme="majorHAnsi" w:cstheme="majorHAnsi"/>
          <w:sz w:val="24"/>
          <w:szCs w:val="24"/>
        </w:rPr>
        <w:t xml:space="preserve"> at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50</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62</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9C4" w14:textId="77777777" w:rsidR="00E94324" w:rsidRPr="00911F40" w:rsidRDefault="00E94324" w:rsidP="00E94324">
      <w:pPr>
        <w:pStyle w:val="ListParagraph"/>
        <w:rPr>
          <w:rFonts w:asciiTheme="majorHAnsi" w:hAnsiTheme="majorHAnsi" w:cstheme="majorHAnsi"/>
          <w:sz w:val="24"/>
          <w:szCs w:val="24"/>
        </w:rPr>
      </w:pPr>
    </w:p>
    <w:p w14:paraId="1DF7D9C5" w14:textId="51BD72DC"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Category 3: </w:t>
      </w:r>
      <w:r w:rsidRPr="00911F40">
        <w:rPr>
          <w:rFonts w:asciiTheme="majorHAnsi" w:hAnsiTheme="majorHAnsi" w:cstheme="majorHAnsi"/>
          <w:sz w:val="24"/>
          <w:szCs w:val="24"/>
        </w:rPr>
        <w:t xml:space="preserve">If the settlement does not accord with the relief sought then normally there will be no order unless the court can form a clear view about which party has succeeded. If one party would clearly have won if the case had fought then that may assist the conclusion that the settlement represents </w:t>
      </w:r>
      <w:r w:rsidR="00B23327" w:rsidRPr="00911F40">
        <w:rPr>
          <w:rFonts w:asciiTheme="majorHAnsi" w:hAnsiTheme="majorHAnsi" w:cstheme="majorHAnsi"/>
          <w:sz w:val="24"/>
          <w:szCs w:val="24"/>
        </w:rPr>
        <w:t>‘win’</w:t>
      </w:r>
      <w:r w:rsidRPr="00911F40">
        <w:rPr>
          <w:rFonts w:asciiTheme="majorHAnsi" w:hAnsiTheme="majorHAnsi" w:cstheme="majorHAnsi"/>
          <w:sz w:val="24"/>
          <w:szCs w:val="24"/>
        </w:rPr>
        <w:t xml:space="preserve"> for them </w:t>
      </w:r>
      <w:r w:rsidRPr="00911F40">
        <w:rPr>
          <w:rFonts w:asciiTheme="majorHAnsi" w:hAnsiTheme="majorHAnsi" w:cstheme="majorHAnsi"/>
          <w:i/>
          <w:sz w:val="24"/>
          <w:szCs w:val="24"/>
        </w:rPr>
        <w:t xml:space="preserve">(M </w:t>
      </w:r>
      <w:r w:rsidRPr="00911F40">
        <w:rPr>
          <w:rFonts w:asciiTheme="majorHAnsi" w:hAnsiTheme="majorHAnsi" w:cstheme="majorHAnsi"/>
          <w:sz w:val="24"/>
          <w:szCs w:val="24"/>
        </w:rPr>
        <w:t xml:space="preserve">at </w:t>
      </w:r>
      <w:r w:rsidR="00B23327" w:rsidRPr="00911F40">
        <w:rPr>
          <w:rFonts w:asciiTheme="majorHAnsi" w:hAnsiTheme="majorHAnsi" w:cstheme="majorHAnsi"/>
          <w:sz w:val="24"/>
          <w:szCs w:val="24"/>
        </w:rPr>
        <w:t>[</w:t>
      </w:r>
      <w:r w:rsidRPr="00911F40">
        <w:rPr>
          <w:rFonts w:asciiTheme="majorHAnsi" w:hAnsiTheme="majorHAnsi" w:cstheme="majorHAnsi"/>
          <w:sz w:val="24"/>
          <w:szCs w:val="24"/>
        </w:rPr>
        <w:t>51</w:t>
      </w:r>
      <w:r w:rsidR="00B23327"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00B23327" w:rsidRPr="00911F40">
        <w:rPr>
          <w:rFonts w:asciiTheme="majorHAnsi" w:hAnsiTheme="majorHAnsi" w:cstheme="majorHAnsi"/>
          <w:sz w:val="24"/>
          <w:szCs w:val="24"/>
        </w:rPr>
        <w:t>[</w:t>
      </w:r>
      <w:r w:rsidRPr="00911F40">
        <w:rPr>
          <w:rFonts w:asciiTheme="majorHAnsi" w:hAnsiTheme="majorHAnsi" w:cstheme="majorHAnsi"/>
          <w:sz w:val="24"/>
          <w:szCs w:val="24"/>
        </w:rPr>
        <w:t>63</w:t>
      </w:r>
      <w:r w:rsidR="00B23327" w:rsidRPr="00911F40">
        <w:rPr>
          <w:rFonts w:asciiTheme="majorHAnsi" w:hAnsiTheme="majorHAnsi" w:cstheme="majorHAnsi"/>
          <w:sz w:val="24"/>
          <w:szCs w:val="24"/>
        </w:rPr>
        <w:t>]</w:t>
      </w:r>
      <w:r w:rsidRPr="00911F40">
        <w:rPr>
          <w:rStyle w:val="FootnoteReference"/>
          <w:rFonts w:asciiTheme="majorHAnsi" w:hAnsiTheme="majorHAnsi" w:cstheme="majorHAnsi"/>
          <w:sz w:val="24"/>
          <w:szCs w:val="24"/>
        </w:rPr>
        <w:footnoteReference w:id="14"/>
      </w:r>
      <w:r w:rsidRPr="00911F40">
        <w:rPr>
          <w:rFonts w:asciiTheme="majorHAnsi" w:hAnsiTheme="majorHAnsi" w:cstheme="majorHAnsi"/>
          <w:sz w:val="24"/>
          <w:szCs w:val="24"/>
        </w:rPr>
        <w:t xml:space="preserve">). The same principle applies where intervention by a third party has made the claim academic. In </w:t>
      </w:r>
      <w:r w:rsidRPr="00911F40">
        <w:rPr>
          <w:rFonts w:asciiTheme="majorHAnsi" w:hAnsiTheme="majorHAnsi" w:cstheme="majorHAnsi"/>
          <w:i/>
          <w:sz w:val="24"/>
          <w:szCs w:val="24"/>
        </w:rPr>
        <w:t>R (Naureen, Hayat) v Salford CC</w:t>
      </w:r>
      <w:r w:rsidRPr="00911F40">
        <w:rPr>
          <w:rFonts w:asciiTheme="majorHAnsi" w:hAnsiTheme="majorHAnsi" w:cstheme="majorHAnsi"/>
          <w:sz w:val="24"/>
          <w:szCs w:val="24"/>
        </w:rPr>
        <w:t xml:space="preserve"> [2012] EWCA 1795 the challenge was against the local authority in respect of a refusal to accommodate but the claim became academic when one of the claimants was given exceptional leave to remain and so was entitled to accommodation. Costs were refused because it was not clear who would have won or lost. It did not matter that the Claimants had succeeded in obtaining an interim injunction because that did not mean that they had succeeded in the action. But contrast </w:t>
      </w:r>
      <w:r w:rsidRPr="00911F40">
        <w:rPr>
          <w:rFonts w:asciiTheme="majorHAnsi" w:hAnsiTheme="majorHAnsi" w:cstheme="majorHAnsi"/>
          <w:i/>
          <w:sz w:val="24"/>
          <w:szCs w:val="24"/>
        </w:rPr>
        <w:t xml:space="preserve">R (Dempsey) v Sutton LBC </w:t>
      </w:r>
      <w:r w:rsidRPr="00911F40">
        <w:rPr>
          <w:rFonts w:asciiTheme="majorHAnsi" w:hAnsiTheme="majorHAnsi" w:cstheme="majorHAnsi"/>
          <w:sz w:val="24"/>
          <w:szCs w:val="24"/>
        </w:rPr>
        <w:t xml:space="preserve">22 Feb </w:t>
      </w:r>
      <w:r w:rsidRPr="00911F40">
        <w:rPr>
          <w:rFonts w:asciiTheme="majorHAnsi" w:hAnsiTheme="majorHAnsi" w:cstheme="majorHAnsi"/>
          <w:sz w:val="24"/>
          <w:szCs w:val="24"/>
        </w:rPr>
        <w:lastRenderedPageBreak/>
        <w:t xml:space="preserve">2013 CA where judicial review proceedings were started in an emergency when the authority had failed to provide an assessment and the claimant obtained interim relief. Accommodation later became available but she was still entitled to her costs in view of the way that the authority had handled the matter. </w:t>
      </w:r>
      <w:r w:rsidRPr="00911F40">
        <w:rPr>
          <w:rFonts w:asciiTheme="majorHAnsi" w:hAnsiTheme="majorHAnsi" w:cstheme="majorHAnsi"/>
          <w:i/>
          <w:sz w:val="24"/>
          <w:szCs w:val="24"/>
        </w:rPr>
        <w:t xml:space="preserve"> </w:t>
      </w:r>
      <w:r w:rsidR="00F83277" w:rsidRPr="00911F40">
        <w:rPr>
          <w:rFonts w:asciiTheme="majorHAnsi" w:hAnsiTheme="majorHAnsi" w:cstheme="majorHAnsi"/>
          <w:iCs/>
          <w:sz w:val="24"/>
          <w:szCs w:val="24"/>
        </w:rPr>
        <w:t xml:space="preserve">In </w:t>
      </w:r>
      <w:r w:rsidR="00F83277" w:rsidRPr="00911F40">
        <w:rPr>
          <w:rFonts w:asciiTheme="majorHAnsi" w:hAnsiTheme="majorHAnsi" w:cstheme="majorHAnsi"/>
          <w:i/>
          <w:sz w:val="24"/>
          <w:szCs w:val="24"/>
        </w:rPr>
        <w:t xml:space="preserve">ZN Afghanistan </w:t>
      </w:r>
      <w:r w:rsidR="00F83277" w:rsidRPr="00911F40">
        <w:rPr>
          <w:rFonts w:asciiTheme="majorHAnsi" w:hAnsiTheme="majorHAnsi" w:cstheme="majorHAnsi"/>
          <w:iCs/>
          <w:sz w:val="24"/>
          <w:szCs w:val="24"/>
        </w:rPr>
        <w:t xml:space="preserve">(below) Singh LJ </w:t>
      </w:r>
      <w:r w:rsidR="00D30A63" w:rsidRPr="00911F40">
        <w:rPr>
          <w:rFonts w:asciiTheme="majorHAnsi" w:hAnsiTheme="majorHAnsi" w:cstheme="majorHAnsi"/>
          <w:iCs/>
          <w:sz w:val="24"/>
          <w:szCs w:val="24"/>
        </w:rPr>
        <w:t>referred to the need for a principled basis for an order for costs explaining</w:t>
      </w:r>
      <w:r w:rsidR="002B1FFB" w:rsidRPr="00911F40">
        <w:rPr>
          <w:rFonts w:asciiTheme="majorHAnsi" w:hAnsiTheme="majorHAnsi" w:cstheme="majorHAnsi"/>
          <w:iCs/>
          <w:sz w:val="24"/>
          <w:szCs w:val="24"/>
        </w:rPr>
        <w:t xml:space="preserve"> the receiving party has been compelled by he conduct of the paying party to come to court to vindicate their rights (para 67). </w:t>
      </w:r>
      <w:r w:rsidR="005B5405" w:rsidRPr="00911F40">
        <w:rPr>
          <w:rFonts w:asciiTheme="majorHAnsi" w:hAnsiTheme="majorHAnsi" w:cstheme="majorHAnsi"/>
          <w:iCs/>
          <w:sz w:val="24"/>
          <w:szCs w:val="24"/>
        </w:rPr>
        <w:t>“</w:t>
      </w:r>
      <w:r w:rsidR="00CF2838" w:rsidRPr="00911F40">
        <w:rPr>
          <w:rFonts w:asciiTheme="majorHAnsi" w:hAnsiTheme="majorHAnsi" w:cstheme="majorHAnsi"/>
          <w:iCs/>
          <w:sz w:val="24"/>
          <w:szCs w:val="24"/>
        </w:rPr>
        <w:t>i</w:t>
      </w:r>
      <w:r w:rsidR="005B5405" w:rsidRPr="00911F40">
        <w:rPr>
          <w:rFonts w:asciiTheme="majorHAnsi" w:hAnsiTheme="majorHAnsi" w:cstheme="majorHAnsi"/>
          <w:color w:val="3D3D3D"/>
          <w:sz w:val="24"/>
          <w:szCs w:val="24"/>
          <w:shd w:val="clear" w:color="auto" w:fill="FFFFFF"/>
        </w:rPr>
        <w:t>f those legal rights had been respected in the first place by the other party, it should never have been necessary to come to court. Accordingly, there will normally be a causal link between the fact that </w:t>
      </w:r>
      <w:r w:rsidR="005B5405" w:rsidRPr="00911F40">
        <w:rPr>
          <w:rStyle w:val="cosearchterm"/>
          <w:rFonts w:asciiTheme="majorHAnsi" w:hAnsiTheme="majorHAnsi" w:cstheme="majorHAnsi"/>
          <w:color w:val="3D3D3D"/>
          <w:sz w:val="24"/>
          <w:szCs w:val="24"/>
          <w:bdr w:val="none" w:sz="0" w:space="0" w:color="auto" w:frame="1"/>
        </w:rPr>
        <w:t>costs</w:t>
      </w:r>
      <w:r w:rsidR="005B5405" w:rsidRPr="00911F40">
        <w:rPr>
          <w:rFonts w:asciiTheme="majorHAnsi" w:hAnsiTheme="majorHAnsi" w:cstheme="majorHAnsi"/>
          <w:color w:val="3D3D3D"/>
          <w:sz w:val="24"/>
          <w:szCs w:val="24"/>
          <w:shd w:val="clear" w:color="auto" w:fill="FFFFFF"/>
        </w:rPr>
        <w:t> have been incurred and the underlying merits of the legal claim</w:t>
      </w:r>
      <w:r w:rsidR="00CF2838" w:rsidRPr="00911F40">
        <w:rPr>
          <w:rFonts w:asciiTheme="majorHAnsi" w:hAnsiTheme="majorHAnsi" w:cstheme="majorHAnsi"/>
          <w:color w:val="3D3D3D"/>
          <w:sz w:val="24"/>
          <w:szCs w:val="24"/>
          <w:shd w:val="clear" w:color="auto" w:fill="FFFFFF"/>
        </w:rPr>
        <w:t>”</w:t>
      </w:r>
      <w:r w:rsidR="005B5405" w:rsidRPr="00911F40">
        <w:rPr>
          <w:rFonts w:asciiTheme="majorHAnsi" w:hAnsiTheme="majorHAnsi" w:cstheme="majorHAnsi"/>
          <w:color w:val="3D3D3D"/>
          <w:sz w:val="24"/>
          <w:szCs w:val="24"/>
          <w:shd w:val="clear" w:color="auto" w:fill="FFFFFF"/>
        </w:rPr>
        <w:t>. </w:t>
      </w:r>
      <w:r w:rsidR="00D30A63" w:rsidRPr="00911F40">
        <w:rPr>
          <w:rFonts w:asciiTheme="majorHAnsi" w:hAnsiTheme="majorHAnsi" w:cstheme="majorHAnsi"/>
          <w:iCs/>
          <w:sz w:val="24"/>
          <w:szCs w:val="24"/>
        </w:rPr>
        <w:t xml:space="preserve"> </w:t>
      </w:r>
    </w:p>
    <w:p w14:paraId="1DF7D9C6" w14:textId="77777777" w:rsidR="00E94324" w:rsidRPr="00911F40" w:rsidRDefault="00E94324" w:rsidP="00E94324">
      <w:pPr>
        <w:pStyle w:val="ListParagraph"/>
        <w:rPr>
          <w:rFonts w:asciiTheme="majorHAnsi" w:hAnsiTheme="majorHAnsi" w:cstheme="majorHAnsi"/>
          <w:sz w:val="24"/>
          <w:szCs w:val="24"/>
          <w:lang w:val="en-US"/>
        </w:rPr>
      </w:pPr>
    </w:p>
    <w:p w14:paraId="1DF7D9C7" w14:textId="0A8D3D3F"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fact that one party is in receipt of legal aid is irrelevant either way– </w:t>
      </w:r>
      <w:r w:rsidRPr="00911F40">
        <w:rPr>
          <w:rFonts w:asciiTheme="majorHAnsi" w:hAnsiTheme="majorHAnsi" w:cstheme="majorHAnsi"/>
          <w:i/>
          <w:sz w:val="24"/>
          <w:szCs w:val="24"/>
          <w:lang w:val="en-US"/>
        </w:rPr>
        <w:t xml:space="preserve">Bahta </w:t>
      </w:r>
      <w:r w:rsidRPr="00911F40">
        <w:rPr>
          <w:rFonts w:asciiTheme="majorHAnsi" w:hAnsiTheme="majorHAnsi" w:cstheme="majorHAnsi"/>
          <w:sz w:val="24"/>
          <w:szCs w:val="24"/>
          <w:lang w:val="en-US"/>
        </w:rPr>
        <w:t>at</w:t>
      </w:r>
      <w:r w:rsidRPr="00911F40">
        <w:rPr>
          <w:rFonts w:asciiTheme="majorHAnsi" w:hAnsiTheme="majorHAnsi" w:cstheme="majorHAnsi"/>
          <w:i/>
          <w:sz w:val="24"/>
          <w:szCs w:val="24"/>
          <w:lang w:val="en-US"/>
        </w:rPr>
        <w:t xml:space="preserve"> </w:t>
      </w:r>
      <w:r w:rsidR="00B23327"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61</w:t>
      </w:r>
      <w:r w:rsidR="00B23327"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B23327" w:rsidRPr="00911F40">
        <w:rPr>
          <w:rFonts w:asciiTheme="majorHAnsi" w:hAnsiTheme="majorHAnsi" w:cstheme="majorHAnsi"/>
          <w:sz w:val="24"/>
          <w:szCs w:val="24"/>
          <w:lang w:val="en-US"/>
        </w:rPr>
        <w:t>[6</w:t>
      </w:r>
      <w:r w:rsidRPr="00911F40">
        <w:rPr>
          <w:rFonts w:asciiTheme="majorHAnsi" w:hAnsiTheme="majorHAnsi" w:cstheme="majorHAnsi"/>
          <w:sz w:val="24"/>
          <w:szCs w:val="24"/>
          <w:lang w:val="en-US"/>
        </w:rPr>
        <w:t>2</w:t>
      </w:r>
      <w:r w:rsidR="00B23327"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BB4393" w:rsidRPr="00911F40">
        <w:rPr>
          <w:rFonts w:asciiTheme="majorHAnsi" w:hAnsiTheme="majorHAnsi" w:cstheme="majorHAnsi"/>
          <w:sz w:val="24"/>
          <w:szCs w:val="24"/>
          <w:lang w:val="en-US"/>
        </w:rPr>
        <w:t xml:space="preserve"> </w:t>
      </w:r>
    </w:p>
    <w:p w14:paraId="1DF7D9C8" w14:textId="77777777" w:rsidR="00E94324" w:rsidRPr="00911F40" w:rsidRDefault="00E94324" w:rsidP="00E94324">
      <w:pPr>
        <w:pStyle w:val="ListParagraph"/>
        <w:rPr>
          <w:rFonts w:asciiTheme="majorHAnsi" w:hAnsiTheme="majorHAnsi" w:cstheme="majorHAnsi"/>
          <w:sz w:val="24"/>
          <w:szCs w:val="24"/>
          <w:lang w:val="en-US"/>
        </w:rPr>
      </w:pPr>
    </w:p>
    <w:p w14:paraId="1DF7D9C9" w14:textId="232A5979"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burden lies on the paying party to show that there should be a departure from the general rule </w:t>
      </w:r>
      <w:r w:rsidR="00F56F2A" w:rsidRPr="00911F40">
        <w:rPr>
          <w:rFonts w:asciiTheme="majorHAnsi" w:hAnsiTheme="majorHAnsi" w:cstheme="majorHAnsi"/>
          <w:sz w:val="24"/>
          <w:szCs w:val="24"/>
          <w:lang w:val="en-US"/>
        </w:rPr>
        <w:t>(</w:t>
      </w:r>
      <w:r w:rsidRPr="00911F40">
        <w:rPr>
          <w:rFonts w:asciiTheme="majorHAnsi" w:hAnsiTheme="majorHAnsi" w:cstheme="majorHAnsi"/>
          <w:i/>
          <w:sz w:val="24"/>
          <w:szCs w:val="24"/>
          <w:lang w:val="en-US"/>
        </w:rPr>
        <w:t>Bahta</w:t>
      </w:r>
      <w:r w:rsidR="00F56F2A" w:rsidRPr="00911F40">
        <w:rPr>
          <w:rFonts w:asciiTheme="majorHAnsi" w:hAnsiTheme="majorHAnsi" w:cstheme="majorHAnsi"/>
          <w:i/>
          <w:sz w:val="24"/>
          <w:szCs w:val="24"/>
          <w:lang w:val="en-US"/>
        </w:rPr>
        <w:t>,</w:t>
      </w:r>
      <w:r w:rsidRPr="00911F40">
        <w:rPr>
          <w:rFonts w:asciiTheme="majorHAnsi" w:hAnsiTheme="majorHAnsi" w:cstheme="majorHAnsi"/>
          <w:i/>
          <w:sz w:val="24"/>
          <w:szCs w:val="24"/>
          <w:lang w:val="en-US"/>
        </w:rPr>
        <w:t xml:space="preserve"> </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65</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p>
    <w:p w14:paraId="1DF7D9CA" w14:textId="77777777" w:rsidR="00E94324" w:rsidRPr="00911F40" w:rsidRDefault="00E94324" w:rsidP="00E94324">
      <w:pPr>
        <w:pStyle w:val="ListParagraph"/>
        <w:rPr>
          <w:rFonts w:asciiTheme="majorHAnsi" w:hAnsiTheme="majorHAnsi" w:cstheme="majorHAnsi"/>
          <w:sz w:val="24"/>
          <w:szCs w:val="24"/>
          <w:lang w:val="en-US"/>
        </w:rPr>
      </w:pPr>
    </w:p>
    <w:p w14:paraId="1DF7D9CB"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following are not generally reasons to depart from the general rule. </w:t>
      </w:r>
    </w:p>
    <w:p w14:paraId="1DF7D9CC" w14:textId="77777777" w:rsidR="00E94324" w:rsidRPr="00911F40" w:rsidRDefault="00E94324" w:rsidP="00E94324">
      <w:pPr>
        <w:pStyle w:val="ListParagraph"/>
        <w:rPr>
          <w:rFonts w:asciiTheme="majorHAnsi" w:hAnsiTheme="majorHAnsi" w:cstheme="majorHAnsi"/>
          <w:sz w:val="24"/>
          <w:szCs w:val="24"/>
          <w:lang w:val="en-US"/>
        </w:rPr>
      </w:pPr>
    </w:p>
    <w:p w14:paraId="1DF7D9CD" w14:textId="639CA5D0" w:rsidR="00E94324" w:rsidRPr="00911F40" w:rsidRDefault="00E94324" w:rsidP="006F53FC">
      <w:pPr>
        <w:numPr>
          <w:ilvl w:val="2"/>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Defendant could not, for resource reasons address the claim before issue (see </w:t>
      </w:r>
      <w:r w:rsidRPr="00911F40">
        <w:rPr>
          <w:rFonts w:asciiTheme="majorHAnsi" w:hAnsiTheme="majorHAnsi" w:cstheme="majorHAnsi"/>
          <w:i/>
          <w:sz w:val="24"/>
          <w:szCs w:val="24"/>
          <w:lang w:val="en-US"/>
        </w:rPr>
        <w:t>Bahta</w:t>
      </w:r>
      <w:r w:rsidRPr="00911F40">
        <w:rPr>
          <w:rFonts w:asciiTheme="majorHAnsi" w:hAnsiTheme="majorHAnsi" w:cstheme="majorHAnsi"/>
          <w:sz w:val="24"/>
          <w:szCs w:val="24"/>
          <w:lang w:val="en-US"/>
        </w:rPr>
        <w:t xml:space="preserve"> at </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59</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60</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and </w:t>
      </w:r>
      <w:r w:rsidRPr="00911F40">
        <w:rPr>
          <w:rFonts w:asciiTheme="majorHAnsi" w:hAnsiTheme="majorHAnsi" w:cstheme="majorHAnsi"/>
          <w:i/>
          <w:sz w:val="24"/>
          <w:szCs w:val="24"/>
          <w:lang w:val="en-US"/>
        </w:rPr>
        <w:t xml:space="preserve">M </w:t>
      </w:r>
      <w:r w:rsidRPr="00911F40">
        <w:rPr>
          <w:rFonts w:asciiTheme="majorHAnsi" w:hAnsiTheme="majorHAnsi" w:cstheme="majorHAnsi"/>
          <w:sz w:val="24"/>
          <w:szCs w:val="24"/>
          <w:lang w:val="en-US"/>
        </w:rPr>
        <w:t xml:space="preserve">at </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54</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Pr="00911F40">
        <w:rPr>
          <w:rFonts w:asciiTheme="majorHAnsi" w:hAnsiTheme="majorHAnsi" w:cstheme="majorHAnsi"/>
          <w:i/>
          <w:sz w:val="24"/>
          <w:szCs w:val="24"/>
          <w:lang w:val="en-US"/>
        </w:rPr>
        <w:t>.</w:t>
      </w:r>
    </w:p>
    <w:p w14:paraId="1DF7D9CE" w14:textId="0B920B3C" w:rsidR="00E94324" w:rsidRPr="00911F40" w:rsidRDefault="00E94324" w:rsidP="006F53FC">
      <w:pPr>
        <w:numPr>
          <w:ilvl w:val="2"/>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The claim was settled because it was not proportionate to fight the case – the response to this is that the D ought to make up its mind before issue (</w:t>
      </w:r>
      <w:r w:rsidRPr="00911F40">
        <w:rPr>
          <w:rFonts w:asciiTheme="majorHAnsi" w:hAnsiTheme="majorHAnsi" w:cstheme="majorHAnsi"/>
          <w:i/>
          <w:sz w:val="24"/>
          <w:szCs w:val="24"/>
          <w:lang w:val="en-US"/>
        </w:rPr>
        <w:t>M</w:t>
      </w:r>
      <w:r w:rsidRPr="00911F40">
        <w:rPr>
          <w:rFonts w:asciiTheme="majorHAnsi" w:hAnsiTheme="majorHAnsi" w:cstheme="majorHAnsi"/>
          <w:sz w:val="24"/>
          <w:szCs w:val="24"/>
          <w:lang w:val="en-US"/>
        </w:rPr>
        <w:t xml:space="preserve"> 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55</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p>
    <w:p w14:paraId="1DF7D9CF" w14:textId="7CC5BB22" w:rsidR="00E94324" w:rsidRPr="00911F40" w:rsidRDefault="00E94324" w:rsidP="006F53FC">
      <w:pPr>
        <w:numPr>
          <w:ilvl w:val="2"/>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claim was settled for </w:t>
      </w:r>
      <w:r w:rsidRPr="00911F40">
        <w:rPr>
          <w:rFonts w:asciiTheme="majorHAnsi" w:hAnsiTheme="majorHAnsi" w:cstheme="majorHAnsi"/>
          <w:i/>
          <w:sz w:val="24"/>
          <w:szCs w:val="24"/>
          <w:lang w:val="en-US"/>
        </w:rPr>
        <w:t>“pragmatic reasons”.</w:t>
      </w:r>
      <w:r w:rsidRPr="00911F40">
        <w:rPr>
          <w:rFonts w:asciiTheme="majorHAnsi" w:hAnsiTheme="majorHAnsi" w:cstheme="majorHAnsi"/>
          <w:sz w:val="24"/>
          <w:szCs w:val="24"/>
          <w:lang w:val="en-US"/>
        </w:rPr>
        <w:t xml:space="preserve"> If a D wishes to rely on this then they must fully spell out what the reasons are and why they justify a different order – </w:t>
      </w:r>
      <w:r w:rsidRPr="00911F40">
        <w:rPr>
          <w:rFonts w:asciiTheme="majorHAnsi" w:hAnsiTheme="majorHAnsi" w:cstheme="majorHAnsi"/>
          <w:i/>
          <w:sz w:val="24"/>
          <w:szCs w:val="24"/>
          <w:lang w:val="en-US"/>
        </w:rPr>
        <w:t>Bahta</w:t>
      </w:r>
      <w:r w:rsidRPr="00911F40">
        <w:rPr>
          <w:rFonts w:asciiTheme="majorHAnsi" w:hAnsiTheme="majorHAnsi" w:cstheme="majorHAnsi"/>
          <w:sz w:val="24"/>
          <w:szCs w:val="24"/>
          <w:lang w:val="en-US"/>
        </w:rPr>
        <w:t xml:space="preserve"> 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63</w:t>
      </w:r>
      <w:r w:rsidR="00902959" w:rsidRPr="00911F40">
        <w:rPr>
          <w:rFonts w:asciiTheme="majorHAnsi" w:hAnsiTheme="majorHAnsi" w:cstheme="majorHAnsi"/>
          <w:sz w:val="24"/>
          <w:szCs w:val="24"/>
          <w:lang w:val="en-US"/>
        </w:rPr>
        <w:t>].</w:t>
      </w:r>
    </w:p>
    <w:p w14:paraId="1DF7D9D0" w14:textId="77777777" w:rsidR="00E94324" w:rsidRPr="00911F40" w:rsidRDefault="00E94324" w:rsidP="00E94324">
      <w:pPr>
        <w:spacing w:line="360" w:lineRule="auto"/>
        <w:ind w:left="2340"/>
        <w:rPr>
          <w:rFonts w:asciiTheme="majorHAnsi" w:hAnsiTheme="majorHAnsi" w:cstheme="majorHAnsi"/>
          <w:sz w:val="24"/>
          <w:szCs w:val="24"/>
          <w:lang w:val="en-US"/>
        </w:rPr>
      </w:pPr>
    </w:p>
    <w:p w14:paraId="1DF7D9D1"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following might justify a different order, particularly that the C should not get all of their costs: </w:t>
      </w:r>
    </w:p>
    <w:p w14:paraId="1DF7D9D2" w14:textId="77777777" w:rsidR="00E94324" w:rsidRPr="00911F40" w:rsidRDefault="00E94324" w:rsidP="00E94324">
      <w:pPr>
        <w:spacing w:line="360" w:lineRule="auto"/>
        <w:ind w:left="1440"/>
        <w:rPr>
          <w:rFonts w:asciiTheme="majorHAnsi" w:hAnsiTheme="majorHAnsi" w:cstheme="majorHAnsi"/>
          <w:sz w:val="24"/>
          <w:szCs w:val="24"/>
          <w:lang w:val="en-US"/>
        </w:rPr>
      </w:pPr>
    </w:p>
    <w:p w14:paraId="1DF7D9D3" w14:textId="184B9C0F" w:rsidR="00E94324" w:rsidRPr="00911F40" w:rsidRDefault="00E94324" w:rsidP="0068488D">
      <w:pPr>
        <w:numPr>
          <w:ilvl w:val="2"/>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There was either no pre-action protocol letter or it was not clear (</w:t>
      </w:r>
      <w:r w:rsidRPr="00911F40">
        <w:rPr>
          <w:rFonts w:asciiTheme="majorHAnsi" w:hAnsiTheme="majorHAnsi" w:cstheme="majorHAnsi"/>
          <w:i/>
          <w:sz w:val="24"/>
          <w:szCs w:val="24"/>
          <w:lang w:val="en-US"/>
        </w:rPr>
        <w:t>M</w:t>
      </w:r>
      <w:r w:rsidRPr="00911F40">
        <w:rPr>
          <w:rFonts w:asciiTheme="majorHAnsi" w:hAnsiTheme="majorHAnsi" w:cstheme="majorHAnsi"/>
          <w:sz w:val="24"/>
          <w:szCs w:val="24"/>
          <w:lang w:val="en-US"/>
        </w:rPr>
        <w:t xml:space="preserve"> 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57</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But if the claimant has achieved success in this sense then that may outweigh an earlier failure to comply with the pre-action protocol provided that was not causally significant - </w:t>
      </w:r>
      <w:r w:rsidRPr="00911F40">
        <w:rPr>
          <w:rFonts w:asciiTheme="majorHAnsi" w:hAnsiTheme="majorHAnsi" w:cstheme="majorHAnsi"/>
          <w:i/>
          <w:sz w:val="24"/>
          <w:szCs w:val="24"/>
          <w:lang w:val="en-US"/>
        </w:rPr>
        <w:t xml:space="preserve"> KR v SSHD </w:t>
      </w:r>
      <w:r w:rsidRPr="00911F40">
        <w:rPr>
          <w:rFonts w:asciiTheme="majorHAnsi" w:hAnsiTheme="majorHAnsi" w:cstheme="majorHAnsi"/>
          <w:sz w:val="24"/>
          <w:szCs w:val="24"/>
          <w:lang w:val="en-US"/>
        </w:rPr>
        <w:t xml:space="preserve"> [2012] EWCA Civ 1555.</w:t>
      </w:r>
    </w:p>
    <w:p w14:paraId="7CD78696" w14:textId="77777777" w:rsidR="00902959" w:rsidRPr="00911F40" w:rsidRDefault="00902959" w:rsidP="00902959">
      <w:pPr>
        <w:spacing w:after="0" w:line="360" w:lineRule="auto"/>
        <w:ind w:left="2160"/>
        <w:jc w:val="both"/>
        <w:rPr>
          <w:rFonts w:asciiTheme="majorHAnsi" w:hAnsiTheme="majorHAnsi" w:cstheme="majorHAnsi"/>
          <w:sz w:val="24"/>
          <w:szCs w:val="24"/>
          <w:lang w:val="en-US"/>
        </w:rPr>
      </w:pPr>
    </w:p>
    <w:p w14:paraId="1DF7D9D4" w14:textId="77777777" w:rsidR="00E94324" w:rsidRPr="00911F40" w:rsidRDefault="00E94324" w:rsidP="0068488D">
      <w:pPr>
        <w:numPr>
          <w:ilvl w:val="2"/>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Poor and inefficient conduct of the litigation. In </w:t>
      </w:r>
      <w:r w:rsidRPr="00911F40">
        <w:rPr>
          <w:rFonts w:asciiTheme="majorHAnsi" w:hAnsiTheme="majorHAnsi" w:cstheme="majorHAnsi"/>
          <w:i/>
          <w:sz w:val="24"/>
          <w:szCs w:val="24"/>
          <w:lang w:val="en-US"/>
        </w:rPr>
        <w:t>R (Srinvasans Solicitors) v Croydon County Court</w:t>
      </w:r>
      <w:r w:rsidRPr="00911F40">
        <w:rPr>
          <w:rFonts w:asciiTheme="majorHAnsi" w:hAnsiTheme="majorHAnsi" w:cstheme="majorHAnsi"/>
          <w:sz w:val="24"/>
          <w:szCs w:val="24"/>
          <w:lang w:val="en-US"/>
        </w:rPr>
        <w:t xml:space="preserve"> [2013] EWCA Civ 249 an order of the County Court was quashed when it lacked jurisdiction (the matter could only be brought in the High Court). But the claimant firm had not succeeded on its whole claim and it had failed to raise points at the right time and had abandoned others. The judge was entitled to make no order.  </w:t>
      </w:r>
    </w:p>
    <w:p w14:paraId="735323D2" w14:textId="77777777" w:rsidR="00902959" w:rsidRPr="00911F40" w:rsidRDefault="00902959" w:rsidP="00902959">
      <w:pPr>
        <w:spacing w:after="0" w:line="360" w:lineRule="auto"/>
        <w:ind w:left="2160"/>
        <w:jc w:val="both"/>
        <w:rPr>
          <w:rFonts w:asciiTheme="majorHAnsi" w:hAnsiTheme="majorHAnsi" w:cstheme="majorHAnsi"/>
          <w:sz w:val="24"/>
          <w:szCs w:val="24"/>
          <w:lang w:val="en-US"/>
        </w:rPr>
      </w:pPr>
    </w:p>
    <w:p w14:paraId="1DF7D9D5" w14:textId="72C5C83D" w:rsidR="00E94324" w:rsidRPr="00911F40" w:rsidRDefault="00E94324" w:rsidP="0068488D">
      <w:pPr>
        <w:numPr>
          <w:ilvl w:val="2"/>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There has been a relevant change in the law or other circumstances changing whether it is reasonable to bring or defend the claim – </w:t>
      </w:r>
      <w:r w:rsidRPr="00911F40">
        <w:rPr>
          <w:rFonts w:asciiTheme="majorHAnsi" w:hAnsiTheme="majorHAnsi" w:cstheme="majorHAnsi"/>
          <w:i/>
          <w:sz w:val="24"/>
          <w:szCs w:val="24"/>
          <w:lang w:val="en-US"/>
        </w:rPr>
        <w:t xml:space="preserve">M </w:t>
      </w:r>
      <w:r w:rsidRPr="00911F40">
        <w:rPr>
          <w:rFonts w:asciiTheme="majorHAnsi" w:hAnsiTheme="majorHAnsi" w:cstheme="majorHAnsi"/>
          <w:sz w:val="24"/>
          <w:szCs w:val="24"/>
          <w:lang w:val="en-US"/>
        </w:rPr>
        <w:t xml:space="preserve">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56</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p>
    <w:p w14:paraId="1DF7D9D6"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D7" w14:textId="77777777"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These developments go some way to giving effect to The Final Report of the Review of Civil Litigation Costs conducted by Sir Rupert Jackson recommended that where the Claimant has complied with the protocol then if the Defendant settled after issue by conceding any material part of the claim then the normal order should be that the Defendant pays the Claimant’s costs. </w:t>
      </w:r>
    </w:p>
    <w:p w14:paraId="1DF7D9D8" w14:textId="77777777" w:rsidR="00E94324" w:rsidRPr="00911F40" w:rsidRDefault="00E94324" w:rsidP="0068488D">
      <w:pPr>
        <w:autoSpaceDE w:val="0"/>
        <w:autoSpaceDN w:val="0"/>
        <w:adjustRightInd w:val="0"/>
        <w:spacing w:line="360" w:lineRule="auto"/>
        <w:ind w:left="502"/>
        <w:jc w:val="both"/>
        <w:rPr>
          <w:rFonts w:asciiTheme="majorHAnsi" w:hAnsiTheme="majorHAnsi" w:cstheme="majorHAnsi"/>
          <w:sz w:val="24"/>
          <w:szCs w:val="24"/>
          <w:lang w:val="en-US"/>
        </w:rPr>
      </w:pPr>
    </w:p>
    <w:p w14:paraId="1DF7D9D9" w14:textId="6BA98C8C" w:rsidR="00E94324" w:rsidRPr="00911F40" w:rsidRDefault="00E94324" w:rsidP="006F53FC">
      <w:pPr>
        <w:numPr>
          <w:ilvl w:val="0"/>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Applications for costs must follow the guidance </w:t>
      </w:r>
      <w:r w:rsidR="00507FEF">
        <w:rPr>
          <w:rFonts w:asciiTheme="majorHAnsi" w:hAnsiTheme="majorHAnsi" w:cstheme="majorHAnsi"/>
          <w:sz w:val="24"/>
          <w:szCs w:val="24"/>
          <w:lang w:val="en-US"/>
        </w:rPr>
        <w:t xml:space="preserve">in ACG 24 and in particular (where applications for costs are made following settlement) the ACO guidance at </w:t>
      </w:r>
      <w:r w:rsidR="00507FEF" w:rsidRPr="00507FEF">
        <w:rPr>
          <w:rFonts w:asciiTheme="majorHAnsi" w:hAnsiTheme="majorHAnsi" w:cstheme="majorHAnsi"/>
          <w:sz w:val="24"/>
          <w:szCs w:val="24"/>
          <w:lang w:val="en-US"/>
        </w:rPr>
        <w:t>https://assets.publishing.service.gov.uk/government/uploads/system/uploads/attachment_data/file/716591/ac013-eng.pdf</w:t>
      </w:r>
      <w:r w:rsidRPr="00911F40">
        <w:rPr>
          <w:rFonts w:asciiTheme="majorHAnsi" w:hAnsiTheme="majorHAnsi" w:cstheme="majorHAnsi"/>
          <w:sz w:val="24"/>
          <w:szCs w:val="24"/>
          <w:lang w:val="en-US"/>
        </w:rPr>
        <w:t xml:space="preserve">. Note in particular: </w:t>
      </w:r>
    </w:p>
    <w:p w14:paraId="1DF7D9DA" w14:textId="77777777" w:rsidR="00E94324" w:rsidRPr="00911F40" w:rsidRDefault="00E94324" w:rsidP="00E94324">
      <w:pPr>
        <w:pStyle w:val="ListParagraph"/>
        <w:rPr>
          <w:rFonts w:asciiTheme="majorHAnsi" w:hAnsiTheme="majorHAnsi" w:cstheme="majorHAnsi"/>
          <w:sz w:val="24"/>
          <w:szCs w:val="24"/>
          <w:lang w:val="en-US"/>
        </w:rPr>
      </w:pPr>
    </w:p>
    <w:p w14:paraId="1DF7D9DB" w14:textId="1BAE7F77" w:rsidR="00E94324" w:rsidRPr="00911F40" w:rsidRDefault="00E94324" w:rsidP="0068488D">
      <w:pPr>
        <w:numPr>
          <w:ilvl w:val="1"/>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w:t>
      </w:r>
      <w:r w:rsidR="006F2F9C">
        <w:rPr>
          <w:rFonts w:asciiTheme="majorHAnsi" w:hAnsiTheme="majorHAnsi" w:cstheme="majorHAnsi"/>
          <w:sz w:val="24"/>
          <w:szCs w:val="24"/>
          <w:lang w:val="en-US"/>
        </w:rPr>
        <w:t xml:space="preserve">ACO </w:t>
      </w:r>
      <w:r w:rsidRPr="00911F40">
        <w:rPr>
          <w:rFonts w:asciiTheme="majorHAnsi" w:hAnsiTheme="majorHAnsi" w:cstheme="majorHAnsi"/>
          <w:sz w:val="24"/>
          <w:szCs w:val="24"/>
          <w:lang w:val="en-US"/>
        </w:rPr>
        <w:t xml:space="preserve">guidance suggests a timetable for submissions which ought to be incorporated in any order settling a case on terms. The D starts by showing cause as to why they ought not to pay costs within 28 days. C responds in 14 days and D has 7 days to reply. The submissions must address the following points: </w:t>
      </w:r>
    </w:p>
    <w:p w14:paraId="1DF7D9DC" w14:textId="77777777" w:rsidR="00E94324" w:rsidRPr="00911F40" w:rsidRDefault="00E94324" w:rsidP="0068488D">
      <w:pPr>
        <w:numPr>
          <w:ilvl w:val="1"/>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lastRenderedPageBreak/>
        <w:t>Submissions must:</w:t>
      </w:r>
    </w:p>
    <w:p w14:paraId="1DF7D9DD"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confirm that the parties have used reasonable endeavours to negotiate a</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costs settlement;</w:t>
      </w:r>
    </w:p>
    <w:p w14:paraId="1DF7D9DE"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identify what issues or reasons prevented the parties agreeing costs</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liability;</w:t>
      </w:r>
    </w:p>
    <w:p w14:paraId="1DF7D9DF"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state the approximate amount of costs likely to be involved in the case;</w:t>
      </w:r>
    </w:p>
    <w:p w14:paraId="1DF7D9E0"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identify the extent to which the parties complied with the pre-action</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 xml:space="preserve">protocol; </w:t>
      </w:r>
    </w:p>
    <w:p w14:paraId="1DF7D9E1"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state the relief the claimant (i) sought in the claim form and (ii) obtained;</w:t>
      </w:r>
    </w:p>
    <w:p w14:paraId="1DF7D9E2"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address specifically how the claim and the basis of its settlement fit the</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 xml:space="preserve">principles in </w:t>
      </w:r>
      <w:r w:rsidRPr="00911F40">
        <w:rPr>
          <w:rFonts w:asciiTheme="majorHAnsi" w:hAnsiTheme="majorHAnsi" w:cstheme="majorHAnsi"/>
          <w:i/>
          <w:iCs/>
          <w:sz w:val="24"/>
          <w:szCs w:val="24"/>
          <w:lang w:eastAsia="en-GB"/>
        </w:rPr>
        <w:t xml:space="preserve">M v Croydon, </w:t>
      </w:r>
      <w:r w:rsidRPr="00911F40">
        <w:rPr>
          <w:rFonts w:asciiTheme="majorHAnsi" w:hAnsiTheme="majorHAnsi" w:cstheme="majorHAnsi"/>
          <w:sz w:val="24"/>
          <w:szCs w:val="24"/>
          <w:lang w:eastAsia="en-GB"/>
        </w:rPr>
        <w:t>including the significance and effect of any</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action or offer by the defendant in relation to the claim.</w:t>
      </w:r>
    </w:p>
    <w:p w14:paraId="1DF7D9E3" w14:textId="746C4713" w:rsidR="00E94324" w:rsidRPr="00911F40" w:rsidRDefault="00E94324" w:rsidP="0068488D">
      <w:pPr>
        <w:numPr>
          <w:ilvl w:val="1"/>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 xml:space="preserve">Submissions should not normally exceed 2 A4 pages </w:t>
      </w:r>
      <w:r w:rsidRPr="00911F40">
        <w:rPr>
          <w:rFonts w:asciiTheme="majorHAnsi" w:hAnsiTheme="majorHAnsi" w:cstheme="majorHAnsi"/>
          <w:i/>
          <w:sz w:val="24"/>
          <w:szCs w:val="24"/>
        </w:rPr>
        <w:t>“of a normal print size”</w:t>
      </w:r>
      <w:r w:rsidRPr="00911F40">
        <w:rPr>
          <w:rFonts w:asciiTheme="majorHAnsi" w:hAnsiTheme="majorHAnsi" w:cstheme="majorHAnsi"/>
          <w:sz w:val="24"/>
          <w:szCs w:val="24"/>
          <w:lang w:eastAsia="en-GB"/>
        </w:rPr>
        <w:t xml:space="preserve"> and should attach the relevant correspondence</w:t>
      </w:r>
      <w:r w:rsidR="00334E26" w:rsidRPr="00911F40">
        <w:rPr>
          <w:rFonts w:asciiTheme="majorHAnsi" w:hAnsiTheme="majorHAnsi" w:cstheme="majorHAnsi"/>
          <w:sz w:val="24"/>
          <w:szCs w:val="24"/>
          <w:lang w:eastAsia="en-GB"/>
        </w:rPr>
        <w:t>.</w:t>
      </w:r>
    </w:p>
    <w:p w14:paraId="1DF7D9E4" w14:textId="77777777" w:rsidR="00E94324" w:rsidRPr="00911F40" w:rsidRDefault="00E94324" w:rsidP="0068488D">
      <w:pPr>
        <w:autoSpaceDE w:val="0"/>
        <w:autoSpaceDN w:val="0"/>
        <w:adjustRightInd w:val="0"/>
        <w:spacing w:line="360" w:lineRule="auto"/>
        <w:ind w:left="502"/>
        <w:jc w:val="both"/>
        <w:rPr>
          <w:rFonts w:asciiTheme="majorHAnsi" w:hAnsiTheme="majorHAnsi" w:cstheme="majorHAnsi"/>
          <w:sz w:val="24"/>
          <w:szCs w:val="24"/>
          <w:lang w:val="en-US"/>
        </w:rPr>
      </w:pPr>
    </w:p>
    <w:p w14:paraId="1DF7D9E5" w14:textId="77777777" w:rsidR="00E94324" w:rsidRPr="00911F40" w:rsidRDefault="00E94324" w:rsidP="005F5903">
      <w:pPr>
        <w:keepNext/>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Multiple parties </w:t>
      </w:r>
    </w:p>
    <w:p w14:paraId="1DF7D9E6" w14:textId="274A3369"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The normal rule is that the Claimant will not be required to pay more than one set of costs even where there are two or more Defendants</w:t>
      </w:r>
      <w:r w:rsidRPr="00911F40">
        <w:rPr>
          <w:rStyle w:val="FootnoteReference"/>
          <w:rFonts w:asciiTheme="majorHAnsi" w:hAnsiTheme="majorHAnsi" w:cstheme="majorHAnsi"/>
          <w:sz w:val="24"/>
          <w:szCs w:val="24"/>
          <w:lang w:val="en-US"/>
        </w:rPr>
        <w:footnoteReference w:id="15"/>
      </w:r>
      <w:r w:rsidRPr="00911F40">
        <w:rPr>
          <w:rFonts w:asciiTheme="majorHAnsi" w:hAnsiTheme="majorHAnsi" w:cstheme="majorHAnsi"/>
          <w:sz w:val="24"/>
          <w:szCs w:val="24"/>
          <w:lang w:val="en-US"/>
        </w:rPr>
        <w:t xml:space="preserve">. However, the court may order 2 or more sets of costs where a second Defendant or the </w:t>
      </w:r>
      <w:r w:rsidR="006F2F9C">
        <w:rPr>
          <w:rFonts w:asciiTheme="majorHAnsi" w:hAnsiTheme="majorHAnsi" w:cstheme="majorHAnsi"/>
          <w:sz w:val="24"/>
          <w:szCs w:val="24"/>
          <w:lang w:val="en-US"/>
        </w:rPr>
        <w:t>I</w:t>
      </w:r>
      <w:r w:rsidRPr="00911F40">
        <w:rPr>
          <w:rFonts w:asciiTheme="majorHAnsi" w:hAnsiTheme="majorHAnsi" w:cstheme="majorHAnsi"/>
          <w:sz w:val="24"/>
          <w:szCs w:val="24"/>
          <w:lang w:val="en-US"/>
        </w:rPr>
        <w:t xml:space="preserve">nterested </w:t>
      </w:r>
      <w:r w:rsidR="006F2F9C">
        <w:rPr>
          <w:rFonts w:asciiTheme="majorHAnsi" w:hAnsiTheme="majorHAnsi" w:cstheme="majorHAnsi"/>
          <w:sz w:val="24"/>
          <w:szCs w:val="24"/>
          <w:lang w:val="en-US"/>
        </w:rPr>
        <w:t>P</w:t>
      </w:r>
      <w:r w:rsidRPr="00911F40">
        <w:rPr>
          <w:rFonts w:asciiTheme="majorHAnsi" w:hAnsiTheme="majorHAnsi" w:cstheme="majorHAnsi"/>
          <w:sz w:val="24"/>
          <w:szCs w:val="24"/>
          <w:lang w:val="en-US"/>
        </w:rPr>
        <w:t xml:space="preserve">arty attends in support of a special interest or where they have to defend particular allegations against them – </w:t>
      </w:r>
      <w:r w:rsidRPr="00911F40">
        <w:rPr>
          <w:rFonts w:asciiTheme="majorHAnsi" w:hAnsiTheme="majorHAnsi" w:cstheme="majorHAnsi"/>
          <w:bCs/>
          <w:i/>
          <w:sz w:val="24"/>
          <w:szCs w:val="24"/>
        </w:rPr>
        <w:t>R v Secretary Of State For Health, Ex Parte John Smeaton (On Behalf Of The Society For The Protection Of Unborn Children &amp; (1) Schering Health Care Ltd (2) Family Planning Association (Interested Parties)</w:t>
      </w:r>
      <w:r w:rsidRPr="00911F40">
        <w:rPr>
          <w:rFonts w:asciiTheme="majorHAnsi" w:hAnsiTheme="majorHAnsi" w:cstheme="majorHAnsi"/>
          <w:bCs/>
          <w:sz w:val="24"/>
          <w:szCs w:val="24"/>
        </w:rPr>
        <w:t xml:space="preserve"> </w:t>
      </w:r>
      <w:r w:rsidRPr="00911F40">
        <w:rPr>
          <w:rFonts w:asciiTheme="majorHAnsi" w:hAnsiTheme="majorHAnsi" w:cstheme="majorHAnsi"/>
          <w:sz w:val="24"/>
          <w:szCs w:val="24"/>
        </w:rPr>
        <w:t xml:space="preserve">[2002] EWHC 886 (Admin), [2002] 2 FLR 142, </w:t>
      </w:r>
      <w:r w:rsidRPr="00911F40">
        <w:rPr>
          <w:rFonts w:asciiTheme="majorHAnsi" w:hAnsiTheme="majorHAnsi" w:cstheme="majorHAnsi"/>
          <w:bCs/>
          <w:i/>
          <w:kern w:val="36"/>
          <w:sz w:val="24"/>
          <w:szCs w:val="24"/>
        </w:rPr>
        <w:t>R. (on the application of Stamford Chamber of Trade and Commerce) v Secretary of State for Communities and Local Government (Costs)</w:t>
      </w:r>
      <w:r w:rsidRPr="00911F40">
        <w:rPr>
          <w:rFonts w:asciiTheme="majorHAnsi" w:hAnsiTheme="majorHAnsi" w:cstheme="majorHAnsi"/>
          <w:bCs/>
          <w:kern w:val="36"/>
          <w:sz w:val="24"/>
          <w:szCs w:val="24"/>
        </w:rPr>
        <w:t xml:space="preserve"> [2009] EWHC 1126 (Admin) (where there were two separate decisions under challenge) </w:t>
      </w:r>
    </w:p>
    <w:p w14:paraId="1DF7D9E7"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E8" w14:textId="77777777" w:rsidR="00E94324" w:rsidRPr="00911F40" w:rsidRDefault="00E94324" w:rsidP="0068488D">
      <w:pPr>
        <w:autoSpaceDE w:val="0"/>
        <w:autoSpaceDN w:val="0"/>
        <w:adjustRightInd w:val="0"/>
        <w:spacing w:line="360" w:lineRule="auto"/>
        <w:rPr>
          <w:rFonts w:asciiTheme="majorHAnsi" w:hAnsiTheme="majorHAnsi" w:cstheme="majorHAnsi"/>
          <w:i/>
          <w:sz w:val="24"/>
          <w:szCs w:val="24"/>
          <w:lang w:val="en-US"/>
        </w:rPr>
      </w:pPr>
      <w:r w:rsidRPr="00911F40">
        <w:rPr>
          <w:rFonts w:asciiTheme="majorHAnsi" w:hAnsiTheme="majorHAnsi" w:cstheme="majorHAnsi"/>
          <w:i/>
          <w:sz w:val="24"/>
          <w:szCs w:val="24"/>
          <w:lang w:val="en-US"/>
        </w:rPr>
        <w:lastRenderedPageBreak/>
        <w:t xml:space="preserve">Particular Parties </w:t>
      </w:r>
    </w:p>
    <w:p w14:paraId="1DF7D9E9" w14:textId="167E927E"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Costs will not generally be awarded against a Tribunal or similar neutral party who does not appear or otherwise play an active role in the proceedings</w:t>
      </w:r>
      <w:r w:rsidR="00CC2C65" w:rsidRPr="00911F40">
        <w:rPr>
          <w:rFonts w:asciiTheme="majorHAnsi" w:hAnsiTheme="majorHAnsi" w:cstheme="majorHAnsi"/>
          <w:sz w:val="24"/>
          <w:szCs w:val="24"/>
          <w:lang w:val="en-US"/>
        </w:rPr>
        <w:t xml:space="preserve"> </w:t>
      </w:r>
      <w:r w:rsidR="00CC2C65" w:rsidRPr="00911F40">
        <w:rPr>
          <w:rFonts w:asciiTheme="majorHAnsi" w:hAnsiTheme="majorHAnsi" w:cstheme="majorHAnsi"/>
          <w:i/>
          <w:iCs/>
          <w:sz w:val="24"/>
          <w:szCs w:val="24"/>
          <w:lang w:val="en-US"/>
        </w:rPr>
        <w:t>R (Gourlay) v Parole Board</w:t>
      </w:r>
      <w:r w:rsidR="004F5F7C" w:rsidRPr="00911F40">
        <w:rPr>
          <w:rFonts w:asciiTheme="majorHAnsi" w:hAnsiTheme="majorHAnsi" w:cstheme="majorHAnsi"/>
          <w:sz w:val="24"/>
          <w:szCs w:val="24"/>
          <w:lang w:val="en-US"/>
        </w:rPr>
        <w:t xml:space="preserve"> [2020] UKSC 50</w:t>
      </w:r>
      <w:r w:rsidRPr="00911F40">
        <w:rPr>
          <w:rFonts w:asciiTheme="majorHAnsi" w:hAnsiTheme="majorHAnsi" w:cstheme="majorHAnsi"/>
          <w:sz w:val="24"/>
          <w:szCs w:val="24"/>
          <w:lang w:val="en-US"/>
        </w:rPr>
        <w:t>.</w:t>
      </w:r>
    </w:p>
    <w:p w14:paraId="1DF7D9EA"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EB" w14:textId="77777777"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traditional approach is to treat such a party as neutral where they attend simply to “assist the court on questions of jurisdiction, procedure, specialist case law and  the like” (But see </w:t>
      </w:r>
      <w:r w:rsidRPr="00911F40">
        <w:rPr>
          <w:rFonts w:asciiTheme="majorHAnsi" w:hAnsiTheme="majorHAnsi" w:cstheme="majorHAnsi"/>
          <w:i/>
          <w:sz w:val="24"/>
          <w:szCs w:val="24"/>
          <w:lang w:val="en-US"/>
        </w:rPr>
        <w:t xml:space="preserve">R (Davies) v Birmingham Coroner </w:t>
      </w:r>
      <w:r w:rsidRPr="00911F40">
        <w:rPr>
          <w:rFonts w:asciiTheme="majorHAnsi" w:hAnsiTheme="majorHAnsi" w:cstheme="majorHAnsi"/>
          <w:sz w:val="24"/>
          <w:szCs w:val="24"/>
          <w:lang w:val="en-US"/>
        </w:rPr>
        <w:t xml:space="preserve">[2004] EWCA Civ 207, [2004] 3 All ER 543 for exceptions where this is the only way to compensate a litigant who has succeed in showing an error of law). </w:t>
      </w:r>
    </w:p>
    <w:p w14:paraId="1DF7D9EC" w14:textId="77777777" w:rsidR="00E94324" w:rsidRPr="00911F40" w:rsidRDefault="00E94324" w:rsidP="0068488D">
      <w:pPr>
        <w:autoSpaceDE w:val="0"/>
        <w:autoSpaceDN w:val="0"/>
        <w:adjustRightInd w:val="0"/>
        <w:spacing w:line="360" w:lineRule="auto"/>
        <w:ind w:left="360"/>
        <w:jc w:val="both"/>
        <w:rPr>
          <w:rFonts w:asciiTheme="majorHAnsi" w:hAnsiTheme="majorHAnsi" w:cstheme="majorHAnsi"/>
          <w:sz w:val="24"/>
          <w:szCs w:val="24"/>
          <w:lang w:val="en-US"/>
        </w:rPr>
      </w:pPr>
    </w:p>
    <w:p w14:paraId="1DF7D9ED" w14:textId="77777777"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If the Tribunal appears actively to defend the case then they are treated as an ordinary party subject to usual costs rules.  </w:t>
      </w:r>
    </w:p>
    <w:p w14:paraId="1DF7D9EE"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EF" w14:textId="1935D710"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Even a non</w:t>
      </w:r>
      <w:r w:rsidR="00334E26"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appearing tribunal can be made to pay costs where there has been serious default, failure to follow elementary principles or an unreasonable failure to sign a consent order </w:t>
      </w:r>
      <w:r w:rsidRPr="00911F40">
        <w:rPr>
          <w:rFonts w:asciiTheme="majorHAnsi" w:hAnsiTheme="majorHAnsi" w:cstheme="majorHAnsi"/>
          <w:i/>
          <w:sz w:val="24"/>
          <w:szCs w:val="24"/>
          <w:lang w:val="en-US"/>
        </w:rPr>
        <w:t>e.g. R v Lincoln JJ ex p Count</w:t>
      </w:r>
      <w:r w:rsidRPr="00911F40">
        <w:rPr>
          <w:rFonts w:asciiTheme="majorHAnsi" w:hAnsiTheme="majorHAnsi" w:cstheme="majorHAnsi"/>
          <w:sz w:val="24"/>
          <w:szCs w:val="24"/>
        </w:rPr>
        <w:t xml:space="preserve"> (1996) 8 Admin LR 233, </w:t>
      </w:r>
      <w:r w:rsidRPr="00911F40">
        <w:rPr>
          <w:rFonts w:asciiTheme="majorHAnsi" w:hAnsiTheme="majorHAnsi" w:cstheme="majorHAnsi"/>
          <w:i/>
          <w:sz w:val="24"/>
          <w:szCs w:val="24"/>
        </w:rPr>
        <w:t xml:space="preserve">R v Stafford JJ ex p Johnson </w:t>
      </w:r>
      <w:r w:rsidRPr="00911F40">
        <w:rPr>
          <w:rFonts w:asciiTheme="majorHAnsi" w:hAnsiTheme="majorHAnsi" w:cstheme="majorHAnsi"/>
          <w:sz w:val="24"/>
          <w:szCs w:val="24"/>
        </w:rPr>
        <w:t xml:space="preserve">[1995] COD 352, </w:t>
      </w:r>
      <w:r w:rsidRPr="00911F40">
        <w:rPr>
          <w:rFonts w:asciiTheme="majorHAnsi" w:hAnsiTheme="majorHAnsi" w:cstheme="majorHAnsi"/>
          <w:i/>
          <w:sz w:val="24"/>
          <w:szCs w:val="24"/>
        </w:rPr>
        <w:t>R v Stoke on Trent JJ ex p Booth</w:t>
      </w:r>
      <w:r w:rsidRPr="00911F40">
        <w:rPr>
          <w:rFonts w:asciiTheme="majorHAnsi" w:hAnsiTheme="majorHAnsi" w:cstheme="majorHAnsi"/>
          <w:sz w:val="24"/>
          <w:szCs w:val="24"/>
        </w:rPr>
        <w:t xml:space="preserve"> Independent 9 Feb 1996. </w:t>
      </w:r>
    </w:p>
    <w:p w14:paraId="1DF7D9F0" w14:textId="77777777" w:rsidR="00E94324" w:rsidRPr="00911F40" w:rsidRDefault="00E94324" w:rsidP="00E94324">
      <w:pPr>
        <w:spacing w:line="360" w:lineRule="auto"/>
        <w:rPr>
          <w:rFonts w:asciiTheme="majorHAnsi" w:hAnsiTheme="majorHAnsi" w:cstheme="majorHAnsi"/>
          <w:sz w:val="24"/>
          <w:szCs w:val="24"/>
          <w:lang w:val="en-US"/>
        </w:rPr>
      </w:pPr>
    </w:p>
    <w:p w14:paraId="1DF7D9F1" w14:textId="77777777" w:rsidR="00E94324" w:rsidRPr="00911F40" w:rsidRDefault="00E94324" w:rsidP="0068488D">
      <w:pPr>
        <w:spacing w:line="360" w:lineRule="auto"/>
        <w:rPr>
          <w:rFonts w:asciiTheme="majorHAnsi" w:hAnsiTheme="majorHAnsi" w:cstheme="majorHAnsi"/>
          <w:i/>
          <w:sz w:val="24"/>
          <w:szCs w:val="24"/>
          <w:lang w:val="en-US"/>
        </w:rPr>
      </w:pPr>
      <w:r w:rsidRPr="00911F40">
        <w:rPr>
          <w:rFonts w:asciiTheme="majorHAnsi" w:hAnsiTheme="majorHAnsi" w:cstheme="majorHAnsi"/>
          <w:i/>
          <w:sz w:val="24"/>
          <w:szCs w:val="24"/>
        </w:rPr>
        <w:t xml:space="preserve">Costs against Third Parties </w:t>
      </w:r>
    </w:p>
    <w:p w14:paraId="1DF7D9F2"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Under s. 51 of the Senior Courts Act 1981 the Court has power to award costs against a non-party. This is an exceptional power but will ordinarily be exercised where the third party has controlled the proceedings or hopes to benefit from them so as to be the real litigant </w:t>
      </w:r>
      <w:r w:rsidRPr="00911F40">
        <w:rPr>
          <w:rFonts w:asciiTheme="majorHAnsi" w:hAnsiTheme="majorHAnsi" w:cstheme="majorHAnsi"/>
          <w:i/>
          <w:sz w:val="24"/>
          <w:szCs w:val="24"/>
        </w:rPr>
        <w:t>Dymocks Franchise Systems (NSW) Pty Ltd v Todd</w:t>
      </w:r>
      <w:r w:rsidRPr="00911F40">
        <w:rPr>
          <w:rFonts w:asciiTheme="majorHAnsi" w:hAnsiTheme="majorHAnsi" w:cstheme="majorHAnsi"/>
          <w:sz w:val="24"/>
          <w:szCs w:val="24"/>
        </w:rPr>
        <w:t xml:space="preserve"> [2004] UKPC 39, [2004] 1 WLR 2807. </w:t>
      </w:r>
    </w:p>
    <w:p w14:paraId="1DF7D9F3"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F4"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Can a third party costs orders be made against individual officers or employees of the Defendant? </w:t>
      </w:r>
    </w:p>
    <w:p w14:paraId="1DF7D9F5"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F6"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lastRenderedPageBreak/>
        <w:t xml:space="preserve">In </w:t>
      </w:r>
      <w:r w:rsidRPr="00911F40">
        <w:rPr>
          <w:rFonts w:asciiTheme="majorHAnsi" w:hAnsiTheme="majorHAnsi" w:cstheme="majorHAnsi"/>
          <w:i/>
          <w:sz w:val="24"/>
          <w:szCs w:val="24"/>
        </w:rPr>
        <w:t>R v Lambeth LBC ex p Wilson</w:t>
      </w:r>
      <w:r w:rsidRPr="00911F40">
        <w:rPr>
          <w:rFonts w:asciiTheme="majorHAnsi" w:hAnsiTheme="majorHAnsi" w:cstheme="majorHAnsi"/>
          <w:sz w:val="24"/>
          <w:szCs w:val="24"/>
        </w:rPr>
        <w:t xml:space="preserve"> (1998) 30 HLR 64 QBD it was held that there was jurisdiction to make an order under s. 51 of the SCA but that absent fraud, it would be difficult to think of a case where that would be appropriate. </w:t>
      </w:r>
    </w:p>
    <w:p w14:paraId="1DF7D9F7"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F8" w14:textId="3CD471E8"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But in </w:t>
      </w:r>
      <w:r w:rsidRPr="00911F40">
        <w:rPr>
          <w:rFonts w:asciiTheme="majorHAnsi" w:hAnsiTheme="majorHAnsi" w:cstheme="majorHAnsi"/>
          <w:i/>
          <w:sz w:val="24"/>
          <w:szCs w:val="24"/>
        </w:rPr>
        <w:t>Phillips &amp; Ors v Symes &amp; Ors</w:t>
      </w:r>
      <w:r w:rsidRPr="00911F40">
        <w:rPr>
          <w:rFonts w:asciiTheme="majorHAnsi" w:hAnsiTheme="majorHAnsi" w:cstheme="majorHAnsi"/>
          <w:sz w:val="24"/>
          <w:szCs w:val="24"/>
        </w:rPr>
        <w:t xml:space="preserve"> [2004] EWHC 2330 (Ch), an expert witness was joined to proceedings for the purposes of considering a third party costs order (as required under CPR 48.2). Peter Smith J held that in an appropriate case </w:t>
      </w:r>
      <w:r w:rsidRPr="00911F40">
        <w:rPr>
          <w:rFonts w:asciiTheme="majorHAnsi" w:hAnsiTheme="majorHAnsi" w:cstheme="majorHAnsi"/>
          <w:i/>
          <w:sz w:val="24"/>
          <w:szCs w:val="24"/>
        </w:rPr>
        <w:t>“a third party costs order can be brought against somebody who was a witness and as a result of the manner in which he gave evidence as a witness”</w:t>
      </w:r>
      <w:r w:rsidR="004709E9" w:rsidRPr="00911F40">
        <w:rPr>
          <w:rFonts w:asciiTheme="majorHAnsi" w:hAnsiTheme="majorHAnsi" w:cstheme="majorHAnsi"/>
          <w:i/>
          <w:sz w:val="24"/>
          <w:szCs w:val="24"/>
        </w:rPr>
        <w:t>:</w:t>
      </w:r>
      <w:r w:rsidRPr="00911F40">
        <w:rPr>
          <w:rFonts w:asciiTheme="majorHAnsi" w:hAnsiTheme="majorHAnsi" w:cstheme="majorHAnsi"/>
          <w:sz w:val="24"/>
          <w:szCs w:val="24"/>
        </w:rPr>
        <w:t xml:space="preserve"> [63]. An Order was made against a laboratory in </w:t>
      </w:r>
      <w:r w:rsidRPr="00911F40">
        <w:rPr>
          <w:rFonts w:asciiTheme="majorHAnsi" w:hAnsiTheme="majorHAnsi" w:cstheme="majorHAnsi"/>
          <w:i/>
          <w:sz w:val="24"/>
          <w:szCs w:val="24"/>
        </w:rPr>
        <w:t xml:space="preserve">X Local Authority v Trimega </w:t>
      </w:r>
      <w:r w:rsidR="004709E9" w:rsidRPr="00911F40">
        <w:rPr>
          <w:rFonts w:asciiTheme="majorHAnsi" w:hAnsiTheme="majorHAnsi" w:cstheme="majorHAnsi"/>
          <w:i/>
          <w:sz w:val="24"/>
          <w:szCs w:val="24"/>
        </w:rPr>
        <w:t>Laboratori</w:t>
      </w:r>
      <w:r w:rsidRPr="00911F40">
        <w:rPr>
          <w:rFonts w:asciiTheme="majorHAnsi" w:hAnsiTheme="majorHAnsi" w:cstheme="majorHAnsi"/>
          <w:i/>
          <w:sz w:val="24"/>
          <w:szCs w:val="24"/>
        </w:rPr>
        <w:t>es Ltd</w:t>
      </w:r>
      <w:r w:rsidRPr="00911F40">
        <w:rPr>
          <w:rFonts w:asciiTheme="majorHAnsi" w:hAnsiTheme="majorHAnsi" w:cstheme="majorHAnsi"/>
          <w:sz w:val="24"/>
          <w:szCs w:val="24"/>
        </w:rPr>
        <w:t xml:space="preserve"> [2014] 2 FLR 232.  </w:t>
      </w:r>
    </w:p>
    <w:p w14:paraId="1DF7D9F9" w14:textId="77777777" w:rsidR="00E94324" w:rsidRPr="00911F40" w:rsidRDefault="00E94324" w:rsidP="00E94324">
      <w:pPr>
        <w:spacing w:line="360" w:lineRule="auto"/>
        <w:ind w:left="360"/>
        <w:rPr>
          <w:rFonts w:asciiTheme="majorHAnsi" w:hAnsiTheme="majorHAnsi" w:cstheme="majorHAnsi"/>
          <w:sz w:val="24"/>
          <w:szCs w:val="24"/>
        </w:rPr>
      </w:pPr>
    </w:p>
    <w:p w14:paraId="1DF7D9FA" w14:textId="77777777" w:rsidR="00E94324" w:rsidRPr="00911F40" w:rsidRDefault="00E94324" w:rsidP="005F5903">
      <w:pPr>
        <w:keepNext/>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Costs and Legal Aid </w:t>
      </w:r>
    </w:p>
    <w:p w14:paraId="1DF7D9FB" w14:textId="77777777" w:rsidR="00E94324" w:rsidRPr="00911F40" w:rsidRDefault="00E94324" w:rsidP="0068488D">
      <w:pPr>
        <w:spacing w:line="360" w:lineRule="auto"/>
        <w:rPr>
          <w:rFonts w:asciiTheme="majorHAnsi" w:hAnsiTheme="majorHAnsi" w:cstheme="majorHAnsi"/>
          <w:i/>
          <w:sz w:val="24"/>
          <w:szCs w:val="24"/>
          <w:u w:val="single"/>
          <w:lang w:val="en-US"/>
        </w:rPr>
      </w:pPr>
      <w:r w:rsidRPr="00911F40">
        <w:rPr>
          <w:rFonts w:asciiTheme="majorHAnsi" w:hAnsiTheme="majorHAnsi" w:cstheme="majorHAnsi"/>
          <w:i/>
          <w:sz w:val="24"/>
          <w:szCs w:val="24"/>
          <w:u w:val="single"/>
        </w:rPr>
        <w:t xml:space="preserve">Costs in favour of a successful publicly funded litigant </w:t>
      </w:r>
    </w:p>
    <w:p w14:paraId="1DF7D9FC" w14:textId="4526B832"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fact that a party is in receipt of public funding is not to be taken into account in deciding whether and what costs order to make – </w:t>
      </w:r>
      <w:r w:rsidRPr="00911F40">
        <w:rPr>
          <w:rFonts w:asciiTheme="majorHAnsi" w:hAnsiTheme="majorHAnsi" w:cstheme="majorHAnsi"/>
          <w:sz w:val="24"/>
          <w:szCs w:val="24"/>
        </w:rPr>
        <w:t xml:space="preserve">s. 30 LASPO (Legal Aid Sentencing and Punishment of Offenders Act 2012). </w:t>
      </w:r>
      <w:r w:rsidR="00630D8B" w:rsidRPr="00911F40">
        <w:rPr>
          <w:rFonts w:asciiTheme="majorHAnsi" w:hAnsiTheme="majorHAnsi" w:cstheme="majorHAnsi"/>
          <w:sz w:val="24"/>
          <w:szCs w:val="24"/>
          <w:lang w:val="en-US"/>
        </w:rPr>
        <w:t xml:space="preserve">But see </w:t>
      </w:r>
      <w:r w:rsidR="00630D8B" w:rsidRPr="00911F40">
        <w:rPr>
          <w:rFonts w:asciiTheme="majorHAnsi" w:hAnsiTheme="majorHAnsi" w:cstheme="majorHAnsi"/>
          <w:i/>
          <w:iCs/>
          <w:sz w:val="24"/>
          <w:szCs w:val="24"/>
          <w:lang w:val="en-US"/>
        </w:rPr>
        <w:t xml:space="preserve">ZN (Afghanistan) v SSHD  </w:t>
      </w:r>
      <w:r w:rsidR="00630D8B" w:rsidRPr="00911F40">
        <w:rPr>
          <w:rFonts w:asciiTheme="majorHAnsi" w:hAnsiTheme="majorHAnsi" w:cstheme="majorHAnsi"/>
          <w:sz w:val="24"/>
          <w:szCs w:val="24"/>
          <w:lang w:val="en-US"/>
        </w:rPr>
        <w:t>[2018] 3 Costs LO for a discussion of the circumstances where this may be relevant paras 86</w:t>
      </w:r>
      <w:r w:rsidR="0024200F" w:rsidRPr="00911F40">
        <w:rPr>
          <w:rFonts w:asciiTheme="majorHAnsi" w:hAnsiTheme="majorHAnsi" w:cstheme="majorHAnsi"/>
          <w:sz w:val="24"/>
          <w:szCs w:val="24"/>
          <w:lang w:val="en-US"/>
        </w:rPr>
        <w:t>-95</w:t>
      </w:r>
      <w:r w:rsidR="00630D8B" w:rsidRPr="00911F40">
        <w:rPr>
          <w:rFonts w:asciiTheme="majorHAnsi" w:hAnsiTheme="majorHAnsi" w:cstheme="majorHAnsi"/>
          <w:sz w:val="24"/>
          <w:szCs w:val="24"/>
          <w:lang w:val="en-US"/>
        </w:rPr>
        <w:t xml:space="preserve"> (Singh LJ)  and </w:t>
      </w:r>
      <w:r w:rsidR="00205F4A" w:rsidRPr="00911F40">
        <w:rPr>
          <w:rFonts w:asciiTheme="majorHAnsi" w:hAnsiTheme="majorHAnsi" w:cstheme="majorHAnsi"/>
          <w:sz w:val="24"/>
          <w:szCs w:val="24"/>
          <w:lang w:val="en-US"/>
        </w:rPr>
        <w:t xml:space="preserve">97-104 (Leggatt LJ).  </w:t>
      </w:r>
    </w:p>
    <w:p w14:paraId="1DF7D9FD" w14:textId="77777777" w:rsidR="00E94324" w:rsidRPr="00911F40" w:rsidRDefault="00E94324" w:rsidP="0068488D">
      <w:pPr>
        <w:spacing w:line="360" w:lineRule="auto"/>
        <w:ind w:left="502"/>
        <w:jc w:val="both"/>
        <w:rPr>
          <w:rFonts w:asciiTheme="majorHAnsi" w:hAnsiTheme="majorHAnsi" w:cstheme="majorHAnsi"/>
          <w:sz w:val="24"/>
          <w:szCs w:val="24"/>
          <w:lang w:val="en-US"/>
        </w:rPr>
      </w:pPr>
    </w:p>
    <w:p w14:paraId="1DF7D9FE"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lang w:val="en-US"/>
        </w:rPr>
        <w:t xml:space="preserve">However, an </w:t>
      </w:r>
      <w:r w:rsidRPr="00911F40">
        <w:rPr>
          <w:rFonts w:asciiTheme="majorHAnsi" w:hAnsiTheme="majorHAnsi" w:cstheme="majorHAnsi"/>
          <w:i/>
          <w:sz w:val="24"/>
          <w:szCs w:val="24"/>
          <w:lang w:val="en-US"/>
        </w:rPr>
        <w:t>inter partes</w:t>
      </w:r>
      <w:r w:rsidRPr="00911F40">
        <w:rPr>
          <w:rFonts w:asciiTheme="majorHAnsi" w:hAnsiTheme="majorHAnsi" w:cstheme="majorHAnsi"/>
          <w:sz w:val="24"/>
          <w:szCs w:val="24"/>
          <w:lang w:val="en-US"/>
        </w:rPr>
        <w:t xml:space="preserve"> costs order makes a substantial difference to the amount of costs payable. Where costs are recovered from the opposing party then legal aid practitioners may recover at their ordinary private paying rates and are not restricted to non-commercial legal aid rates. </w:t>
      </w:r>
      <w:r w:rsidRPr="00911F40">
        <w:rPr>
          <w:rFonts w:asciiTheme="majorHAnsi" w:hAnsiTheme="majorHAnsi" w:cstheme="majorHAnsi"/>
          <w:sz w:val="24"/>
          <w:szCs w:val="24"/>
        </w:rPr>
        <w:t xml:space="preserve">The indemnity principle, which restricts the paying party’s liability to the amount that the receiving party is obliged to pay, does not apply (Civil Legal Aid (Costs) Regulations 2013 Reg 21). </w:t>
      </w:r>
    </w:p>
    <w:p w14:paraId="1DF7D9FF" w14:textId="77777777" w:rsidR="00E94324" w:rsidRPr="00911F40" w:rsidRDefault="00E94324" w:rsidP="00E94324">
      <w:pPr>
        <w:pStyle w:val="ListParagraph"/>
        <w:rPr>
          <w:rFonts w:asciiTheme="majorHAnsi" w:hAnsiTheme="majorHAnsi" w:cstheme="majorHAnsi"/>
          <w:sz w:val="24"/>
          <w:szCs w:val="24"/>
        </w:rPr>
      </w:pPr>
    </w:p>
    <w:p w14:paraId="1DF7DA01" w14:textId="77777777" w:rsidR="00E94324" w:rsidRPr="00911F40" w:rsidRDefault="00E94324" w:rsidP="0068488D">
      <w:pPr>
        <w:spacing w:line="360" w:lineRule="auto"/>
        <w:rPr>
          <w:rFonts w:asciiTheme="majorHAnsi" w:hAnsiTheme="majorHAnsi" w:cstheme="majorHAnsi"/>
          <w:i/>
          <w:sz w:val="24"/>
          <w:szCs w:val="24"/>
          <w:u w:val="single"/>
        </w:rPr>
      </w:pPr>
      <w:r w:rsidRPr="00911F40">
        <w:rPr>
          <w:rFonts w:asciiTheme="majorHAnsi" w:hAnsiTheme="majorHAnsi" w:cstheme="majorHAnsi"/>
          <w:i/>
          <w:sz w:val="24"/>
          <w:szCs w:val="24"/>
          <w:u w:val="single"/>
        </w:rPr>
        <w:t>Costs against an unsuccessful publicly funded litigant</w:t>
      </w:r>
    </w:p>
    <w:p w14:paraId="1DF7DA02"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An unsuccessful publicly funded litigant is entitled to costs protection in that they can only be required to pay more than the amount </w:t>
      </w:r>
      <w:r w:rsidRPr="00911F40">
        <w:rPr>
          <w:rFonts w:asciiTheme="majorHAnsi" w:hAnsiTheme="majorHAnsi" w:cstheme="majorHAnsi"/>
          <w:i/>
          <w:sz w:val="24"/>
          <w:szCs w:val="24"/>
        </w:rPr>
        <w:t>“which is a reasonable one</w:t>
      </w:r>
      <w:r w:rsidRPr="00911F40">
        <w:rPr>
          <w:rFonts w:asciiTheme="majorHAnsi" w:hAnsiTheme="majorHAnsi" w:cstheme="majorHAnsi"/>
          <w:sz w:val="24"/>
          <w:szCs w:val="24"/>
        </w:rPr>
        <w:t xml:space="preserve">” for them </w:t>
      </w:r>
      <w:r w:rsidRPr="00911F40">
        <w:rPr>
          <w:rFonts w:asciiTheme="majorHAnsi" w:hAnsiTheme="majorHAnsi" w:cstheme="majorHAnsi"/>
          <w:sz w:val="24"/>
          <w:szCs w:val="24"/>
        </w:rPr>
        <w:lastRenderedPageBreak/>
        <w:t xml:space="preserve">to pay having regard to their means and their conduct in relation to the dispute (LASPO s. 26). </w:t>
      </w:r>
    </w:p>
    <w:p w14:paraId="1DF7DA03" w14:textId="77777777" w:rsidR="00E94324" w:rsidRPr="00911F40" w:rsidRDefault="00E94324" w:rsidP="00E94324">
      <w:pPr>
        <w:spacing w:line="360" w:lineRule="auto"/>
        <w:ind w:left="360"/>
        <w:rPr>
          <w:rFonts w:asciiTheme="majorHAnsi" w:hAnsiTheme="majorHAnsi" w:cstheme="majorHAnsi"/>
          <w:sz w:val="24"/>
          <w:szCs w:val="24"/>
        </w:rPr>
      </w:pPr>
    </w:p>
    <w:p w14:paraId="1DF7DA04"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procedure for determining what is a reasonable amount to pay is specified in the Civil Legal Aid (Costs) Regulations 2013 and see </w:t>
      </w:r>
      <w:r w:rsidRPr="00911F40">
        <w:rPr>
          <w:rFonts w:asciiTheme="majorHAnsi" w:hAnsiTheme="majorHAnsi" w:cstheme="majorHAnsi"/>
          <w:i/>
          <w:sz w:val="24"/>
          <w:szCs w:val="24"/>
        </w:rPr>
        <w:t>Wyatt v Portsmouth NHS Trust</w:t>
      </w:r>
      <w:r w:rsidRPr="00911F40">
        <w:rPr>
          <w:rFonts w:asciiTheme="majorHAnsi" w:hAnsiTheme="majorHAnsi" w:cstheme="majorHAnsi"/>
          <w:sz w:val="24"/>
          <w:szCs w:val="24"/>
        </w:rPr>
        <w:t xml:space="preserve"> [2006] EWCA Civ 529 and in the SCCO Guide 2006 Section 25 for a discussion of the predecessor Regulations. </w:t>
      </w:r>
    </w:p>
    <w:p w14:paraId="1DF7DA05" w14:textId="77777777" w:rsidR="00E94324" w:rsidRPr="00911F40" w:rsidRDefault="00E94324" w:rsidP="00E94324">
      <w:pPr>
        <w:spacing w:line="360" w:lineRule="auto"/>
        <w:ind w:left="360"/>
        <w:rPr>
          <w:rFonts w:asciiTheme="majorHAnsi" w:hAnsiTheme="majorHAnsi" w:cstheme="majorHAnsi"/>
          <w:sz w:val="24"/>
          <w:szCs w:val="24"/>
        </w:rPr>
      </w:pPr>
    </w:p>
    <w:p w14:paraId="1DF7DA06"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Court first considers what order it would make in the absence of costs protection and whether that would have been for summary or detailed assessment – Reg 15(1). </w:t>
      </w:r>
    </w:p>
    <w:p w14:paraId="1DF7DA07" w14:textId="77777777" w:rsidR="00E94324" w:rsidRPr="00911F40" w:rsidRDefault="00E94324" w:rsidP="0068488D">
      <w:pPr>
        <w:spacing w:line="360" w:lineRule="auto"/>
        <w:ind w:left="360"/>
        <w:jc w:val="both"/>
        <w:rPr>
          <w:rFonts w:asciiTheme="majorHAnsi" w:hAnsiTheme="majorHAnsi" w:cstheme="majorHAnsi"/>
          <w:sz w:val="24"/>
          <w:szCs w:val="24"/>
        </w:rPr>
      </w:pPr>
    </w:p>
    <w:p w14:paraId="1DF7DA09" w14:textId="378C28F9" w:rsidR="00E94324" w:rsidRPr="00911F40" w:rsidRDefault="00E94324" w:rsidP="00334E26">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 trial court considers that it has sufficient information to decide what is a reasonable amount to pay then it will specify the amount but only if satisfied that the actual costs that would be ordered would be at least that amount 15(2) or (3). In </w:t>
      </w:r>
      <w:r w:rsidRPr="00911F40">
        <w:rPr>
          <w:rFonts w:asciiTheme="majorHAnsi" w:hAnsiTheme="majorHAnsi" w:cstheme="majorHAnsi"/>
          <w:i/>
          <w:sz w:val="24"/>
          <w:szCs w:val="24"/>
        </w:rPr>
        <w:t>Wyatt</w:t>
      </w:r>
      <w:r w:rsidRPr="00911F40">
        <w:rPr>
          <w:rFonts w:asciiTheme="majorHAnsi" w:hAnsiTheme="majorHAnsi" w:cstheme="majorHAnsi"/>
          <w:sz w:val="24"/>
          <w:szCs w:val="24"/>
        </w:rPr>
        <w:t xml:space="preserve"> the Court specified that the amount payable was nil. </w:t>
      </w:r>
    </w:p>
    <w:p w14:paraId="1DF7DA0A"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Otherwise the determination of the assisted person’s liability to pay is to be determined by a costs judge. The application must be made within 3 months unless there is a change in circumstances, new information is available or good reason for the delay. There is an outside time limit of 6 years. </w:t>
      </w:r>
    </w:p>
    <w:p w14:paraId="1DF7DA0B" w14:textId="77777777" w:rsidR="00E94324" w:rsidRPr="00911F40" w:rsidRDefault="00E94324" w:rsidP="0068488D">
      <w:pPr>
        <w:pStyle w:val="ListParagraph"/>
        <w:spacing w:line="360" w:lineRule="auto"/>
        <w:jc w:val="both"/>
        <w:rPr>
          <w:rFonts w:asciiTheme="majorHAnsi" w:hAnsiTheme="majorHAnsi" w:cstheme="majorHAnsi"/>
          <w:sz w:val="24"/>
          <w:szCs w:val="24"/>
        </w:rPr>
      </w:pPr>
    </w:p>
    <w:p w14:paraId="1DF7DA0C" w14:textId="300D593D" w:rsidR="00E94324" w:rsidRPr="00911F40" w:rsidRDefault="00E94324" w:rsidP="0068488D">
      <w:pPr>
        <w:numPr>
          <w:ilvl w:val="0"/>
          <w:numId w:val="31"/>
        </w:numPr>
        <w:spacing w:after="0" w:line="360" w:lineRule="auto"/>
        <w:ind w:hanging="502"/>
        <w:jc w:val="both"/>
        <w:rPr>
          <w:rFonts w:asciiTheme="majorHAnsi" w:hAnsiTheme="majorHAnsi" w:cstheme="majorHAnsi"/>
          <w:sz w:val="24"/>
          <w:szCs w:val="24"/>
        </w:rPr>
      </w:pPr>
      <w:r w:rsidRPr="00911F40">
        <w:rPr>
          <w:rFonts w:asciiTheme="majorHAnsi" w:hAnsiTheme="majorHAnsi" w:cstheme="majorHAnsi"/>
          <w:sz w:val="24"/>
          <w:szCs w:val="24"/>
        </w:rPr>
        <w:t xml:space="preserve">The Court will often Order that it is reasonable for the Defendant to recover its costs by setting them off against any amounts payable by the Defendant – </w:t>
      </w:r>
      <w:r w:rsidRPr="00911F40">
        <w:rPr>
          <w:rFonts w:asciiTheme="majorHAnsi" w:hAnsiTheme="majorHAnsi" w:cstheme="majorHAnsi"/>
          <w:i/>
          <w:sz w:val="24"/>
          <w:szCs w:val="24"/>
        </w:rPr>
        <w:t xml:space="preserve">Lockley v National Blood Transfusion Service </w:t>
      </w:r>
      <w:r w:rsidRPr="00911F40">
        <w:rPr>
          <w:rFonts w:asciiTheme="majorHAnsi" w:hAnsiTheme="majorHAnsi" w:cstheme="majorHAnsi"/>
          <w:sz w:val="24"/>
          <w:szCs w:val="24"/>
        </w:rPr>
        <w:t xml:space="preserve">[1992] 1 WLR 492 and </w:t>
      </w:r>
      <w:r w:rsidRPr="00911F40">
        <w:rPr>
          <w:rFonts w:asciiTheme="majorHAnsi" w:hAnsiTheme="majorHAnsi" w:cstheme="majorHAnsi"/>
          <w:i/>
          <w:sz w:val="24"/>
          <w:szCs w:val="24"/>
        </w:rPr>
        <w:t>R (Burkett v Hammersmith &amp; Fulham LBC</w:t>
      </w:r>
      <w:r w:rsidRPr="00911F40">
        <w:rPr>
          <w:rFonts w:asciiTheme="majorHAnsi" w:hAnsiTheme="majorHAnsi" w:cstheme="majorHAnsi"/>
          <w:sz w:val="24"/>
          <w:szCs w:val="24"/>
        </w:rPr>
        <w:t xml:space="preserve">. [2005] 1 Costs LR 104. The Court also </w:t>
      </w:r>
      <w:r w:rsidR="004709E9" w:rsidRPr="00911F40">
        <w:rPr>
          <w:rFonts w:asciiTheme="majorHAnsi" w:hAnsiTheme="majorHAnsi" w:cstheme="majorHAnsi"/>
          <w:sz w:val="24"/>
          <w:szCs w:val="24"/>
        </w:rPr>
        <w:t>has the</w:t>
      </w:r>
      <w:r w:rsidRPr="00911F40">
        <w:rPr>
          <w:rFonts w:asciiTheme="majorHAnsi" w:hAnsiTheme="majorHAnsi" w:cstheme="majorHAnsi"/>
          <w:sz w:val="24"/>
          <w:szCs w:val="24"/>
        </w:rPr>
        <w:t xml:space="preserve"> power to stay an order against a public body pending the outcome of other litigation against the same claimant so that a set-off can be made later – </w:t>
      </w:r>
      <w:r w:rsidRPr="00911F40">
        <w:rPr>
          <w:rFonts w:asciiTheme="majorHAnsi" w:hAnsiTheme="majorHAnsi" w:cstheme="majorHAnsi"/>
          <w:i/>
          <w:sz w:val="24"/>
          <w:szCs w:val="24"/>
        </w:rPr>
        <w:t xml:space="preserve">Maloba v LB Waltham Forest </w:t>
      </w:r>
      <w:r w:rsidRPr="00911F40">
        <w:rPr>
          <w:rFonts w:asciiTheme="majorHAnsi" w:hAnsiTheme="majorHAnsi" w:cstheme="majorHAnsi"/>
          <w:sz w:val="24"/>
          <w:szCs w:val="24"/>
          <w:lang w:val="fr-FR"/>
        </w:rPr>
        <w:t xml:space="preserve">[2007] EWCA Civ 1281; [2008] 1 WLR 2079 (although an order was not made in that case). </w:t>
      </w:r>
    </w:p>
    <w:p w14:paraId="1DF7DA0D" w14:textId="77777777" w:rsidR="00E94324" w:rsidRPr="00911F40" w:rsidRDefault="00E94324" w:rsidP="00E94324">
      <w:pPr>
        <w:spacing w:line="360" w:lineRule="auto"/>
        <w:rPr>
          <w:rFonts w:asciiTheme="majorHAnsi" w:hAnsiTheme="majorHAnsi" w:cstheme="majorHAnsi"/>
          <w:sz w:val="24"/>
          <w:szCs w:val="24"/>
        </w:rPr>
      </w:pPr>
    </w:p>
    <w:p w14:paraId="1DF7DA0E" w14:textId="77777777" w:rsidR="00E94324" w:rsidRPr="00911F40" w:rsidRDefault="00E94324" w:rsidP="0068488D">
      <w:pPr>
        <w:keepNext/>
        <w:spacing w:line="360" w:lineRule="auto"/>
        <w:jc w:val="both"/>
        <w:rPr>
          <w:rFonts w:asciiTheme="majorHAnsi" w:hAnsiTheme="majorHAnsi" w:cstheme="majorHAnsi"/>
          <w:i/>
          <w:sz w:val="24"/>
          <w:szCs w:val="24"/>
        </w:rPr>
      </w:pPr>
      <w:r w:rsidRPr="00911F40">
        <w:rPr>
          <w:rFonts w:asciiTheme="majorHAnsi" w:hAnsiTheme="majorHAnsi" w:cstheme="majorHAnsi"/>
          <w:i/>
          <w:sz w:val="24"/>
          <w:szCs w:val="24"/>
        </w:rPr>
        <w:lastRenderedPageBreak/>
        <w:t xml:space="preserve">Costs against the Lord Chancellor </w:t>
      </w:r>
    </w:p>
    <w:p w14:paraId="1DF7DA0F"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A successful Defendant or interested party defending a claim against a publicly funded client may in some circumstances apply to have their costs paid by the Lord Chancellor where they will not recover them against the client. It must be just and equitable for the Order to be made and at first instance the receiving party must show that they will suffer financial hardship if the order is not made (this does not apply on appeal). The application </w:t>
      </w:r>
      <w:r w:rsidRPr="00911F40">
        <w:rPr>
          <w:rFonts w:asciiTheme="majorHAnsi" w:hAnsiTheme="majorHAnsi" w:cstheme="majorHAnsi"/>
          <w:sz w:val="24"/>
          <w:szCs w:val="24"/>
          <w:u w:val="single"/>
        </w:rPr>
        <w:t>must</w:t>
      </w:r>
      <w:r w:rsidRPr="00911F40">
        <w:rPr>
          <w:rFonts w:asciiTheme="majorHAnsi" w:hAnsiTheme="majorHAnsi" w:cstheme="majorHAnsi"/>
          <w:sz w:val="24"/>
          <w:szCs w:val="24"/>
        </w:rPr>
        <w:t xml:space="preserve"> be made within 3 months of the making of the relevant costs order (LASPO s. 26 and Civil Legal Aid (Costs) Regulations 2013 Reg 10). </w:t>
      </w:r>
    </w:p>
    <w:p w14:paraId="1DF7DA10" w14:textId="77777777" w:rsidR="00B50AFB" w:rsidRPr="00911F40" w:rsidRDefault="00B50AFB" w:rsidP="00B50AFB">
      <w:pPr>
        <w:spacing w:after="0" w:line="360" w:lineRule="auto"/>
        <w:ind w:left="720"/>
        <w:rPr>
          <w:rFonts w:asciiTheme="majorHAnsi" w:hAnsiTheme="majorHAnsi" w:cstheme="majorHAnsi"/>
          <w:sz w:val="24"/>
          <w:szCs w:val="24"/>
        </w:rPr>
      </w:pPr>
    </w:p>
    <w:p w14:paraId="40AB7E2E" w14:textId="77777777" w:rsidR="00334E26" w:rsidRPr="00911F40" w:rsidRDefault="00334E26"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MARTIN WESTGATE QC</w:t>
      </w:r>
    </w:p>
    <w:p w14:paraId="77628571" w14:textId="5C57A855" w:rsidR="00334E26" w:rsidRPr="00911F40" w:rsidRDefault="00334E26"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DOUGHTY STREET CHAMBERS</w:t>
      </w:r>
      <w:r w:rsidRPr="00911F40">
        <w:rPr>
          <w:rFonts w:asciiTheme="majorHAnsi" w:hAnsiTheme="majorHAnsi" w:cstheme="majorHAnsi"/>
          <w:b/>
          <w:sz w:val="24"/>
          <w:szCs w:val="24"/>
        </w:rPr>
        <w:br/>
        <w:t>LEONIE HIRST</w:t>
      </w:r>
    </w:p>
    <w:p w14:paraId="19A644D4" w14:textId="77777777" w:rsidR="00334E26" w:rsidRPr="00911F40" w:rsidRDefault="00334E26"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HIRST CHAMBERS</w:t>
      </w:r>
    </w:p>
    <w:p w14:paraId="1AAB2766" w14:textId="2B4FF5D5" w:rsidR="00334E26" w:rsidRPr="00911F40" w:rsidRDefault="00E67CAE"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March 2021</w:t>
      </w:r>
    </w:p>
    <w:sectPr w:rsidR="00334E26" w:rsidRPr="00911F40" w:rsidSect="00E94324">
      <w:headerReference w:type="default" r:id="rId16"/>
      <w:footerReference w:type="default" r:id="rId17"/>
      <w:pgSz w:w="11906" w:h="16838" w:code="9"/>
      <w:pgMar w:top="1871" w:right="1304" w:bottom="1361" w:left="130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8DA7" w14:textId="77777777" w:rsidR="00650845" w:rsidRDefault="00650845" w:rsidP="00B5201A">
      <w:pPr>
        <w:spacing w:after="0" w:line="240" w:lineRule="auto"/>
      </w:pPr>
      <w:r>
        <w:separator/>
      </w:r>
    </w:p>
  </w:endnote>
  <w:endnote w:type="continuationSeparator" w:id="0">
    <w:p w14:paraId="75B8D871" w14:textId="77777777" w:rsidR="00650845" w:rsidRDefault="00650845" w:rsidP="00B5201A">
      <w:pPr>
        <w:spacing w:after="0" w:line="240" w:lineRule="auto"/>
      </w:pPr>
      <w:r>
        <w:continuationSeparator/>
      </w:r>
    </w:p>
  </w:endnote>
  <w:endnote w:type="continuationNotice" w:id="1">
    <w:p w14:paraId="703006A4" w14:textId="77777777" w:rsidR="00650845" w:rsidRDefault="00650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275945"/>
      <w:docPartObj>
        <w:docPartGallery w:val="Page Numbers (Bottom of Page)"/>
        <w:docPartUnique/>
      </w:docPartObj>
    </w:sdtPr>
    <w:sdtEndPr/>
    <w:sdtContent>
      <w:p w14:paraId="1DF7DA1A" w14:textId="77777777" w:rsidR="00D75867" w:rsidRDefault="00D75867">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1DF7DA1B" w14:textId="77777777" w:rsidR="00D75867" w:rsidRDefault="00D7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90A7" w14:textId="77777777" w:rsidR="00650845" w:rsidRDefault="00650845" w:rsidP="00B5201A">
      <w:pPr>
        <w:spacing w:after="0" w:line="240" w:lineRule="auto"/>
      </w:pPr>
      <w:r>
        <w:separator/>
      </w:r>
    </w:p>
  </w:footnote>
  <w:footnote w:type="continuationSeparator" w:id="0">
    <w:p w14:paraId="0290C865" w14:textId="77777777" w:rsidR="00650845" w:rsidRDefault="00650845" w:rsidP="00B5201A">
      <w:pPr>
        <w:spacing w:after="0" w:line="240" w:lineRule="auto"/>
      </w:pPr>
      <w:r>
        <w:continuationSeparator/>
      </w:r>
    </w:p>
  </w:footnote>
  <w:footnote w:type="continuationNotice" w:id="1">
    <w:p w14:paraId="3770F077" w14:textId="77777777" w:rsidR="00650845" w:rsidRDefault="00650845">
      <w:pPr>
        <w:spacing w:after="0" w:line="240" w:lineRule="auto"/>
      </w:pPr>
    </w:p>
  </w:footnote>
  <w:footnote w:id="2">
    <w:p w14:paraId="4C8537CB" w14:textId="0BF26BE9" w:rsidR="00D75867" w:rsidRDefault="00D75867">
      <w:pPr>
        <w:pStyle w:val="FootnoteText"/>
      </w:pPr>
      <w:r>
        <w:rPr>
          <w:rStyle w:val="FootnoteReference"/>
        </w:rPr>
        <w:footnoteRef/>
      </w:r>
      <w:r>
        <w:t xml:space="preserve"> We are indebted to Caoilfh</w:t>
      </w:r>
      <w:r w:rsidR="000C1C22">
        <w:t>i</w:t>
      </w:r>
      <w:r>
        <w:t>onn Gallagher QC for an earlier version of these notes.</w:t>
      </w:r>
    </w:p>
  </w:footnote>
  <w:footnote w:id="3">
    <w:p w14:paraId="0067E055" w14:textId="481A36A4" w:rsidR="00D75867" w:rsidRDefault="00D75867" w:rsidP="009D0ADD">
      <w:pPr>
        <w:pStyle w:val="FootnoteText"/>
        <w:ind w:left="0" w:firstLine="0"/>
        <w:jc w:val="left"/>
      </w:pPr>
      <w:r>
        <w:rPr>
          <w:rStyle w:val="FootnoteReference"/>
        </w:rPr>
        <w:footnoteRef/>
      </w:r>
      <w:r>
        <w:t xml:space="preserve"> For details of fees, see </w:t>
      </w:r>
      <w:hyperlink r:id="rId1" w:history="1">
        <w:r w:rsidRPr="00687B9A">
          <w:rPr>
            <w:rStyle w:val="Hyperlink"/>
          </w:rPr>
          <w:t>https://assets.publishing.service.gov.uk/government/uploads/system/uploads/attachment_data/file/540585/administrative-court-fee-increase.pdf</w:t>
        </w:r>
      </w:hyperlink>
      <w:r>
        <w:t>. The currently payable continuation fee is £770.</w:t>
      </w:r>
    </w:p>
  </w:footnote>
  <w:footnote w:id="4">
    <w:p w14:paraId="1DF7DA1C" w14:textId="77777777" w:rsidR="00D75867" w:rsidRDefault="00D75867" w:rsidP="00E94324">
      <w:pPr>
        <w:pStyle w:val="FootnoteText"/>
      </w:pPr>
      <w:r>
        <w:rPr>
          <w:rStyle w:val="FootnoteReference"/>
        </w:rPr>
        <w:footnoteRef/>
      </w:r>
      <w:r>
        <w:t xml:space="preserve"> See e.g. </w:t>
      </w:r>
      <w:r>
        <w:rPr>
          <w:i/>
        </w:rPr>
        <w:t xml:space="preserve">R (Bredenkamp) v FCO </w:t>
      </w:r>
      <w:r>
        <w:t xml:space="preserve">[2013] EWHC Admin 2480. </w:t>
      </w:r>
    </w:p>
  </w:footnote>
  <w:footnote w:id="5">
    <w:p w14:paraId="1DF7DA1D" w14:textId="77777777" w:rsidR="00D75867" w:rsidRDefault="00D75867" w:rsidP="00E94324">
      <w:pPr>
        <w:pStyle w:val="FootnoteText"/>
      </w:pPr>
      <w:r>
        <w:rPr>
          <w:rStyle w:val="FootnoteReference"/>
        </w:rPr>
        <w:footnoteRef/>
      </w:r>
      <w:r>
        <w:t xml:space="preserve"> This was a claim for false imprisonment but the remarks were general. In the event there was no live evidence and the Claimant’s statements were treated with a “measure of generosity” because they had not been challenged. </w:t>
      </w:r>
    </w:p>
  </w:footnote>
  <w:footnote w:id="6">
    <w:p w14:paraId="1DF7DA1E" w14:textId="77777777" w:rsidR="00D75867" w:rsidRDefault="00D75867" w:rsidP="0068488D">
      <w:pPr>
        <w:pStyle w:val="FootnoteText"/>
        <w:ind w:left="0" w:firstLine="0"/>
      </w:pPr>
      <w:r>
        <w:rPr>
          <w:rStyle w:val="FootnoteReference"/>
        </w:rPr>
        <w:footnoteRef/>
      </w:r>
      <w:r>
        <w:t xml:space="preserve"> In </w:t>
      </w:r>
      <w:r w:rsidRPr="007F1AE0">
        <w:rPr>
          <w:i/>
        </w:rPr>
        <w:t>McVey</w:t>
      </w:r>
      <w:r>
        <w:t xml:space="preserve"> an issue about the entitlement of a person to be an interested party was dealt with on paper only - </w:t>
      </w:r>
      <w:r w:rsidRPr="0068488D">
        <w:t>[2010] EWHC 1225 (Admin); [2010] C.P. Rep. 38.</w:t>
      </w:r>
    </w:p>
  </w:footnote>
  <w:footnote w:id="7">
    <w:p w14:paraId="1DF7DA1F" w14:textId="77777777" w:rsidR="00D75867" w:rsidRDefault="00D75867" w:rsidP="00E94324">
      <w:pPr>
        <w:pStyle w:val="FootnoteText"/>
      </w:pPr>
      <w:r>
        <w:rPr>
          <w:rStyle w:val="FootnoteReference"/>
        </w:rPr>
        <w:footnoteRef/>
      </w:r>
      <w:r>
        <w:t xml:space="preserve"> Note that a decision given on the papers in this way is a final decision so that any challenge is by appeal and not to restore the matter for an oral hearing -  </w:t>
      </w:r>
      <w:r w:rsidRPr="00782E60">
        <w:rPr>
          <w:i/>
        </w:rPr>
        <w:t>R (Jones) v Nottingham CC</w:t>
      </w:r>
      <w:r>
        <w:t xml:space="preserve"> [2009] EWHC 271 (Admin) Collins J. See also </w:t>
      </w:r>
      <w:r w:rsidRPr="00A730DF">
        <w:rPr>
          <w:i/>
        </w:rPr>
        <w:t>Bahta</w:t>
      </w:r>
      <w:r>
        <w:t xml:space="preserve"> (below) confirming that an appeal does lie and the decision is not final. </w:t>
      </w:r>
    </w:p>
  </w:footnote>
  <w:footnote w:id="8">
    <w:p w14:paraId="1DF7DA20" w14:textId="77777777" w:rsidR="00D75867" w:rsidRDefault="00D75867" w:rsidP="00E94324">
      <w:pPr>
        <w:pStyle w:val="FootnoteText"/>
      </w:pPr>
      <w:r>
        <w:rPr>
          <w:rStyle w:val="FootnoteReference"/>
        </w:rPr>
        <w:footnoteRef/>
      </w:r>
      <w:r>
        <w:t xml:space="preserve"> See also a (2004 but still helpful) guide at </w:t>
      </w:r>
      <w:hyperlink r:id="rId2" w:history="1">
        <w:r w:rsidRPr="00FD6DBC">
          <w:rPr>
            <w:rStyle w:val="Hyperlink"/>
          </w:rPr>
          <w:t>http://www.biicl.org/files/2223_skeleton_arguments_guide.pdf</w:t>
        </w:r>
      </w:hyperlink>
    </w:p>
    <w:p w14:paraId="1DF7DA21" w14:textId="77777777" w:rsidR="00D75867" w:rsidRDefault="00D75867" w:rsidP="00E94324">
      <w:pPr>
        <w:pStyle w:val="FootnoteText"/>
      </w:pPr>
    </w:p>
  </w:footnote>
  <w:footnote w:id="9">
    <w:p w14:paraId="33B5BF03" w14:textId="7CE72E90" w:rsidR="00A05ED4" w:rsidRPr="00911F40" w:rsidRDefault="00A05ED4">
      <w:pPr>
        <w:pStyle w:val="FootnoteText"/>
        <w:rPr>
          <w:lang w:val="en-US"/>
        </w:rPr>
      </w:pPr>
      <w:r>
        <w:rPr>
          <w:rStyle w:val="FootnoteReference"/>
        </w:rPr>
        <w:footnoteRef/>
      </w:r>
      <w:r>
        <w:t xml:space="preserve"> </w:t>
      </w:r>
      <w:r>
        <w:rPr>
          <w:lang w:val="en-US"/>
        </w:rPr>
        <w:t xml:space="preserve">The decision was reversed in the Supreme Court but not so as to affect this point. </w:t>
      </w:r>
    </w:p>
  </w:footnote>
  <w:footnote w:id="10">
    <w:p w14:paraId="1DF7DA22" w14:textId="77777777" w:rsidR="00D75867" w:rsidRDefault="00D75867" w:rsidP="00E94324">
      <w:pPr>
        <w:pStyle w:val="FootnoteText"/>
      </w:pPr>
      <w:r>
        <w:rPr>
          <w:rStyle w:val="FootnoteReference"/>
        </w:rPr>
        <w:footnoteRef/>
      </w:r>
      <w:r>
        <w:t xml:space="preserve"> Subject to the possibility of a leapfrog appeal to the Supreme Court. </w:t>
      </w:r>
    </w:p>
  </w:footnote>
  <w:footnote w:id="11">
    <w:p w14:paraId="1DF7DA23" w14:textId="77777777" w:rsidR="00D75867" w:rsidRDefault="00D75867" w:rsidP="0068488D">
      <w:pPr>
        <w:pStyle w:val="FootnoteText"/>
        <w:ind w:left="0" w:firstLine="0"/>
      </w:pPr>
      <w:r>
        <w:rPr>
          <w:rStyle w:val="FootnoteReference"/>
        </w:rPr>
        <w:footnoteRef/>
      </w:r>
      <w:r>
        <w:t xml:space="preserve"> Compare in a private law context </w:t>
      </w:r>
      <w:r w:rsidRPr="00541B4F">
        <w:rPr>
          <w:i/>
          <w:sz w:val="22"/>
          <w:szCs w:val="22"/>
        </w:rPr>
        <w:t>Budgen v Andrew Gardner Partnership</w:t>
      </w:r>
      <w:r w:rsidRPr="00541B4F">
        <w:rPr>
          <w:sz w:val="22"/>
          <w:szCs w:val="22"/>
        </w:rPr>
        <w:t xml:space="preserve"> [2002] EWCA Civ 1125 </w:t>
      </w:r>
      <w:r>
        <w:rPr>
          <w:sz w:val="22"/>
          <w:szCs w:val="22"/>
        </w:rPr>
        <w:t xml:space="preserve">where the </w:t>
      </w:r>
      <w:r w:rsidRPr="00541B4F">
        <w:rPr>
          <w:sz w:val="22"/>
          <w:szCs w:val="22"/>
        </w:rPr>
        <w:t>judge ordered only 75% of the successful Claimant’s costs because he had lost on one issue that took up a substantial amount of time at trial.</w:t>
      </w:r>
    </w:p>
  </w:footnote>
  <w:footnote w:id="12">
    <w:p w14:paraId="1DF7DA24" w14:textId="77777777" w:rsidR="00D75867" w:rsidRDefault="00D75867" w:rsidP="0068488D">
      <w:pPr>
        <w:pStyle w:val="FootnoteText"/>
        <w:ind w:left="0" w:firstLine="0"/>
      </w:pPr>
      <w:r>
        <w:rPr>
          <w:rStyle w:val="FootnoteReference"/>
        </w:rPr>
        <w:footnoteRef/>
      </w:r>
      <w:r>
        <w:t xml:space="preserve"> </w:t>
      </w:r>
      <w:r w:rsidRPr="0068488D">
        <w:rPr>
          <w:i/>
        </w:rPr>
        <w:t xml:space="preserve">R ota A, B, X, Y v East Sussex </w:t>
      </w:r>
      <w:r w:rsidRPr="0068488D">
        <w:t xml:space="preserve">CC 8 CCLR 228 for an example of this in a complex case – 50% costs awarded to reflect success on one issue and a “victory on points” on another. </w:t>
      </w:r>
    </w:p>
  </w:footnote>
  <w:footnote w:id="13">
    <w:p w14:paraId="1DF7DA25" w14:textId="39655ADD" w:rsidR="00D75867" w:rsidRDefault="00D75867" w:rsidP="0068488D">
      <w:pPr>
        <w:pStyle w:val="FootnoteText"/>
        <w:ind w:left="0" w:firstLine="0"/>
      </w:pPr>
      <w:r>
        <w:rPr>
          <w:rStyle w:val="FootnoteReference"/>
        </w:rPr>
        <w:footnoteRef/>
      </w:r>
      <w:r>
        <w:t xml:space="preserve"> </w:t>
      </w:r>
      <w:r w:rsidRPr="0068488D">
        <w:rPr>
          <w:i/>
        </w:rPr>
        <w:t>Terry v LB Tower Hamlets</w:t>
      </w:r>
      <w:r>
        <w:rPr>
          <w:i/>
        </w:rPr>
        <w:t>,</w:t>
      </w:r>
      <w:r w:rsidRPr="00994FE1">
        <w:t xml:space="preserve"> 15</w:t>
      </w:r>
      <w:r w:rsidRPr="00994FE1">
        <w:rPr>
          <w:vertAlign w:val="superscript"/>
        </w:rPr>
        <w:t>th</w:t>
      </w:r>
      <w:r w:rsidRPr="00994FE1">
        <w:t xml:space="preserve"> Dec</w:t>
      </w:r>
      <w:r>
        <w:t>ember</w:t>
      </w:r>
      <w:r w:rsidRPr="0068488D">
        <w:t xml:space="preserve"> 2003 QBD. Mismanagement of the proceedings including repeated failure to meet time limits.</w:t>
      </w:r>
      <w:r>
        <w:rPr>
          <w:sz w:val="18"/>
          <w:szCs w:val="22"/>
        </w:rPr>
        <w:t xml:space="preserve"> </w:t>
      </w:r>
    </w:p>
  </w:footnote>
  <w:footnote w:id="14">
    <w:p w14:paraId="1DF7DA26" w14:textId="77777777" w:rsidR="00D75867" w:rsidRPr="00EF79B7" w:rsidRDefault="00D75867" w:rsidP="0068488D">
      <w:pPr>
        <w:jc w:val="both"/>
        <w:rPr>
          <w:rFonts w:ascii="Times New Roman" w:hAnsi="Times New Roman"/>
          <w:sz w:val="20"/>
          <w:szCs w:val="19"/>
          <w:lang w:eastAsia="en-GB"/>
        </w:rPr>
      </w:pPr>
      <w:r w:rsidRPr="00EF79B7">
        <w:rPr>
          <w:rStyle w:val="FootnoteReference"/>
          <w:rFonts w:ascii="Times New Roman" w:hAnsi="Times New Roman"/>
          <w:sz w:val="20"/>
        </w:rPr>
        <w:footnoteRef/>
      </w:r>
      <w:r w:rsidRPr="00EF79B7">
        <w:rPr>
          <w:rFonts w:ascii="Times New Roman" w:hAnsi="Times New Roman"/>
          <w:sz w:val="20"/>
        </w:rPr>
        <w:t xml:space="preserve"> Contrast </w:t>
      </w:r>
      <w:r w:rsidRPr="0068488D">
        <w:rPr>
          <w:rFonts w:ascii="Times New Roman" w:hAnsi="Times New Roman"/>
          <w:i/>
          <w:sz w:val="20"/>
        </w:rPr>
        <w:t xml:space="preserve">R (HE) v SSHD </w:t>
      </w:r>
      <w:r w:rsidRPr="00EF79B7">
        <w:rPr>
          <w:rFonts w:ascii="Times New Roman" w:hAnsi="Times New Roman"/>
          <w:sz w:val="20"/>
        </w:rPr>
        <w:t xml:space="preserve">[2013] EWCA Civ 1846 where a detainee was released in response to an indication by the court with </w:t>
      </w:r>
      <w:r w:rsidRPr="0068488D">
        <w:rPr>
          <w:rFonts w:ascii="Times New Roman" w:hAnsi="Times New Roman"/>
          <w:i/>
          <w:sz w:val="20"/>
        </w:rPr>
        <w:t>R (Abraha) v SSHD</w:t>
      </w:r>
      <w:r w:rsidRPr="00EF79B7">
        <w:rPr>
          <w:rFonts w:ascii="Times New Roman" w:hAnsi="Times New Roman"/>
          <w:sz w:val="20"/>
        </w:rPr>
        <w:t xml:space="preserve"> </w:t>
      </w:r>
      <w:r w:rsidRPr="00EF79B7">
        <w:rPr>
          <w:rFonts w:ascii="Times New Roman" w:hAnsi="Times New Roman"/>
          <w:sz w:val="20"/>
          <w:szCs w:val="19"/>
          <w:lang w:eastAsia="en-GB"/>
        </w:rPr>
        <w:t xml:space="preserve">[2014] EWHC 3372 (Admin) where they were released the day before the hearing but without any compromise. Costs were ordered in the first case but not the second. </w:t>
      </w:r>
    </w:p>
    <w:p w14:paraId="1DF7DA27" w14:textId="77777777" w:rsidR="00D75867" w:rsidRPr="00E93FF3" w:rsidRDefault="00D75867" w:rsidP="00E94324">
      <w:pPr>
        <w:pStyle w:val="FootnoteText"/>
        <w:rPr>
          <w:i/>
        </w:rPr>
      </w:pPr>
    </w:p>
  </w:footnote>
  <w:footnote w:id="15">
    <w:p w14:paraId="1DF7DA28" w14:textId="77777777" w:rsidR="00D75867" w:rsidRPr="0068488D" w:rsidRDefault="00D75867" w:rsidP="00E94324">
      <w:pPr>
        <w:autoSpaceDE w:val="0"/>
        <w:autoSpaceDN w:val="0"/>
        <w:adjustRightInd w:val="0"/>
        <w:snapToGrid w:val="0"/>
        <w:rPr>
          <w:i/>
          <w:color w:val="000000"/>
          <w:sz w:val="21"/>
        </w:rPr>
      </w:pPr>
      <w:r>
        <w:rPr>
          <w:rStyle w:val="FootnoteReference"/>
        </w:rPr>
        <w:footnoteRef/>
      </w:r>
      <w:r>
        <w:t xml:space="preserve"> </w:t>
      </w:r>
      <w:r w:rsidRPr="0068488D">
        <w:rPr>
          <w:i/>
          <w:color w:val="000000"/>
          <w:sz w:val="21"/>
        </w:rPr>
        <w:t xml:space="preserve">Bolton Metropolitan District Council v Secretary of State for the Environment </w:t>
      </w:r>
      <w:r w:rsidRPr="0068488D">
        <w:rPr>
          <w:color w:val="000000"/>
          <w:sz w:val="21"/>
        </w:rPr>
        <w:t>[1996] 1 All ER 184, [1995] 1 WLR 1176, HL.</w:t>
      </w:r>
    </w:p>
    <w:p w14:paraId="1DF7DA29" w14:textId="77777777" w:rsidR="00D75867" w:rsidRDefault="00D75867" w:rsidP="00E94324">
      <w:pPr>
        <w:autoSpaceDE w:val="0"/>
        <w:autoSpaceDN w:val="0"/>
        <w:adjustRightInd w:val="0"/>
        <w:snapToGri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10ED" w14:textId="77777777" w:rsidR="00D75867" w:rsidRDefault="00D75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9BD"/>
    <w:multiLevelType w:val="hybridMultilevel"/>
    <w:tmpl w:val="76D08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316FA"/>
    <w:multiLevelType w:val="hybridMultilevel"/>
    <w:tmpl w:val="422041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A41B5E"/>
    <w:multiLevelType w:val="hybridMultilevel"/>
    <w:tmpl w:val="A9BC3B4C"/>
    <w:lvl w:ilvl="0" w:tplc="8FEA7B18">
      <w:start w:val="5"/>
      <w:numFmt w:val="bullet"/>
      <w:lvlText w:val="-"/>
      <w:lvlJc w:val="left"/>
      <w:pPr>
        <w:ind w:left="2700" w:hanging="360"/>
      </w:pPr>
      <w:rPr>
        <w:rFonts w:ascii="Tahoma" w:eastAsia="Times New Roman" w:hAnsi="Tahoma"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EBF3F85"/>
    <w:multiLevelType w:val="multilevel"/>
    <w:tmpl w:val="11B4961C"/>
    <w:numStyleLink w:val="ListBullets"/>
  </w:abstractNum>
  <w:abstractNum w:abstractNumId="4" w15:restartNumberingAfterBreak="0">
    <w:nsid w:val="25863F72"/>
    <w:multiLevelType w:val="hybridMultilevel"/>
    <w:tmpl w:val="8190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7646C3"/>
    <w:multiLevelType w:val="hybridMultilevel"/>
    <w:tmpl w:val="52B45A92"/>
    <w:lvl w:ilvl="0" w:tplc="C9FEC6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1A383E"/>
    <w:multiLevelType w:val="hybridMultilevel"/>
    <w:tmpl w:val="A7921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A939E1"/>
    <w:multiLevelType w:val="hybridMultilevel"/>
    <w:tmpl w:val="5DD2D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F9223F"/>
    <w:multiLevelType w:val="hybridMultilevel"/>
    <w:tmpl w:val="0C988C36"/>
    <w:lvl w:ilvl="0" w:tplc="07EAD68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079A7"/>
    <w:multiLevelType w:val="multilevel"/>
    <w:tmpl w:val="CBA2ADD6"/>
    <w:numStyleLink w:val="ListHeadings"/>
  </w:abstractNum>
  <w:abstractNum w:abstractNumId="10" w15:restartNumberingAfterBreak="0">
    <w:nsid w:val="40E97AC9"/>
    <w:multiLevelType w:val="hybridMultilevel"/>
    <w:tmpl w:val="6CAA3FFE"/>
    <w:lvl w:ilvl="0" w:tplc="87D6825A">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C70A0"/>
    <w:multiLevelType w:val="hybridMultilevel"/>
    <w:tmpl w:val="70665A04"/>
    <w:lvl w:ilvl="0" w:tplc="ABC40E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C636B"/>
    <w:multiLevelType w:val="multilevel"/>
    <w:tmpl w:val="D4E87CEA"/>
    <w:styleLink w:val="ListNumbers"/>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27"/>
      <w:numFmt w:val="lowerLetter"/>
      <w:lvlText w:val="(%4)"/>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3" w15:restartNumberingAfterBreak="0">
    <w:nsid w:val="45E81219"/>
    <w:multiLevelType w:val="hybridMultilevel"/>
    <w:tmpl w:val="BE4279B6"/>
    <w:lvl w:ilvl="0" w:tplc="4134D318">
      <w:start w:val="3"/>
      <w:numFmt w:val="bullet"/>
      <w:lvlText w:val="-"/>
      <w:lvlJc w:val="left"/>
      <w:pPr>
        <w:ind w:left="320" w:hanging="68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B604E5"/>
    <w:multiLevelType w:val="multilevel"/>
    <w:tmpl w:val="CBA2ADD6"/>
    <w:styleLink w:val="ListHeadings"/>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decimal"/>
      <w:pStyle w:val="Heading3"/>
      <w:lvlText w:val="%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701" w:hanging="567"/>
      </w:pPr>
      <w:rPr>
        <w:rFonts w:hint="default"/>
      </w:rPr>
    </w:lvl>
    <w:lvl w:ilvl="5">
      <w:start w:val="1"/>
      <w:numFmt w:val="none"/>
      <w:lvlText w:val=""/>
      <w:lvlJc w:val="left"/>
      <w:pPr>
        <w:ind w:left="1701" w:hanging="1701"/>
      </w:pPr>
      <w:rPr>
        <w:rFonts w:hint="default"/>
      </w:rPr>
    </w:lvl>
    <w:lvl w:ilvl="6">
      <w:start w:val="1"/>
      <w:numFmt w:val="none"/>
      <w:lvlText w:val=""/>
      <w:lvlJc w:val="left"/>
      <w:pPr>
        <w:ind w:left="1701" w:hanging="1701"/>
      </w:pPr>
      <w:rPr>
        <w:rFonts w:hint="default"/>
      </w:rPr>
    </w:lvl>
    <w:lvl w:ilvl="7">
      <w:start w:val="1"/>
      <w:numFmt w:val="none"/>
      <w:lvlText w:val=""/>
      <w:lvlJc w:val="left"/>
      <w:pPr>
        <w:ind w:left="1701" w:hanging="1701"/>
      </w:pPr>
      <w:rPr>
        <w:rFonts w:hint="default"/>
      </w:rPr>
    </w:lvl>
    <w:lvl w:ilvl="8">
      <w:start w:val="1"/>
      <w:numFmt w:val="none"/>
      <w:lvlText w:val=""/>
      <w:lvlJc w:val="left"/>
      <w:pPr>
        <w:ind w:left="1701" w:hanging="1701"/>
      </w:pPr>
      <w:rPr>
        <w:rFonts w:hint="default"/>
      </w:rPr>
    </w:lvl>
  </w:abstractNum>
  <w:abstractNum w:abstractNumId="15" w15:restartNumberingAfterBreak="0">
    <w:nsid w:val="47375971"/>
    <w:multiLevelType w:val="hybridMultilevel"/>
    <w:tmpl w:val="1214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B3687"/>
    <w:multiLevelType w:val="hybridMultilevel"/>
    <w:tmpl w:val="0B703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CB6CFD"/>
    <w:multiLevelType w:val="hybridMultilevel"/>
    <w:tmpl w:val="C78A7C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D2F57A7"/>
    <w:multiLevelType w:val="hybridMultilevel"/>
    <w:tmpl w:val="FA26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16184"/>
    <w:multiLevelType w:val="hybridMultilevel"/>
    <w:tmpl w:val="8D965A10"/>
    <w:lvl w:ilvl="0" w:tplc="4798EACE">
      <w:start w:val="3"/>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4ED3D7C"/>
    <w:multiLevelType w:val="hybridMultilevel"/>
    <w:tmpl w:val="52C2658C"/>
    <w:lvl w:ilvl="0" w:tplc="07E2E744">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A05E2"/>
    <w:multiLevelType w:val="hybridMultilevel"/>
    <w:tmpl w:val="A07637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70D20E2"/>
    <w:multiLevelType w:val="hybridMultilevel"/>
    <w:tmpl w:val="52C2658C"/>
    <w:lvl w:ilvl="0" w:tplc="07E2E744">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2663E"/>
    <w:multiLevelType w:val="hybridMultilevel"/>
    <w:tmpl w:val="2CDE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D6FBA"/>
    <w:multiLevelType w:val="hybridMultilevel"/>
    <w:tmpl w:val="12A81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4A3195"/>
    <w:multiLevelType w:val="multilevel"/>
    <w:tmpl w:val="11B4961C"/>
    <w:styleLink w:val="ListBullets"/>
    <w:lvl w:ilvl="0">
      <w:start w:val="1"/>
      <w:numFmt w:val="bullet"/>
      <w:pStyle w:val="ListBullet"/>
      <w:lvlText w:val=""/>
      <w:lvlJc w:val="left"/>
      <w:pPr>
        <w:ind w:left="1134" w:hanging="567"/>
      </w:pPr>
      <w:rPr>
        <w:rFonts w:ascii="Symbol" w:hAnsi="Symbol" w:hint="default"/>
      </w:rPr>
    </w:lvl>
    <w:lvl w:ilvl="1">
      <w:start w:val="1"/>
      <w:numFmt w:val="bullet"/>
      <w:lvlText w:val=""/>
      <w:lvlJc w:val="left"/>
      <w:pPr>
        <w:ind w:left="1701" w:hanging="567"/>
      </w:pPr>
      <w:rPr>
        <w:rFonts w:ascii="Symbol" w:hAnsi="Symbol" w:hint="default"/>
      </w:rPr>
    </w:lvl>
    <w:lvl w:ilvl="2">
      <w:start w:val="1"/>
      <w:numFmt w:val="bullet"/>
      <w:lvlText w:val=""/>
      <w:lvlJc w:val="left"/>
      <w:pPr>
        <w:ind w:left="2268" w:hanging="567"/>
      </w:pPr>
      <w:rPr>
        <w:rFonts w:ascii="Symbol" w:hAnsi="Symbol" w:hint="default"/>
      </w:rPr>
    </w:lvl>
    <w:lvl w:ilvl="3">
      <w:start w:val="1"/>
      <w:numFmt w:val="bullet"/>
      <w:lvlText w:val=""/>
      <w:lvlJc w:val="left"/>
      <w:pPr>
        <w:ind w:left="2835" w:hanging="567"/>
      </w:pPr>
      <w:rPr>
        <w:rFonts w:ascii="Symbol" w:hAnsi="Symbol" w:hint="default"/>
      </w:rPr>
    </w:lvl>
    <w:lvl w:ilvl="4">
      <w:start w:val="1"/>
      <w:numFmt w:val="bullet"/>
      <w:lvlText w:val=""/>
      <w:lvlJc w:val="left"/>
      <w:pPr>
        <w:ind w:left="3402" w:hanging="567"/>
      </w:pPr>
      <w:rPr>
        <w:rFonts w:ascii="Symbol" w:hAnsi="Symbol" w:hint="default"/>
      </w:rPr>
    </w:lvl>
    <w:lvl w:ilvl="5">
      <w:start w:val="1"/>
      <w:numFmt w:val="bullet"/>
      <w:lvlText w:val=""/>
      <w:lvlJc w:val="left"/>
      <w:pPr>
        <w:ind w:left="3969" w:hanging="567"/>
      </w:pPr>
      <w:rPr>
        <w:rFonts w:ascii="Symbol" w:hAnsi="Symbol" w:hint="default"/>
      </w:rPr>
    </w:lvl>
    <w:lvl w:ilvl="6">
      <w:start w:val="1"/>
      <w:numFmt w:val="bullet"/>
      <w:lvlText w:val=""/>
      <w:lvlJc w:val="left"/>
      <w:pPr>
        <w:ind w:left="4536" w:hanging="567"/>
      </w:pPr>
      <w:rPr>
        <w:rFonts w:ascii="Symbol" w:hAnsi="Symbol" w:hint="default"/>
      </w:rPr>
    </w:lvl>
    <w:lvl w:ilvl="7">
      <w:start w:val="1"/>
      <w:numFmt w:val="bullet"/>
      <w:lvlText w:val=""/>
      <w:lvlJc w:val="left"/>
      <w:pPr>
        <w:ind w:left="5103" w:hanging="567"/>
      </w:pPr>
      <w:rPr>
        <w:rFonts w:ascii="Symbol" w:hAnsi="Symbol" w:hint="default"/>
      </w:rPr>
    </w:lvl>
    <w:lvl w:ilvl="8">
      <w:start w:val="1"/>
      <w:numFmt w:val="bullet"/>
      <w:lvlText w:val=""/>
      <w:lvlJc w:val="left"/>
      <w:pPr>
        <w:ind w:left="5670" w:hanging="567"/>
      </w:pPr>
      <w:rPr>
        <w:rFonts w:ascii="Symbol" w:hAnsi="Symbol" w:hint="default"/>
        <w:color w:val="auto"/>
      </w:rPr>
    </w:lvl>
  </w:abstractNum>
  <w:abstractNum w:abstractNumId="26" w15:restartNumberingAfterBreak="0">
    <w:nsid w:val="75FD41AA"/>
    <w:multiLevelType w:val="hybridMultilevel"/>
    <w:tmpl w:val="CDBC60CA"/>
    <w:lvl w:ilvl="0" w:tplc="4798EACE">
      <w:start w:val="3"/>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C264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565894"/>
    <w:multiLevelType w:val="hybridMultilevel"/>
    <w:tmpl w:val="BB264FF4"/>
    <w:lvl w:ilvl="0" w:tplc="0409000F">
      <w:start w:val="1"/>
      <w:numFmt w:val="decimal"/>
      <w:lvlText w:val="%1."/>
      <w:lvlJc w:val="left"/>
      <w:pPr>
        <w:tabs>
          <w:tab w:val="num" w:pos="502"/>
        </w:tabs>
        <w:ind w:left="502" w:hanging="360"/>
      </w:pPr>
      <w:rPr>
        <w:rFonts w:cs="Times New Roman"/>
      </w:rPr>
    </w:lvl>
    <w:lvl w:ilvl="1" w:tplc="7D8840F0">
      <w:start w:val="1"/>
      <w:numFmt w:val="lowerLetter"/>
      <w:lvlText w:val="%2."/>
      <w:lvlJc w:val="left"/>
      <w:pPr>
        <w:tabs>
          <w:tab w:val="num" w:pos="1440"/>
        </w:tabs>
        <w:ind w:left="1440" w:hanging="360"/>
      </w:pPr>
      <w:rPr>
        <w:rFonts w:cs="Times New Roman" w:hint="default"/>
      </w:rPr>
    </w:lvl>
    <w:lvl w:ilvl="2" w:tplc="D948533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5"/>
  </w:num>
  <w:num w:numId="3">
    <w:abstractNumId w:val="12"/>
    <w:lvlOverride w:ilvl="0">
      <w:lvl w:ilvl="0">
        <w:start w:val="1"/>
        <w:numFmt w:val="decimal"/>
        <w:pStyle w:val="ListNumber"/>
        <w:lvlText w:val="%1."/>
        <w:lvlJc w:val="left"/>
        <w:pPr>
          <w:ind w:left="567" w:hanging="567"/>
        </w:pPr>
        <w:rPr>
          <w:rFonts w:hint="default"/>
          <w:b w:val="0"/>
          <w:i w:val="0"/>
        </w:rPr>
      </w:lvl>
    </w:lvlOverride>
    <w:lvlOverride w:ilvl="1">
      <w:lvl w:ilvl="1">
        <w:start w:val="1"/>
        <w:numFmt w:val="lowerLetter"/>
        <w:lvlText w:val="(%2)"/>
        <w:lvlJc w:val="left"/>
        <w:pPr>
          <w:ind w:left="1134" w:hanging="567"/>
        </w:pPr>
        <w:rPr>
          <w:rFonts w:hint="default"/>
          <w:b w:val="0"/>
          <w:i w:val="0"/>
        </w:rPr>
      </w:lvl>
    </w:lvlOverride>
    <w:lvlOverride w:ilvl="2">
      <w:lvl w:ilvl="2">
        <w:start w:val="1"/>
        <w:numFmt w:val="lowerRoman"/>
        <w:lvlText w:val="(%3)"/>
        <w:lvlJc w:val="left"/>
        <w:pPr>
          <w:ind w:left="1701" w:hanging="567"/>
        </w:pPr>
        <w:rPr>
          <w:rFonts w:hint="default"/>
        </w:rPr>
      </w:lvl>
    </w:lvlOverride>
    <w:lvlOverride w:ilvl="3">
      <w:lvl w:ilvl="3">
        <w:start w:val="27"/>
        <w:numFmt w:val="lowerLetter"/>
        <w:lvlText w:val="(%4)"/>
        <w:lvlJc w:val="left"/>
        <w:pPr>
          <w:ind w:left="2268" w:hanging="567"/>
        </w:pPr>
        <w:rPr>
          <w:rFonts w:hint="default"/>
        </w:rPr>
      </w:lvl>
    </w:lvlOverride>
    <w:lvlOverride w:ilvl="4">
      <w:lvl w:ilvl="4">
        <w:start w:val="1"/>
        <w:numFmt w:val="none"/>
        <w:lvlText w:val=""/>
        <w:lvlJc w:val="left"/>
        <w:pPr>
          <w:ind w:left="2835" w:hanging="567"/>
        </w:pPr>
        <w:rPr>
          <w:rFonts w:hint="default"/>
        </w:rPr>
      </w:lvl>
    </w:lvlOverride>
    <w:lvlOverride w:ilvl="5">
      <w:lvl w:ilvl="5">
        <w:start w:val="1"/>
        <w:numFmt w:val="none"/>
        <w:lvlText w:val=""/>
        <w:lvlJc w:val="right"/>
        <w:pPr>
          <w:ind w:left="3402" w:hanging="567"/>
        </w:pPr>
        <w:rPr>
          <w:rFonts w:hint="default"/>
        </w:rPr>
      </w:lvl>
    </w:lvlOverride>
    <w:lvlOverride w:ilvl="6">
      <w:lvl w:ilvl="6">
        <w:start w:val="1"/>
        <w:numFmt w:val="none"/>
        <w:lvlText w:val=""/>
        <w:lvlJc w:val="left"/>
        <w:pPr>
          <w:ind w:left="3969" w:hanging="567"/>
        </w:pPr>
        <w:rPr>
          <w:rFonts w:hint="default"/>
        </w:rPr>
      </w:lvl>
    </w:lvlOverride>
    <w:lvlOverride w:ilvl="7">
      <w:lvl w:ilvl="7">
        <w:start w:val="1"/>
        <w:numFmt w:val="none"/>
        <w:lvlText w:val=""/>
        <w:lvlJc w:val="left"/>
        <w:pPr>
          <w:ind w:left="4536" w:hanging="567"/>
        </w:pPr>
        <w:rPr>
          <w:rFonts w:hint="default"/>
        </w:rPr>
      </w:lvl>
    </w:lvlOverride>
    <w:lvlOverride w:ilvl="8">
      <w:lvl w:ilvl="8">
        <w:start w:val="1"/>
        <w:numFmt w:val="none"/>
        <w:lvlText w:val=""/>
        <w:lvlJc w:val="right"/>
        <w:pPr>
          <w:ind w:left="5103" w:hanging="567"/>
        </w:pPr>
        <w:rPr>
          <w:rFonts w:hint="default"/>
        </w:rPr>
      </w:lvl>
    </w:lvlOverride>
  </w:num>
  <w:num w:numId="4">
    <w:abstractNumId w:val="9"/>
    <w:lvlOverride w:ilvl="0">
      <w:lvl w:ilvl="0">
        <w:start w:val="1"/>
        <w:numFmt w:val="upperRoman"/>
        <w:pStyle w:val="Heading1"/>
        <w:lvlText w:val="%1."/>
        <w:lvlJc w:val="left"/>
        <w:pPr>
          <w:ind w:left="567" w:hanging="567"/>
        </w:pPr>
        <w:rPr>
          <w:rFonts w:hint="default"/>
        </w:rPr>
      </w:lvl>
    </w:lvlOverride>
    <w:lvlOverride w:ilvl="1">
      <w:lvl w:ilvl="1">
        <w:start w:val="1"/>
        <w:numFmt w:val="upperLetter"/>
        <w:pStyle w:val="Heading2"/>
        <w:lvlText w:val="%2."/>
        <w:lvlJc w:val="left"/>
        <w:pPr>
          <w:ind w:left="567" w:hanging="567"/>
        </w:pPr>
        <w:rPr>
          <w:rFonts w:hint="default"/>
        </w:rPr>
      </w:lvl>
    </w:lvlOverride>
    <w:lvlOverride w:ilvl="2">
      <w:lvl w:ilvl="2">
        <w:start w:val="1"/>
        <w:numFmt w:val="decimal"/>
        <w:pStyle w:val="Heading3"/>
        <w:lvlText w:val="%3."/>
        <w:lvlJc w:val="left"/>
        <w:pPr>
          <w:ind w:left="567" w:hanging="567"/>
        </w:pPr>
        <w:rPr>
          <w:rFonts w:hint="default"/>
        </w:rPr>
      </w:lvl>
    </w:lvlOverride>
    <w:lvlOverride w:ilvl="3">
      <w:lvl w:ilvl="3">
        <w:start w:val="1"/>
        <w:numFmt w:val="lowerLetter"/>
        <w:pStyle w:val="Heading4"/>
        <w:lvlText w:val="(%4)"/>
        <w:lvlJc w:val="left"/>
        <w:pPr>
          <w:ind w:left="1134" w:hanging="567"/>
        </w:pPr>
        <w:rPr>
          <w:rFonts w:hint="default"/>
        </w:rPr>
      </w:lvl>
    </w:lvlOverride>
    <w:lvlOverride w:ilvl="4">
      <w:lvl w:ilvl="4">
        <w:start w:val="1"/>
        <w:numFmt w:val="lowerRoman"/>
        <w:pStyle w:val="Heading5"/>
        <w:lvlText w:val="(%5)"/>
        <w:lvlJc w:val="left"/>
        <w:pPr>
          <w:ind w:left="1701" w:hanging="567"/>
        </w:pPr>
        <w:rPr>
          <w:rFonts w:hint="default"/>
        </w:rPr>
      </w:lvl>
    </w:lvlOverride>
    <w:lvlOverride w:ilvl="5">
      <w:lvl w:ilvl="5">
        <w:start w:val="1"/>
        <w:numFmt w:val="none"/>
        <w:lvlText w:val=""/>
        <w:lvlJc w:val="left"/>
        <w:pPr>
          <w:ind w:left="1701" w:hanging="1701"/>
        </w:pPr>
        <w:rPr>
          <w:rFonts w:hint="default"/>
        </w:rPr>
      </w:lvl>
    </w:lvlOverride>
    <w:lvlOverride w:ilvl="6">
      <w:lvl w:ilvl="6">
        <w:start w:val="1"/>
        <w:numFmt w:val="none"/>
        <w:lvlText w:val=""/>
        <w:lvlJc w:val="left"/>
        <w:pPr>
          <w:ind w:left="1701" w:hanging="1701"/>
        </w:pPr>
        <w:rPr>
          <w:rFonts w:hint="default"/>
        </w:rPr>
      </w:lvl>
    </w:lvlOverride>
    <w:lvlOverride w:ilvl="7">
      <w:lvl w:ilvl="7">
        <w:start w:val="1"/>
        <w:numFmt w:val="none"/>
        <w:lvlText w:val=""/>
        <w:lvlJc w:val="left"/>
        <w:pPr>
          <w:ind w:left="1701" w:hanging="1701"/>
        </w:pPr>
        <w:rPr>
          <w:rFonts w:hint="default"/>
        </w:rPr>
      </w:lvl>
    </w:lvlOverride>
    <w:lvlOverride w:ilvl="8">
      <w:lvl w:ilvl="8">
        <w:start w:val="1"/>
        <w:numFmt w:val="none"/>
        <w:lvlText w:val=""/>
        <w:lvlJc w:val="left"/>
        <w:pPr>
          <w:ind w:left="1701" w:hanging="1701"/>
        </w:pPr>
        <w:rPr>
          <w:rFonts w:hint="default"/>
        </w:rPr>
      </w:lvl>
    </w:lvlOverride>
  </w:num>
  <w:num w:numId="5">
    <w:abstractNumId w:val="3"/>
  </w:num>
  <w:num w:numId="6">
    <w:abstractNumId w:val="12"/>
  </w:num>
  <w:num w:numId="7">
    <w:abstractNumId w:val="12"/>
    <w:lvlOverride w:ilvl="0">
      <w:lvl w:ilvl="0">
        <w:start w:val="1"/>
        <w:numFmt w:val="decimal"/>
        <w:pStyle w:val="ListNumber"/>
        <w:lvlText w:val="%1."/>
        <w:lvlJc w:val="left"/>
        <w:pPr>
          <w:ind w:left="567" w:hanging="567"/>
        </w:pPr>
        <w:rPr>
          <w:rFonts w:hint="default"/>
          <w:i w:val="0"/>
          <w:iCs/>
        </w:rPr>
      </w:lvl>
    </w:lvlOverride>
    <w:lvlOverride w:ilvl="1">
      <w:lvl w:ilvl="1">
        <w:numFmt w:val="decimal"/>
        <w:lvlText w:val=""/>
        <w:lvlJc w:val="left"/>
      </w:lvl>
    </w:lvlOverride>
    <w:lvlOverride w:ilvl="2">
      <w:lvl w:ilvl="2">
        <w:start w:val="1"/>
        <w:numFmt w:val="lowerLetter"/>
        <w:lvlText w:val="(%3)"/>
        <w:lvlJc w:val="left"/>
        <w:pPr>
          <w:ind w:left="1701" w:hanging="567"/>
        </w:pPr>
        <w:rPr>
          <w:rFonts w:asciiTheme="minorHAnsi" w:eastAsiaTheme="minorHAnsi" w:hAnsiTheme="minorHAnsi" w:cstheme="minorBidi"/>
          <w:b w:val="0"/>
          <w:sz w:val="24"/>
        </w:rPr>
      </w:lvl>
    </w:lvlOverride>
  </w:num>
  <w:num w:numId="8">
    <w:abstractNumId w:val="12"/>
    <w:lvlOverride w:ilvl="0">
      <w:startOverride w:val="1"/>
      <w:lvl w:ilvl="0">
        <w:start w:val="1"/>
        <w:numFmt w:val="decimal"/>
        <w:pStyle w:val="ListNumber"/>
        <w:lvlText w:val="%1."/>
        <w:lvlJc w:val="left"/>
        <w:pPr>
          <w:ind w:left="567" w:hanging="567"/>
        </w:pPr>
        <w:rPr>
          <w:rFonts w:hint="default"/>
        </w:rPr>
      </w:lvl>
    </w:lvlOverride>
    <w:lvlOverride w:ilvl="1">
      <w:startOverride w:val="4"/>
      <w:lvl w:ilvl="1">
        <w:start w:val="4"/>
        <w:numFmt w:val="lowerLetter"/>
        <w:lvlText w:val="(%2)"/>
        <w:lvlJc w:val="left"/>
        <w:pPr>
          <w:ind w:left="1134" w:hanging="567"/>
        </w:pPr>
        <w:rPr>
          <w:rFonts w:hint="default"/>
        </w:rPr>
      </w:lvl>
    </w:lvlOverride>
  </w:num>
  <w:num w:numId="9">
    <w:abstractNumId w:val="21"/>
  </w:num>
  <w:num w:numId="10">
    <w:abstractNumId w:val="26"/>
  </w:num>
  <w:num w:numId="11">
    <w:abstractNumId w:val="18"/>
  </w:num>
  <w:num w:numId="12">
    <w:abstractNumId w:val="23"/>
  </w:num>
  <w:num w:numId="13">
    <w:abstractNumId w:val="19"/>
  </w:num>
  <w:num w:numId="14">
    <w:abstractNumId w:val="4"/>
  </w:num>
  <w:num w:numId="15">
    <w:abstractNumId w:val="8"/>
  </w:num>
  <w:num w:numId="16">
    <w:abstractNumId w:val="13"/>
  </w:num>
  <w:num w:numId="17">
    <w:abstractNumId w:val="17"/>
  </w:num>
  <w:num w:numId="18">
    <w:abstractNumId w:val="27"/>
  </w:num>
  <w:num w:numId="19">
    <w:abstractNumId w:val="12"/>
    <w:lvlOverride w:ilvl="0">
      <w:lvl w:ilvl="0">
        <w:start w:val="1"/>
        <w:numFmt w:val="decimal"/>
        <w:pStyle w:val="ListNumber"/>
        <w:lvlText w:val="%1."/>
        <w:lvlJc w:val="left"/>
        <w:pPr>
          <w:ind w:left="567" w:hanging="567"/>
        </w:pPr>
        <w:rPr>
          <w:rFonts w:hint="default"/>
          <w:i w:val="0"/>
          <w:iCs/>
        </w:rPr>
      </w:lvl>
    </w:lvlOverride>
    <w:lvlOverride w:ilvl="1">
      <w:lvl w:ilvl="1">
        <w:start w:val="1"/>
        <w:numFmt w:val="lowerLetter"/>
        <w:lvlText w:val="(%2)"/>
        <w:lvlJc w:val="left"/>
        <w:pPr>
          <w:ind w:left="1134" w:hanging="567"/>
        </w:pPr>
        <w:rPr>
          <w:rFonts w:hint="default"/>
          <w:i w:val="0"/>
        </w:rPr>
      </w:lvl>
    </w:lvlOverride>
  </w:num>
  <w:num w:numId="20">
    <w:abstractNumId w:val="28"/>
  </w:num>
  <w:num w:numId="21">
    <w:abstractNumId w:val="2"/>
  </w:num>
  <w:num w:numId="22">
    <w:abstractNumId w:val="20"/>
  </w:num>
  <w:num w:numId="23">
    <w:abstractNumId w:val="6"/>
  </w:num>
  <w:num w:numId="24">
    <w:abstractNumId w:val="16"/>
  </w:num>
  <w:num w:numId="25">
    <w:abstractNumId w:val="24"/>
  </w:num>
  <w:num w:numId="26">
    <w:abstractNumId w:val="1"/>
  </w:num>
  <w:num w:numId="27">
    <w:abstractNumId w:val="15"/>
  </w:num>
  <w:num w:numId="28">
    <w:abstractNumId w:val="0"/>
  </w:num>
  <w:num w:numId="29">
    <w:abstractNumId w:val="7"/>
  </w:num>
  <w:num w:numId="30">
    <w:abstractNumId w:val="22"/>
  </w:num>
  <w:num w:numId="31">
    <w:abstractNumId w:val="10"/>
  </w:num>
  <w:num w:numId="32">
    <w:abstractNumId w:val="5"/>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S_Client" w:val="ThreeCrowns"/>
    <w:docVar w:name="MS_Mediasterling" w:val="True"/>
    <w:docVar w:name="MS_Product" w:val="StationerySuite"/>
    <w:docVar w:name="MS_TemplateType" w:val="2"/>
  </w:docVars>
  <w:rsids>
    <w:rsidRoot w:val="0019434A"/>
    <w:rsid w:val="00007F9F"/>
    <w:rsid w:val="00014A40"/>
    <w:rsid w:val="00014FF3"/>
    <w:rsid w:val="000152B6"/>
    <w:rsid w:val="00024787"/>
    <w:rsid w:val="0003382A"/>
    <w:rsid w:val="00046D97"/>
    <w:rsid w:val="00050353"/>
    <w:rsid w:val="00060A4D"/>
    <w:rsid w:val="0006108B"/>
    <w:rsid w:val="000634D6"/>
    <w:rsid w:val="0007714C"/>
    <w:rsid w:val="00077845"/>
    <w:rsid w:val="0008617D"/>
    <w:rsid w:val="000A53B7"/>
    <w:rsid w:val="000B54EB"/>
    <w:rsid w:val="000C1C22"/>
    <w:rsid w:val="000C2148"/>
    <w:rsid w:val="000C5B8F"/>
    <w:rsid w:val="000C757A"/>
    <w:rsid w:val="000C759A"/>
    <w:rsid w:val="000D4645"/>
    <w:rsid w:val="000D6F19"/>
    <w:rsid w:val="000D75C3"/>
    <w:rsid w:val="000D78F2"/>
    <w:rsid w:val="000E3209"/>
    <w:rsid w:val="000E70F4"/>
    <w:rsid w:val="000F0D64"/>
    <w:rsid w:val="000F2656"/>
    <w:rsid w:val="000F3C48"/>
    <w:rsid w:val="000F3D57"/>
    <w:rsid w:val="000F74F7"/>
    <w:rsid w:val="001108AD"/>
    <w:rsid w:val="00114C3F"/>
    <w:rsid w:val="00116F96"/>
    <w:rsid w:val="0012482C"/>
    <w:rsid w:val="0012482F"/>
    <w:rsid w:val="00124EB2"/>
    <w:rsid w:val="0013373D"/>
    <w:rsid w:val="00137186"/>
    <w:rsid w:val="001520F3"/>
    <w:rsid w:val="00153D83"/>
    <w:rsid w:val="001671B6"/>
    <w:rsid w:val="001729B8"/>
    <w:rsid w:val="00175815"/>
    <w:rsid w:val="00177BC7"/>
    <w:rsid w:val="001811CB"/>
    <w:rsid w:val="00187247"/>
    <w:rsid w:val="0019434A"/>
    <w:rsid w:val="0019541D"/>
    <w:rsid w:val="00197FC3"/>
    <w:rsid w:val="001B065D"/>
    <w:rsid w:val="001B0BF5"/>
    <w:rsid w:val="001B2103"/>
    <w:rsid w:val="001C21E3"/>
    <w:rsid w:val="001C6E15"/>
    <w:rsid w:val="001C6E67"/>
    <w:rsid w:val="001D060C"/>
    <w:rsid w:val="001E04EC"/>
    <w:rsid w:val="001E1270"/>
    <w:rsid w:val="001E79AE"/>
    <w:rsid w:val="001F2764"/>
    <w:rsid w:val="001F5A1A"/>
    <w:rsid w:val="001F78DD"/>
    <w:rsid w:val="002004BA"/>
    <w:rsid w:val="0020180D"/>
    <w:rsid w:val="002025C6"/>
    <w:rsid w:val="00202A35"/>
    <w:rsid w:val="00205F4A"/>
    <w:rsid w:val="00206DA0"/>
    <w:rsid w:val="00215198"/>
    <w:rsid w:val="0021702E"/>
    <w:rsid w:val="0022069C"/>
    <w:rsid w:val="00221E41"/>
    <w:rsid w:val="00222AA6"/>
    <w:rsid w:val="00230F87"/>
    <w:rsid w:val="00234728"/>
    <w:rsid w:val="0024200F"/>
    <w:rsid w:val="002437D6"/>
    <w:rsid w:val="00251794"/>
    <w:rsid w:val="0025330E"/>
    <w:rsid w:val="0025541A"/>
    <w:rsid w:val="00255C61"/>
    <w:rsid w:val="00263A5A"/>
    <w:rsid w:val="00265C5E"/>
    <w:rsid w:val="00267703"/>
    <w:rsid w:val="00277946"/>
    <w:rsid w:val="00292757"/>
    <w:rsid w:val="00293581"/>
    <w:rsid w:val="002953BD"/>
    <w:rsid w:val="002A6D1C"/>
    <w:rsid w:val="002B04E8"/>
    <w:rsid w:val="002B085F"/>
    <w:rsid w:val="002B1FFB"/>
    <w:rsid w:val="002D4AE4"/>
    <w:rsid w:val="002D6C9A"/>
    <w:rsid w:val="002E4BCC"/>
    <w:rsid w:val="002E54DF"/>
    <w:rsid w:val="002E66D5"/>
    <w:rsid w:val="00310F3A"/>
    <w:rsid w:val="0031680F"/>
    <w:rsid w:val="00317B7D"/>
    <w:rsid w:val="00322448"/>
    <w:rsid w:val="00325B70"/>
    <w:rsid w:val="003278E0"/>
    <w:rsid w:val="00333038"/>
    <w:rsid w:val="00334E26"/>
    <w:rsid w:val="00335108"/>
    <w:rsid w:val="003557CF"/>
    <w:rsid w:val="0035641F"/>
    <w:rsid w:val="003565F3"/>
    <w:rsid w:val="00365F9B"/>
    <w:rsid w:val="00373F57"/>
    <w:rsid w:val="00375714"/>
    <w:rsid w:val="0037619F"/>
    <w:rsid w:val="00377EAC"/>
    <w:rsid w:val="00380B6D"/>
    <w:rsid w:val="00385950"/>
    <w:rsid w:val="00385D77"/>
    <w:rsid w:val="003912B4"/>
    <w:rsid w:val="00391F10"/>
    <w:rsid w:val="00395372"/>
    <w:rsid w:val="003A6FBF"/>
    <w:rsid w:val="003B49F7"/>
    <w:rsid w:val="003B6418"/>
    <w:rsid w:val="003B75F7"/>
    <w:rsid w:val="003D07E4"/>
    <w:rsid w:val="003D21EA"/>
    <w:rsid w:val="003D33CE"/>
    <w:rsid w:val="003D530B"/>
    <w:rsid w:val="003D648D"/>
    <w:rsid w:val="003F2AD9"/>
    <w:rsid w:val="004005BF"/>
    <w:rsid w:val="00407CC0"/>
    <w:rsid w:val="00412BCB"/>
    <w:rsid w:val="00415409"/>
    <w:rsid w:val="00416E4E"/>
    <w:rsid w:val="004211BB"/>
    <w:rsid w:val="00440BC9"/>
    <w:rsid w:val="00442ED5"/>
    <w:rsid w:val="00445CA8"/>
    <w:rsid w:val="00445D19"/>
    <w:rsid w:val="00455B94"/>
    <w:rsid w:val="00455FD2"/>
    <w:rsid w:val="004704FB"/>
    <w:rsid w:val="004709E9"/>
    <w:rsid w:val="00472340"/>
    <w:rsid w:val="004854C4"/>
    <w:rsid w:val="004857F5"/>
    <w:rsid w:val="00490B23"/>
    <w:rsid w:val="00491DF8"/>
    <w:rsid w:val="00494A78"/>
    <w:rsid w:val="00497B82"/>
    <w:rsid w:val="004A33E6"/>
    <w:rsid w:val="004A53A5"/>
    <w:rsid w:val="004A6E75"/>
    <w:rsid w:val="004A7327"/>
    <w:rsid w:val="004B12FF"/>
    <w:rsid w:val="004B68FD"/>
    <w:rsid w:val="004C6AE1"/>
    <w:rsid w:val="004C724C"/>
    <w:rsid w:val="004D0D92"/>
    <w:rsid w:val="004D1B1D"/>
    <w:rsid w:val="004F26AF"/>
    <w:rsid w:val="004F2CCE"/>
    <w:rsid w:val="004F5F7C"/>
    <w:rsid w:val="004F78BE"/>
    <w:rsid w:val="00501AC5"/>
    <w:rsid w:val="00507FEF"/>
    <w:rsid w:val="005122E5"/>
    <w:rsid w:val="00513DEF"/>
    <w:rsid w:val="00513EB9"/>
    <w:rsid w:val="00514F95"/>
    <w:rsid w:val="005161C7"/>
    <w:rsid w:val="00525434"/>
    <w:rsid w:val="005310B9"/>
    <w:rsid w:val="00534A26"/>
    <w:rsid w:val="00541671"/>
    <w:rsid w:val="00543010"/>
    <w:rsid w:val="00552353"/>
    <w:rsid w:val="0055257A"/>
    <w:rsid w:val="005536BC"/>
    <w:rsid w:val="005624D0"/>
    <w:rsid w:val="005653CF"/>
    <w:rsid w:val="0056601E"/>
    <w:rsid w:val="0057586F"/>
    <w:rsid w:val="00580756"/>
    <w:rsid w:val="0058259E"/>
    <w:rsid w:val="0058298D"/>
    <w:rsid w:val="00582A56"/>
    <w:rsid w:val="005852A6"/>
    <w:rsid w:val="005911DB"/>
    <w:rsid w:val="005913D8"/>
    <w:rsid w:val="0059151E"/>
    <w:rsid w:val="00593FBC"/>
    <w:rsid w:val="0059609E"/>
    <w:rsid w:val="00596420"/>
    <w:rsid w:val="005B3A4A"/>
    <w:rsid w:val="005B4E6E"/>
    <w:rsid w:val="005B5405"/>
    <w:rsid w:val="005C32DF"/>
    <w:rsid w:val="005D242D"/>
    <w:rsid w:val="005D39E7"/>
    <w:rsid w:val="005D6B74"/>
    <w:rsid w:val="005D74FA"/>
    <w:rsid w:val="005E2D80"/>
    <w:rsid w:val="005E2F87"/>
    <w:rsid w:val="005F528B"/>
    <w:rsid w:val="005F5903"/>
    <w:rsid w:val="005F6FF7"/>
    <w:rsid w:val="0060321C"/>
    <w:rsid w:val="00606940"/>
    <w:rsid w:val="00621BF5"/>
    <w:rsid w:val="0062318E"/>
    <w:rsid w:val="00623584"/>
    <w:rsid w:val="00624657"/>
    <w:rsid w:val="00625744"/>
    <w:rsid w:val="00627051"/>
    <w:rsid w:val="00630D8B"/>
    <w:rsid w:val="00631FBD"/>
    <w:rsid w:val="006355CB"/>
    <w:rsid w:val="00636AD6"/>
    <w:rsid w:val="00641031"/>
    <w:rsid w:val="00644130"/>
    <w:rsid w:val="0065069C"/>
    <w:rsid w:val="00650845"/>
    <w:rsid w:val="00660919"/>
    <w:rsid w:val="00664765"/>
    <w:rsid w:val="0067411E"/>
    <w:rsid w:val="00674789"/>
    <w:rsid w:val="006846C8"/>
    <w:rsid w:val="0068488D"/>
    <w:rsid w:val="00686615"/>
    <w:rsid w:val="00687CC0"/>
    <w:rsid w:val="006929CB"/>
    <w:rsid w:val="00696DE4"/>
    <w:rsid w:val="00696FAE"/>
    <w:rsid w:val="006979A1"/>
    <w:rsid w:val="006A1D04"/>
    <w:rsid w:val="006A763A"/>
    <w:rsid w:val="006A77AD"/>
    <w:rsid w:val="006B0D10"/>
    <w:rsid w:val="006B4502"/>
    <w:rsid w:val="006B5F62"/>
    <w:rsid w:val="006E1475"/>
    <w:rsid w:val="006E3056"/>
    <w:rsid w:val="006E447C"/>
    <w:rsid w:val="006F181A"/>
    <w:rsid w:val="006F2ED0"/>
    <w:rsid w:val="006F2F9C"/>
    <w:rsid w:val="006F43C3"/>
    <w:rsid w:val="006F495B"/>
    <w:rsid w:val="006F53FC"/>
    <w:rsid w:val="006F6CB7"/>
    <w:rsid w:val="0070399F"/>
    <w:rsid w:val="007106CE"/>
    <w:rsid w:val="00711094"/>
    <w:rsid w:val="00712656"/>
    <w:rsid w:val="00721ADB"/>
    <w:rsid w:val="0072638D"/>
    <w:rsid w:val="00727B13"/>
    <w:rsid w:val="00743940"/>
    <w:rsid w:val="00744D8C"/>
    <w:rsid w:val="00745316"/>
    <w:rsid w:val="00752136"/>
    <w:rsid w:val="00754E6D"/>
    <w:rsid w:val="007573DE"/>
    <w:rsid w:val="00760611"/>
    <w:rsid w:val="00761C46"/>
    <w:rsid w:val="007729D5"/>
    <w:rsid w:val="00772A97"/>
    <w:rsid w:val="00777953"/>
    <w:rsid w:val="007820F6"/>
    <w:rsid w:val="007830B8"/>
    <w:rsid w:val="00792344"/>
    <w:rsid w:val="00795656"/>
    <w:rsid w:val="00796E9D"/>
    <w:rsid w:val="007A2D9A"/>
    <w:rsid w:val="007A2F60"/>
    <w:rsid w:val="007A376D"/>
    <w:rsid w:val="007A4C01"/>
    <w:rsid w:val="007C2AAB"/>
    <w:rsid w:val="007C2D2C"/>
    <w:rsid w:val="007D06FA"/>
    <w:rsid w:val="007D69CB"/>
    <w:rsid w:val="007D6CFF"/>
    <w:rsid w:val="007D73F1"/>
    <w:rsid w:val="007E04C3"/>
    <w:rsid w:val="007E4F4B"/>
    <w:rsid w:val="007E5C2D"/>
    <w:rsid w:val="007F2F46"/>
    <w:rsid w:val="007F5930"/>
    <w:rsid w:val="008032E7"/>
    <w:rsid w:val="008055E5"/>
    <w:rsid w:val="008078E1"/>
    <w:rsid w:val="008127F9"/>
    <w:rsid w:val="00812BB7"/>
    <w:rsid w:val="008144CD"/>
    <w:rsid w:val="00816871"/>
    <w:rsid w:val="00833127"/>
    <w:rsid w:val="008466DD"/>
    <w:rsid w:val="00847A3A"/>
    <w:rsid w:val="00852E60"/>
    <w:rsid w:val="0085364A"/>
    <w:rsid w:val="00860784"/>
    <w:rsid w:val="00875993"/>
    <w:rsid w:val="00880231"/>
    <w:rsid w:val="00885E1B"/>
    <w:rsid w:val="00892BA2"/>
    <w:rsid w:val="00892CCE"/>
    <w:rsid w:val="0089596E"/>
    <w:rsid w:val="008A1AB8"/>
    <w:rsid w:val="008A43C1"/>
    <w:rsid w:val="008A6956"/>
    <w:rsid w:val="008B0E74"/>
    <w:rsid w:val="008B17D3"/>
    <w:rsid w:val="008B1A78"/>
    <w:rsid w:val="008B3130"/>
    <w:rsid w:val="008B3156"/>
    <w:rsid w:val="008B6135"/>
    <w:rsid w:val="008B7961"/>
    <w:rsid w:val="008C54AA"/>
    <w:rsid w:val="008C564E"/>
    <w:rsid w:val="008F04F2"/>
    <w:rsid w:val="008F7E92"/>
    <w:rsid w:val="00902959"/>
    <w:rsid w:val="00905D5D"/>
    <w:rsid w:val="00907CBB"/>
    <w:rsid w:val="00911236"/>
    <w:rsid w:val="00911F40"/>
    <w:rsid w:val="0091239C"/>
    <w:rsid w:val="0091556C"/>
    <w:rsid w:val="009167F0"/>
    <w:rsid w:val="00933FBB"/>
    <w:rsid w:val="00961EA2"/>
    <w:rsid w:val="00965BEB"/>
    <w:rsid w:val="00967320"/>
    <w:rsid w:val="00970598"/>
    <w:rsid w:val="0097196E"/>
    <w:rsid w:val="00975262"/>
    <w:rsid w:val="0097783C"/>
    <w:rsid w:val="00987B73"/>
    <w:rsid w:val="00992440"/>
    <w:rsid w:val="00994FE1"/>
    <w:rsid w:val="0099556B"/>
    <w:rsid w:val="00997719"/>
    <w:rsid w:val="009A2001"/>
    <w:rsid w:val="009A24B4"/>
    <w:rsid w:val="009A2536"/>
    <w:rsid w:val="009A4AA5"/>
    <w:rsid w:val="009B13E8"/>
    <w:rsid w:val="009B46D8"/>
    <w:rsid w:val="009C6740"/>
    <w:rsid w:val="009C7AAE"/>
    <w:rsid w:val="009C7ED6"/>
    <w:rsid w:val="009D0ADD"/>
    <w:rsid w:val="009D7885"/>
    <w:rsid w:val="009E30B1"/>
    <w:rsid w:val="009E70BA"/>
    <w:rsid w:val="009F1A5F"/>
    <w:rsid w:val="00A02B0D"/>
    <w:rsid w:val="00A05ED4"/>
    <w:rsid w:val="00A07F0C"/>
    <w:rsid w:val="00A110F4"/>
    <w:rsid w:val="00A13C95"/>
    <w:rsid w:val="00A33586"/>
    <w:rsid w:val="00A34148"/>
    <w:rsid w:val="00A3779B"/>
    <w:rsid w:val="00A43016"/>
    <w:rsid w:val="00A446B0"/>
    <w:rsid w:val="00A54D85"/>
    <w:rsid w:val="00A60C3A"/>
    <w:rsid w:val="00A65F27"/>
    <w:rsid w:val="00A71738"/>
    <w:rsid w:val="00A7383A"/>
    <w:rsid w:val="00A7594E"/>
    <w:rsid w:val="00A80D3E"/>
    <w:rsid w:val="00A8269D"/>
    <w:rsid w:val="00A82BEE"/>
    <w:rsid w:val="00A863F3"/>
    <w:rsid w:val="00A9153A"/>
    <w:rsid w:val="00A96133"/>
    <w:rsid w:val="00A96D8F"/>
    <w:rsid w:val="00AA52A0"/>
    <w:rsid w:val="00AA768E"/>
    <w:rsid w:val="00AB4D12"/>
    <w:rsid w:val="00AC68A1"/>
    <w:rsid w:val="00AD1F44"/>
    <w:rsid w:val="00AE0D99"/>
    <w:rsid w:val="00AE200B"/>
    <w:rsid w:val="00AE659D"/>
    <w:rsid w:val="00AF2497"/>
    <w:rsid w:val="00AF2573"/>
    <w:rsid w:val="00AF460B"/>
    <w:rsid w:val="00AF6252"/>
    <w:rsid w:val="00AF710A"/>
    <w:rsid w:val="00B0439F"/>
    <w:rsid w:val="00B070B7"/>
    <w:rsid w:val="00B16D61"/>
    <w:rsid w:val="00B23327"/>
    <w:rsid w:val="00B25BAA"/>
    <w:rsid w:val="00B26CDB"/>
    <w:rsid w:val="00B3014B"/>
    <w:rsid w:val="00B37AAB"/>
    <w:rsid w:val="00B37BF4"/>
    <w:rsid w:val="00B46952"/>
    <w:rsid w:val="00B474A1"/>
    <w:rsid w:val="00B50AFB"/>
    <w:rsid w:val="00B5201A"/>
    <w:rsid w:val="00B5758E"/>
    <w:rsid w:val="00B66004"/>
    <w:rsid w:val="00B66135"/>
    <w:rsid w:val="00B701EB"/>
    <w:rsid w:val="00B70FB7"/>
    <w:rsid w:val="00B71CFA"/>
    <w:rsid w:val="00B774A2"/>
    <w:rsid w:val="00B85918"/>
    <w:rsid w:val="00B9625C"/>
    <w:rsid w:val="00B96785"/>
    <w:rsid w:val="00BA3FE7"/>
    <w:rsid w:val="00BB1BCD"/>
    <w:rsid w:val="00BB1BE8"/>
    <w:rsid w:val="00BB2D90"/>
    <w:rsid w:val="00BB4393"/>
    <w:rsid w:val="00BB4BD9"/>
    <w:rsid w:val="00BB693D"/>
    <w:rsid w:val="00BC117F"/>
    <w:rsid w:val="00BC24A8"/>
    <w:rsid w:val="00BC6CAD"/>
    <w:rsid w:val="00BC7385"/>
    <w:rsid w:val="00BD1198"/>
    <w:rsid w:val="00BD3D35"/>
    <w:rsid w:val="00BD71EF"/>
    <w:rsid w:val="00BE2081"/>
    <w:rsid w:val="00BE40BE"/>
    <w:rsid w:val="00BE4BC1"/>
    <w:rsid w:val="00BF3AA2"/>
    <w:rsid w:val="00BF5696"/>
    <w:rsid w:val="00BF5D78"/>
    <w:rsid w:val="00BF7914"/>
    <w:rsid w:val="00C07F1A"/>
    <w:rsid w:val="00C24AA5"/>
    <w:rsid w:val="00C27B44"/>
    <w:rsid w:val="00C40A0C"/>
    <w:rsid w:val="00C47FED"/>
    <w:rsid w:val="00C538B1"/>
    <w:rsid w:val="00C61140"/>
    <w:rsid w:val="00C649D4"/>
    <w:rsid w:val="00C71FE8"/>
    <w:rsid w:val="00C90678"/>
    <w:rsid w:val="00C90A61"/>
    <w:rsid w:val="00C914EA"/>
    <w:rsid w:val="00CA09C6"/>
    <w:rsid w:val="00CA1E20"/>
    <w:rsid w:val="00CB235A"/>
    <w:rsid w:val="00CB3228"/>
    <w:rsid w:val="00CB6F44"/>
    <w:rsid w:val="00CC0646"/>
    <w:rsid w:val="00CC2C65"/>
    <w:rsid w:val="00CC3024"/>
    <w:rsid w:val="00CC6FC9"/>
    <w:rsid w:val="00CD01BB"/>
    <w:rsid w:val="00CD551F"/>
    <w:rsid w:val="00CD55C2"/>
    <w:rsid w:val="00CE1BB7"/>
    <w:rsid w:val="00CF050B"/>
    <w:rsid w:val="00CF2838"/>
    <w:rsid w:val="00CF562E"/>
    <w:rsid w:val="00CF6B77"/>
    <w:rsid w:val="00CF7621"/>
    <w:rsid w:val="00D03CE9"/>
    <w:rsid w:val="00D057F5"/>
    <w:rsid w:val="00D05994"/>
    <w:rsid w:val="00D11B18"/>
    <w:rsid w:val="00D1639F"/>
    <w:rsid w:val="00D1710C"/>
    <w:rsid w:val="00D21412"/>
    <w:rsid w:val="00D24468"/>
    <w:rsid w:val="00D246ED"/>
    <w:rsid w:val="00D30A63"/>
    <w:rsid w:val="00D31C4F"/>
    <w:rsid w:val="00D32751"/>
    <w:rsid w:val="00D416CA"/>
    <w:rsid w:val="00D476D1"/>
    <w:rsid w:val="00D534CF"/>
    <w:rsid w:val="00D5502B"/>
    <w:rsid w:val="00D57F45"/>
    <w:rsid w:val="00D62458"/>
    <w:rsid w:val="00D75215"/>
    <w:rsid w:val="00D75867"/>
    <w:rsid w:val="00D8037E"/>
    <w:rsid w:val="00D825C3"/>
    <w:rsid w:val="00D86330"/>
    <w:rsid w:val="00D95081"/>
    <w:rsid w:val="00D97C32"/>
    <w:rsid w:val="00DA0753"/>
    <w:rsid w:val="00DA3EBF"/>
    <w:rsid w:val="00DA7095"/>
    <w:rsid w:val="00DB0035"/>
    <w:rsid w:val="00DC79DD"/>
    <w:rsid w:val="00DD056D"/>
    <w:rsid w:val="00DD3072"/>
    <w:rsid w:val="00DD4EDC"/>
    <w:rsid w:val="00DE0CED"/>
    <w:rsid w:val="00DF24F1"/>
    <w:rsid w:val="00DF3388"/>
    <w:rsid w:val="00DF6CE8"/>
    <w:rsid w:val="00E0328E"/>
    <w:rsid w:val="00E077A1"/>
    <w:rsid w:val="00E07DD4"/>
    <w:rsid w:val="00E1336D"/>
    <w:rsid w:val="00E17577"/>
    <w:rsid w:val="00E21E39"/>
    <w:rsid w:val="00E538E1"/>
    <w:rsid w:val="00E571DD"/>
    <w:rsid w:val="00E61047"/>
    <w:rsid w:val="00E624ED"/>
    <w:rsid w:val="00E63ACB"/>
    <w:rsid w:val="00E6469A"/>
    <w:rsid w:val="00E64E91"/>
    <w:rsid w:val="00E67CAE"/>
    <w:rsid w:val="00E71382"/>
    <w:rsid w:val="00E72F60"/>
    <w:rsid w:val="00E8113C"/>
    <w:rsid w:val="00E874A2"/>
    <w:rsid w:val="00E94324"/>
    <w:rsid w:val="00E95ED0"/>
    <w:rsid w:val="00E975AF"/>
    <w:rsid w:val="00EA144E"/>
    <w:rsid w:val="00EB23FE"/>
    <w:rsid w:val="00EB64F6"/>
    <w:rsid w:val="00EC1A1C"/>
    <w:rsid w:val="00EC37DB"/>
    <w:rsid w:val="00EE6ADD"/>
    <w:rsid w:val="00EE790C"/>
    <w:rsid w:val="00EF2077"/>
    <w:rsid w:val="00EF377D"/>
    <w:rsid w:val="00EF3A4E"/>
    <w:rsid w:val="00EF69D0"/>
    <w:rsid w:val="00F00DFB"/>
    <w:rsid w:val="00F012AC"/>
    <w:rsid w:val="00F12D3B"/>
    <w:rsid w:val="00F164FE"/>
    <w:rsid w:val="00F17052"/>
    <w:rsid w:val="00F200D1"/>
    <w:rsid w:val="00F22C47"/>
    <w:rsid w:val="00F26897"/>
    <w:rsid w:val="00F319BD"/>
    <w:rsid w:val="00F41259"/>
    <w:rsid w:val="00F435F8"/>
    <w:rsid w:val="00F44855"/>
    <w:rsid w:val="00F56F2A"/>
    <w:rsid w:val="00F64ECF"/>
    <w:rsid w:val="00F6730D"/>
    <w:rsid w:val="00F67A4C"/>
    <w:rsid w:val="00F67E80"/>
    <w:rsid w:val="00F7036B"/>
    <w:rsid w:val="00F74924"/>
    <w:rsid w:val="00F76D79"/>
    <w:rsid w:val="00F83277"/>
    <w:rsid w:val="00F83CD8"/>
    <w:rsid w:val="00F8482F"/>
    <w:rsid w:val="00F86C8E"/>
    <w:rsid w:val="00F91E3A"/>
    <w:rsid w:val="00FA3755"/>
    <w:rsid w:val="00FA456A"/>
    <w:rsid w:val="00FB53D9"/>
    <w:rsid w:val="00FC0268"/>
    <w:rsid w:val="00FC7958"/>
    <w:rsid w:val="00FD3C1C"/>
    <w:rsid w:val="00FF2CCD"/>
    <w:rsid w:val="00FF798C"/>
    <w:rsid w:val="00FF7F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F7D856"/>
  <w15:docId w15:val="{B9542397-B1BF-41E7-898B-FDD06D9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0" w:qFormat="1"/>
    <w:lsdException w:name="Body Text Indent" w:uiPriority="1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D69CB"/>
  </w:style>
  <w:style w:type="paragraph" w:styleId="Heading1">
    <w:name w:val="heading 1"/>
    <w:basedOn w:val="BaseText"/>
    <w:next w:val="BodyText"/>
    <w:link w:val="Heading1Char"/>
    <w:uiPriority w:val="9"/>
    <w:qFormat/>
    <w:rsid w:val="007A4C01"/>
    <w:pPr>
      <w:keepNext/>
      <w:keepLines/>
      <w:numPr>
        <w:numId w:val="4"/>
      </w:numPr>
      <w:outlineLvl w:val="0"/>
    </w:pPr>
    <w:rPr>
      <w:rFonts w:asciiTheme="majorHAnsi" w:eastAsiaTheme="majorEastAsia" w:hAnsiTheme="majorHAnsi" w:cstheme="majorBidi"/>
      <w:b/>
      <w:bCs/>
      <w:caps/>
      <w:szCs w:val="28"/>
    </w:rPr>
  </w:style>
  <w:style w:type="paragraph" w:styleId="Heading2">
    <w:name w:val="heading 2"/>
    <w:basedOn w:val="BaseText"/>
    <w:next w:val="BodyText"/>
    <w:link w:val="Heading2Char"/>
    <w:uiPriority w:val="9"/>
    <w:qFormat/>
    <w:rsid w:val="007A4C01"/>
    <w:pPr>
      <w:keepNext/>
      <w:keepLines/>
      <w:numPr>
        <w:ilvl w:val="1"/>
        <w:numId w:val="4"/>
      </w:numPr>
      <w:outlineLvl w:val="1"/>
    </w:pPr>
    <w:rPr>
      <w:rFonts w:asciiTheme="majorHAnsi" w:hAnsiTheme="majorHAnsi"/>
      <w:b/>
      <w:smallCaps/>
    </w:rPr>
  </w:style>
  <w:style w:type="paragraph" w:styleId="Heading3">
    <w:name w:val="heading 3"/>
    <w:basedOn w:val="BaseText"/>
    <w:next w:val="BodyText"/>
    <w:link w:val="Heading3Char"/>
    <w:uiPriority w:val="9"/>
    <w:qFormat/>
    <w:rsid w:val="007A4C01"/>
    <w:pPr>
      <w:keepNext/>
      <w:keepLines/>
      <w:numPr>
        <w:ilvl w:val="2"/>
        <w:numId w:val="4"/>
      </w:numPr>
      <w:outlineLvl w:val="2"/>
    </w:pPr>
    <w:rPr>
      <w:rFonts w:asciiTheme="majorHAnsi" w:hAnsiTheme="majorHAnsi"/>
      <w:b/>
    </w:rPr>
  </w:style>
  <w:style w:type="paragraph" w:styleId="Heading4">
    <w:name w:val="heading 4"/>
    <w:basedOn w:val="BaseText"/>
    <w:next w:val="BodyText"/>
    <w:link w:val="Heading4Char"/>
    <w:uiPriority w:val="9"/>
    <w:qFormat/>
    <w:rsid w:val="007A4C01"/>
    <w:pPr>
      <w:keepNext/>
      <w:keepLines/>
      <w:numPr>
        <w:ilvl w:val="3"/>
        <w:numId w:val="4"/>
      </w:numPr>
      <w:outlineLvl w:val="3"/>
    </w:pPr>
    <w:rPr>
      <w:rFonts w:asciiTheme="majorHAnsi" w:hAnsiTheme="majorHAnsi"/>
      <w:b/>
    </w:rPr>
  </w:style>
  <w:style w:type="paragraph" w:styleId="Heading5">
    <w:name w:val="heading 5"/>
    <w:basedOn w:val="BaseText"/>
    <w:next w:val="BodyText"/>
    <w:link w:val="Heading5Char"/>
    <w:uiPriority w:val="9"/>
    <w:qFormat/>
    <w:rsid w:val="007A4C01"/>
    <w:pPr>
      <w:keepNext/>
      <w:keepLines/>
      <w:numPr>
        <w:ilvl w:val="4"/>
        <w:numId w:val="4"/>
      </w:numPr>
      <w:outlineLvl w:val="4"/>
    </w:pPr>
    <w:rPr>
      <w:rFonts w:asciiTheme="majorHAnsi"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___Normal"/>
    <w:semiHidden/>
    <w:rsid w:val="00796E9D"/>
    <w:pPr>
      <w:spacing w:after="240" w:line="240" w:lineRule="auto"/>
    </w:pPr>
    <w:rPr>
      <w:rFonts w:ascii="Times New Roman" w:hAnsi="Times New Roman"/>
      <w:sz w:val="24"/>
    </w:rPr>
  </w:style>
  <w:style w:type="paragraph" w:customStyle="1" w:styleId="BaseText">
    <w:name w:val="__Base Text"/>
    <w:basedOn w:val="Normal0"/>
    <w:semiHidden/>
    <w:rsid w:val="00CD01BB"/>
    <w:pPr>
      <w:spacing w:line="320" w:lineRule="atLeast"/>
      <w:jc w:val="both"/>
    </w:pPr>
    <w:rPr>
      <w:rFonts w:asciiTheme="minorHAnsi" w:hAnsiTheme="minorHAnsi"/>
    </w:rPr>
  </w:style>
  <w:style w:type="character" w:customStyle="1" w:styleId="Heading2Char">
    <w:name w:val="Heading 2 Char"/>
    <w:basedOn w:val="DefaultParagraphFont"/>
    <w:link w:val="Heading2"/>
    <w:uiPriority w:val="9"/>
    <w:rsid w:val="007A4C01"/>
    <w:rPr>
      <w:rFonts w:asciiTheme="majorHAnsi" w:hAnsiTheme="majorHAnsi"/>
      <w:b/>
      <w:smallCaps/>
      <w:sz w:val="24"/>
    </w:rPr>
  </w:style>
  <w:style w:type="paragraph" w:styleId="BodyText">
    <w:name w:val="Body Text"/>
    <w:basedOn w:val="BaseText"/>
    <w:link w:val="BodyTextChar"/>
    <w:uiPriority w:val="10"/>
    <w:qFormat/>
    <w:rsid w:val="0099556B"/>
  </w:style>
  <w:style w:type="character" w:customStyle="1" w:styleId="BodyTextChar">
    <w:name w:val="Body Text Char"/>
    <w:basedOn w:val="DefaultParagraphFont"/>
    <w:link w:val="BodyText"/>
    <w:uiPriority w:val="10"/>
    <w:rsid w:val="0099556B"/>
    <w:rPr>
      <w:sz w:val="24"/>
    </w:rPr>
  </w:style>
  <w:style w:type="paragraph" w:styleId="BodyTextIndent">
    <w:name w:val="Body Text Indent"/>
    <w:basedOn w:val="BodyText"/>
    <w:link w:val="BodyTextIndentChar"/>
    <w:uiPriority w:val="10"/>
    <w:qFormat/>
    <w:rsid w:val="00796E9D"/>
    <w:pPr>
      <w:ind w:left="567"/>
    </w:pPr>
  </w:style>
  <w:style w:type="character" w:customStyle="1" w:styleId="BodyTextIndentChar">
    <w:name w:val="Body Text Indent Char"/>
    <w:basedOn w:val="DefaultParagraphFont"/>
    <w:link w:val="BodyTextIndent"/>
    <w:uiPriority w:val="99"/>
    <w:rsid w:val="00796E9D"/>
    <w:rPr>
      <w:rFonts w:ascii="Times New Roman" w:hAnsi="Times New Roman"/>
      <w:sz w:val="24"/>
    </w:rPr>
  </w:style>
  <w:style w:type="character" w:customStyle="1" w:styleId="Heading1Char">
    <w:name w:val="Heading 1 Char"/>
    <w:basedOn w:val="DefaultParagraphFont"/>
    <w:link w:val="Heading1"/>
    <w:uiPriority w:val="9"/>
    <w:rsid w:val="007A4C01"/>
    <w:rPr>
      <w:rFonts w:asciiTheme="majorHAnsi" w:eastAsiaTheme="majorEastAsia" w:hAnsiTheme="majorHAnsi" w:cstheme="majorBidi"/>
      <w:b/>
      <w:bCs/>
      <w:caps/>
      <w:sz w:val="24"/>
      <w:szCs w:val="28"/>
    </w:rPr>
  </w:style>
  <w:style w:type="character" w:customStyle="1" w:styleId="Heading3Char">
    <w:name w:val="Heading 3 Char"/>
    <w:basedOn w:val="DefaultParagraphFont"/>
    <w:link w:val="Heading3"/>
    <w:uiPriority w:val="9"/>
    <w:rsid w:val="007A4C01"/>
    <w:rPr>
      <w:rFonts w:asciiTheme="majorHAnsi" w:hAnsiTheme="majorHAnsi"/>
      <w:b/>
      <w:sz w:val="24"/>
    </w:rPr>
  </w:style>
  <w:style w:type="character" w:customStyle="1" w:styleId="Heading4Char">
    <w:name w:val="Heading 4 Char"/>
    <w:basedOn w:val="DefaultParagraphFont"/>
    <w:link w:val="Heading4"/>
    <w:uiPriority w:val="9"/>
    <w:rsid w:val="007A4C01"/>
    <w:rPr>
      <w:rFonts w:asciiTheme="majorHAnsi" w:hAnsiTheme="majorHAnsi"/>
      <w:b/>
      <w:sz w:val="24"/>
    </w:rPr>
  </w:style>
  <w:style w:type="character" w:customStyle="1" w:styleId="Heading5Char">
    <w:name w:val="Heading 5 Char"/>
    <w:basedOn w:val="DefaultParagraphFont"/>
    <w:link w:val="Heading5"/>
    <w:uiPriority w:val="9"/>
    <w:rsid w:val="007A4C01"/>
    <w:rPr>
      <w:rFonts w:asciiTheme="majorHAnsi" w:hAnsiTheme="majorHAnsi"/>
      <w:i/>
      <w:sz w:val="24"/>
    </w:rPr>
  </w:style>
  <w:style w:type="numbering" w:customStyle="1" w:styleId="ListHeadings">
    <w:name w:val="__List Headings"/>
    <w:uiPriority w:val="99"/>
    <w:semiHidden/>
    <w:rsid w:val="007A4C01"/>
    <w:pPr>
      <w:numPr>
        <w:numId w:val="1"/>
      </w:numPr>
    </w:pPr>
  </w:style>
  <w:style w:type="paragraph" w:styleId="Title">
    <w:name w:val="Title"/>
    <w:basedOn w:val="BaseText"/>
    <w:next w:val="BodyText"/>
    <w:link w:val="TitleChar"/>
    <w:uiPriority w:val="10"/>
    <w:qFormat/>
    <w:rsid w:val="0091239C"/>
    <w:pPr>
      <w:spacing w:line="400" w:lineRule="atLeast"/>
    </w:pPr>
    <w:rPr>
      <w:sz w:val="36"/>
      <w:szCs w:val="36"/>
    </w:rPr>
  </w:style>
  <w:style w:type="character" w:customStyle="1" w:styleId="TitleChar">
    <w:name w:val="Title Char"/>
    <w:basedOn w:val="DefaultParagraphFont"/>
    <w:link w:val="Title"/>
    <w:uiPriority w:val="10"/>
    <w:rsid w:val="0091239C"/>
    <w:rPr>
      <w:rFonts w:ascii="Times New Roman" w:hAnsi="Times New Roman"/>
      <w:sz w:val="36"/>
      <w:szCs w:val="36"/>
    </w:rPr>
  </w:style>
  <w:style w:type="paragraph" w:styleId="Subtitle">
    <w:name w:val="Subtitle"/>
    <w:basedOn w:val="BaseText"/>
    <w:next w:val="BodyText"/>
    <w:link w:val="SubtitleChar"/>
    <w:uiPriority w:val="11"/>
    <w:qFormat/>
    <w:rsid w:val="0091239C"/>
    <w:rPr>
      <w:sz w:val="28"/>
      <w:szCs w:val="28"/>
    </w:rPr>
  </w:style>
  <w:style w:type="character" w:customStyle="1" w:styleId="SubtitleChar">
    <w:name w:val="Subtitle Char"/>
    <w:basedOn w:val="DefaultParagraphFont"/>
    <w:link w:val="Subtitle"/>
    <w:uiPriority w:val="11"/>
    <w:rsid w:val="00E6469A"/>
    <w:rPr>
      <w:rFonts w:ascii="Times New Roman" w:hAnsi="Times New Roman"/>
      <w:sz w:val="28"/>
      <w:szCs w:val="28"/>
    </w:rPr>
  </w:style>
  <w:style w:type="paragraph" w:customStyle="1" w:styleId="Subject">
    <w:name w:val="Subject"/>
    <w:basedOn w:val="BaseText"/>
    <w:next w:val="BodyText"/>
    <w:uiPriority w:val="12"/>
    <w:qFormat/>
    <w:rsid w:val="00860784"/>
    <w:pPr>
      <w:spacing w:before="480"/>
    </w:pPr>
    <w:rPr>
      <w:b/>
    </w:rPr>
  </w:style>
  <w:style w:type="character" w:styleId="BookTitle">
    <w:name w:val="Book Title"/>
    <w:basedOn w:val="DefaultParagraphFont"/>
    <w:uiPriority w:val="33"/>
    <w:semiHidden/>
    <w:rsid w:val="00E6469A"/>
    <w:rPr>
      <w:b/>
      <w:bCs/>
      <w:smallCaps/>
      <w:spacing w:val="5"/>
    </w:rPr>
  </w:style>
  <w:style w:type="paragraph" w:styleId="ListBullet">
    <w:name w:val="List Bullet"/>
    <w:basedOn w:val="BodyText"/>
    <w:uiPriority w:val="10"/>
    <w:qFormat/>
    <w:rsid w:val="00EC1A1C"/>
    <w:pPr>
      <w:numPr>
        <w:numId w:val="5"/>
      </w:numPr>
    </w:pPr>
  </w:style>
  <w:style w:type="character" w:styleId="Emphasis">
    <w:name w:val="Emphasis"/>
    <w:basedOn w:val="DefaultParagraphFont"/>
    <w:uiPriority w:val="20"/>
    <w:qFormat/>
    <w:rsid w:val="00E6469A"/>
    <w:rPr>
      <w:i/>
      <w:iCs/>
    </w:rPr>
  </w:style>
  <w:style w:type="character" w:styleId="IntenseEmphasis">
    <w:name w:val="Intense Emphasis"/>
    <w:basedOn w:val="DefaultParagraphFont"/>
    <w:uiPriority w:val="21"/>
    <w:semiHidden/>
    <w:rsid w:val="00E6469A"/>
    <w:rPr>
      <w:b/>
      <w:bCs/>
      <w:i/>
      <w:iCs/>
      <w:color w:val="90825D" w:themeColor="accent1"/>
    </w:rPr>
  </w:style>
  <w:style w:type="paragraph" w:styleId="IntenseQuote">
    <w:name w:val="Intense Quote"/>
    <w:basedOn w:val="Normal"/>
    <w:next w:val="Normal"/>
    <w:link w:val="IntenseQuoteChar"/>
    <w:uiPriority w:val="30"/>
    <w:semiHidden/>
    <w:rsid w:val="00E6469A"/>
    <w:pPr>
      <w:pBdr>
        <w:bottom w:val="single" w:sz="4" w:space="4" w:color="90825D" w:themeColor="accent1"/>
      </w:pBdr>
      <w:spacing w:before="200" w:after="280"/>
      <w:ind w:left="936" w:right="936"/>
    </w:pPr>
    <w:rPr>
      <w:b/>
      <w:bCs/>
      <w:i/>
      <w:iCs/>
      <w:color w:val="90825D" w:themeColor="accent1"/>
    </w:rPr>
  </w:style>
  <w:style w:type="character" w:customStyle="1" w:styleId="IntenseQuoteChar">
    <w:name w:val="Intense Quote Char"/>
    <w:basedOn w:val="DefaultParagraphFont"/>
    <w:link w:val="IntenseQuote"/>
    <w:uiPriority w:val="30"/>
    <w:rsid w:val="00E6469A"/>
    <w:rPr>
      <w:b/>
      <w:bCs/>
      <w:i/>
      <w:iCs/>
      <w:color w:val="90825D" w:themeColor="accent1"/>
    </w:rPr>
  </w:style>
  <w:style w:type="character" w:styleId="IntenseReference">
    <w:name w:val="Intense Reference"/>
    <w:basedOn w:val="DefaultParagraphFont"/>
    <w:uiPriority w:val="32"/>
    <w:semiHidden/>
    <w:rsid w:val="00E6469A"/>
    <w:rPr>
      <w:b/>
      <w:bCs/>
      <w:smallCaps/>
      <w:color w:val="777877" w:themeColor="accent2"/>
      <w:spacing w:val="5"/>
      <w:u w:val="single"/>
    </w:rPr>
  </w:style>
  <w:style w:type="paragraph" w:styleId="ListParagraph">
    <w:name w:val="List Paragraph"/>
    <w:basedOn w:val="Normal"/>
    <w:uiPriority w:val="99"/>
    <w:qFormat/>
    <w:rsid w:val="00E6469A"/>
    <w:pPr>
      <w:ind w:left="720"/>
      <w:contextualSpacing/>
    </w:pPr>
  </w:style>
  <w:style w:type="paragraph" w:styleId="NoSpacing">
    <w:name w:val="No Spacing"/>
    <w:uiPriority w:val="1"/>
    <w:semiHidden/>
    <w:rsid w:val="00E6469A"/>
    <w:pPr>
      <w:spacing w:after="0" w:line="240" w:lineRule="auto"/>
    </w:pPr>
  </w:style>
  <w:style w:type="paragraph" w:styleId="Quote">
    <w:name w:val="Quote"/>
    <w:basedOn w:val="BodyText"/>
    <w:next w:val="BodyText"/>
    <w:link w:val="QuoteChar"/>
    <w:uiPriority w:val="29"/>
    <w:rsid w:val="0020180D"/>
    <w:pPr>
      <w:spacing w:line="240" w:lineRule="auto"/>
      <w:ind w:left="1418" w:right="1134"/>
    </w:pPr>
    <w:rPr>
      <w:iCs/>
    </w:rPr>
  </w:style>
  <w:style w:type="character" w:customStyle="1" w:styleId="QuoteChar">
    <w:name w:val="Quote Char"/>
    <w:basedOn w:val="DefaultParagraphFont"/>
    <w:link w:val="Quote"/>
    <w:uiPriority w:val="29"/>
    <w:rsid w:val="0020180D"/>
    <w:rPr>
      <w:rFonts w:ascii="Times New Roman" w:hAnsi="Times New Roman"/>
      <w:iCs/>
      <w:sz w:val="24"/>
    </w:rPr>
  </w:style>
  <w:style w:type="character" w:styleId="Strong">
    <w:name w:val="Strong"/>
    <w:basedOn w:val="DefaultParagraphFont"/>
    <w:uiPriority w:val="22"/>
    <w:semiHidden/>
    <w:rsid w:val="00E6469A"/>
    <w:rPr>
      <w:b/>
      <w:bCs/>
    </w:rPr>
  </w:style>
  <w:style w:type="character" w:styleId="SubtleEmphasis">
    <w:name w:val="Subtle Emphasis"/>
    <w:basedOn w:val="DefaultParagraphFont"/>
    <w:uiPriority w:val="19"/>
    <w:semiHidden/>
    <w:rsid w:val="00E6469A"/>
    <w:rPr>
      <w:i/>
      <w:iCs/>
      <w:color w:val="808080" w:themeColor="text1" w:themeTint="7F"/>
    </w:rPr>
  </w:style>
  <w:style w:type="character" w:styleId="SubtleReference">
    <w:name w:val="Subtle Reference"/>
    <w:basedOn w:val="DefaultParagraphFont"/>
    <w:uiPriority w:val="31"/>
    <w:semiHidden/>
    <w:rsid w:val="00E6469A"/>
    <w:rPr>
      <w:smallCaps/>
      <w:color w:val="777877" w:themeColor="accent2"/>
      <w:u w:val="single"/>
    </w:rPr>
  </w:style>
  <w:style w:type="paragraph" w:styleId="ListNumber">
    <w:name w:val="List Number"/>
    <w:basedOn w:val="BodyText"/>
    <w:uiPriority w:val="10"/>
    <w:qFormat/>
    <w:rsid w:val="00455B94"/>
    <w:pPr>
      <w:numPr>
        <w:numId w:val="3"/>
      </w:numPr>
    </w:pPr>
  </w:style>
  <w:style w:type="numbering" w:customStyle="1" w:styleId="ListBullets">
    <w:name w:val="__List Bullets"/>
    <w:uiPriority w:val="99"/>
    <w:semiHidden/>
    <w:rsid w:val="00EC1A1C"/>
    <w:pPr>
      <w:numPr>
        <w:numId w:val="2"/>
      </w:numPr>
    </w:pPr>
  </w:style>
  <w:style w:type="numbering" w:customStyle="1" w:styleId="ListNumbers">
    <w:name w:val="__List Numbers"/>
    <w:uiPriority w:val="99"/>
    <w:semiHidden/>
    <w:rsid w:val="00455B94"/>
    <w:pPr>
      <w:numPr>
        <w:numId w:val="6"/>
      </w:numPr>
    </w:pPr>
  </w:style>
  <w:style w:type="paragraph" w:styleId="FootnoteText">
    <w:name w:val="footnote text"/>
    <w:aliases w:val=" Char Char Char Char, Char"/>
    <w:basedOn w:val="BodyText"/>
    <w:link w:val="FootnoteTextChar"/>
    <w:uiPriority w:val="99"/>
    <w:rsid w:val="004857F5"/>
    <w:pPr>
      <w:spacing w:after="120" w:line="240" w:lineRule="auto"/>
      <w:ind w:left="567" w:hanging="567"/>
    </w:pPr>
    <w:rPr>
      <w:sz w:val="20"/>
      <w:szCs w:val="20"/>
    </w:rPr>
  </w:style>
  <w:style w:type="character" w:customStyle="1" w:styleId="FootnoteTextChar">
    <w:name w:val="Footnote Text Char"/>
    <w:aliases w:val=" Char Char Char Char Char, Char Char"/>
    <w:basedOn w:val="DefaultParagraphFont"/>
    <w:link w:val="FootnoteText"/>
    <w:uiPriority w:val="99"/>
    <w:rsid w:val="004857F5"/>
    <w:rPr>
      <w:sz w:val="20"/>
      <w:szCs w:val="20"/>
    </w:rPr>
  </w:style>
  <w:style w:type="character" w:styleId="FootnoteReference">
    <w:name w:val="footnote reference"/>
    <w:basedOn w:val="DefaultParagraphFont"/>
    <w:uiPriority w:val="99"/>
    <w:unhideWhenUsed/>
    <w:qFormat/>
    <w:rsid w:val="00B5201A"/>
    <w:rPr>
      <w:vertAlign w:val="superscript"/>
    </w:rPr>
  </w:style>
  <w:style w:type="paragraph" w:customStyle="1" w:styleId="FootnoteQuote">
    <w:name w:val="Footnote Quote"/>
    <w:basedOn w:val="Quote"/>
    <w:uiPriority w:val="31"/>
    <w:rsid w:val="0099556B"/>
    <w:pPr>
      <w:spacing w:after="120"/>
    </w:pPr>
    <w:rPr>
      <w:sz w:val="20"/>
    </w:rPr>
  </w:style>
  <w:style w:type="paragraph" w:styleId="Header">
    <w:name w:val="header"/>
    <w:basedOn w:val="BaseText"/>
    <w:link w:val="HeaderChar"/>
    <w:uiPriority w:val="99"/>
    <w:unhideWhenUsed/>
    <w:rsid w:val="00EE6ADD"/>
    <w:pPr>
      <w:spacing w:after="0" w:line="20" w:lineRule="exact"/>
      <w:jc w:val="right"/>
    </w:pPr>
    <w:rPr>
      <w:color w:val="777877" w:themeColor="accent2"/>
      <w:sz w:val="8"/>
      <w:szCs w:val="24"/>
    </w:rPr>
  </w:style>
  <w:style w:type="character" w:customStyle="1" w:styleId="HeaderChar">
    <w:name w:val="Header Char"/>
    <w:basedOn w:val="DefaultParagraphFont"/>
    <w:link w:val="Header"/>
    <w:uiPriority w:val="99"/>
    <w:rsid w:val="00EE6ADD"/>
    <w:rPr>
      <w:color w:val="777877" w:themeColor="accent2"/>
      <w:sz w:val="8"/>
      <w:szCs w:val="24"/>
    </w:rPr>
  </w:style>
  <w:style w:type="paragraph" w:styleId="Footer">
    <w:name w:val="footer"/>
    <w:basedOn w:val="BaseText"/>
    <w:link w:val="FooterChar"/>
    <w:uiPriority w:val="99"/>
    <w:unhideWhenUsed/>
    <w:rsid w:val="00CF050B"/>
    <w:pPr>
      <w:spacing w:after="0" w:line="240" w:lineRule="auto"/>
    </w:pPr>
    <w:rPr>
      <w:color w:val="777877" w:themeColor="accent2"/>
      <w:spacing w:val="-2"/>
      <w:sz w:val="14"/>
    </w:rPr>
  </w:style>
  <w:style w:type="character" w:customStyle="1" w:styleId="FooterChar">
    <w:name w:val="Footer Char"/>
    <w:basedOn w:val="DefaultParagraphFont"/>
    <w:link w:val="Footer"/>
    <w:uiPriority w:val="99"/>
    <w:rsid w:val="00CF050B"/>
    <w:rPr>
      <w:color w:val="777877" w:themeColor="accent2"/>
      <w:spacing w:val="-2"/>
      <w:sz w:val="14"/>
    </w:rPr>
  </w:style>
  <w:style w:type="table" w:styleId="TableGrid">
    <w:name w:val="Table Grid"/>
    <w:basedOn w:val="TableNormal"/>
    <w:uiPriority w:val="59"/>
    <w:rsid w:val="0066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98"/>
    <w:rPr>
      <w:color w:val="0000FF" w:themeColor="hyperlink"/>
      <w:u w:val="single"/>
    </w:rPr>
  </w:style>
  <w:style w:type="character" w:styleId="PageNumber">
    <w:name w:val="page number"/>
    <w:uiPriority w:val="99"/>
    <w:rsid w:val="00A43016"/>
    <w:rPr>
      <w:spacing w:val="0"/>
      <w:sz w:val="20"/>
    </w:rPr>
  </w:style>
  <w:style w:type="paragraph" w:styleId="BalloonText">
    <w:name w:val="Balloon Text"/>
    <w:basedOn w:val="Normal"/>
    <w:link w:val="BalloonTextChar"/>
    <w:uiPriority w:val="99"/>
    <w:semiHidden/>
    <w:unhideWhenUsed/>
    <w:rsid w:val="00BF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96"/>
    <w:rPr>
      <w:rFonts w:ascii="Tahoma" w:hAnsi="Tahoma" w:cs="Tahoma"/>
      <w:sz w:val="16"/>
      <w:szCs w:val="16"/>
    </w:rPr>
  </w:style>
  <w:style w:type="paragraph" w:customStyle="1" w:styleId="MemoHeaderText">
    <w:name w:val="Memo Header Text"/>
    <w:basedOn w:val="BodyText"/>
    <w:rsid w:val="0059609E"/>
    <w:pPr>
      <w:spacing w:before="100" w:after="100"/>
      <w:jc w:val="left"/>
    </w:pPr>
  </w:style>
  <w:style w:type="paragraph" w:customStyle="1" w:styleId="MemoTitle">
    <w:name w:val="Memo Title"/>
    <w:basedOn w:val="BaseText"/>
    <w:rsid w:val="006F2ED0"/>
    <w:pPr>
      <w:spacing w:after="0" w:line="240" w:lineRule="auto"/>
      <w:jc w:val="right"/>
    </w:pPr>
    <w:rPr>
      <w:b/>
      <w:caps/>
      <w:color w:val="000000" w:themeColor="text1"/>
    </w:rPr>
  </w:style>
  <w:style w:type="paragraph" w:customStyle="1" w:styleId="MemoDisclaimer">
    <w:name w:val="Memo Disclaimer"/>
    <w:basedOn w:val="BaseText"/>
    <w:rsid w:val="00EE6ADD"/>
    <w:pPr>
      <w:spacing w:after="0" w:line="240" w:lineRule="auto"/>
    </w:pPr>
    <w:rPr>
      <w:rFonts w:cs="Times New Roman"/>
      <w:color w:val="777877" w:themeColor="accent2"/>
      <w:spacing w:val="-2"/>
      <w:sz w:val="14"/>
    </w:rPr>
  </w:style>
  <w:style w:type="paragraph" w:customStyle="1" w:styleId="NumberedParagraph">
    <w:name w:val="Numbered Paragraph"/>
    <w:basedOn w:val="Normal"/>
    <w:rsid w:val="00D1710C"/>
    <w:pPr>
      <w:widowControl w:val="0"/>
      <w:ind w:left="716" w:hanging="432"/>
      <w:jc w:val="both"/>
    </w:pPr>
    <w:rPr>
      <w:rFonts w:ascii="Times New Roman" w:eastAsiaTheme="minorEastAsia" w:hAnsi="Times New Roman"/>
      <w:sz w:val="21"/>
      <w:szCs w:val="24"/>
    </w:rPr>
  </w:style>
  <w:style w:type="paragraph" w:styleId="TOCHeading">
    <w:name w:val="TOC Heading"/>
    <w:basedOn w:val="Heading1"/>
    <w:next w:val="Normal"/>
    <w:uiPriority w:val="39"/>
    <w:unhideWhenUsed/>
    <w:qFormat/>
    <w:rsid w:val="00D1710C"/>
    <w:pPr>
      <w:numPr>
        <w:numId w:val="0"/>
      </w:numPr>
      <w:spacing w:before="480" w:after="0" w:line="276" w:lineRule="auto"/>
      <w:jc w:val="left"/>
      <w:outlineLvl w:val="9"/>
    </w:pPr>
    <w:rPr>
      <w:caps w:val="0"/>
      <w:color w:val="6B6145" w:themeColor="accent1" w:themeShade="BF"/>
      <w:sz w:val="28"/>
      <w:lang w:val="en-US" w:eastAsia="ja-JP"/>
    </w:rPr>
  </w:style>
  <w:style w:type="paragraph" w:styleId="TOC2">
    <w:name w:val="toc 2"/>
    <w:basedOn w:val="Normal"/>
    <w:next w:val="Normal"/>
    <w:autoRedefine/>
    <w:uiPriority w:val="39"/>
    <w:unhideWhenUsed/>
    <w:rsid w:val="00E8113C"/>
    <w:pPr>
      <w:tabs>
        <w:tab w:val="right" w:leader="dot" w:pos="9060"/>
      </w:tabs>
      <w:spacing w:after="100"/>
      <w:ind w:left="220"/>
    </w:pPr>
  </w:style>
  <w:style w:type="paragraph" w:styleId="TOC3">
    <w:name w:val="toc 3"/>
    <w:basedOn w:val="Normal"/>
    <w:next w:val="Normal"/>
    <w:autoRedefine/>
    <w:uiPriority w:val="39"/>
    <w:unhideWhenUsed/>
    <w:rsid w:val="00D1710C"/>
    <w:pPr>
      <w:spacing w:after="100"/>
      <w:ind w:left="440"/>
    </w:pPr>
  </w:style>
  <w:style w:type="character" w:customStyle="1" w:styleId="apple-converted-space">
    <w:name w:val="apple-converted-space"/>
    <w:basedOn w:val="DefaultParagraphFont"/>
    <w:rsid w:val="00234728"/>
  </w:style>
  <w:style w:type="character" w:styleId="CommentReference">
    <w:name w:val="annotation reference"/>
    <w:basedOn w:val="DefaultParagraphFont"/>
    <w:uiPriority w:val="99"/>
    <w:unhideWhenUsed/>
    <w:rsid w:val="00385D77"/>
    <w:rPr>
      <w:sz w:val="16"/>
      <w:szCs w:val="16"/>
    </w:rPr>
  </w:style>
  <w:style w:type="paragraph" w:styleId="CommentText">
    <w:name w:val="annotation text"/>
    <w:basedOn w:val="Normal"/>
    <w:link w:val="CommentTextChar"/>
    <w:uiPriority w:val="99"/>
    <w:semiHidden/>
    <w:unhideWhenUsed/>
    <w:rsid w:val="00385D77"/>
    <w:pPr>
      <w:spacing w:line="240" w:lineRule="auto"/>
    </w:pPr>
    <w:rPr>
      <w:sz w:val="20"/>
      <w:szCs w:val="20"/>
    </w:rPr>
  </w:style>
  <w:style w:type="character" w:customStyle="1" w:styleId="CommentTextChar">
    <w:name w:val="Comment Text Char"/>
    <w:basedOn w:val="DefaultParagraphFont"/>
    <w:link w:val="CommentText"/>
    <w:uiPriority w:val="99"/>
    <w:semiHidden/>
    <w:rsid w:val="00385D77"/>
    <w:rPr>
      <w:sz w:val="20"/>
      <w:szCs w:val="20"/>
    </w:rPr>
  </w:style>
  <w:style w:type="paragraph" w:styleId="CommentSubject">
    <w:name w:val="annotation subject"/>
    <w:basedOn w:val="CommentText"/>
    <w:next w:val="CommentText"/>
    <w:link w:val="CommentSubjectChar"/>
    <w:uiPriority w:val="99"/>
    <w:semiHidden/>
    <w:unhideWhenUsed/>
    <w:rsid w:val="00385D77"/>
    <w:rPr>
      <w:b/>
      <w:bCs/>
    </w:rPr>
  </w:style>
  <w:style w:type="character" w:customStyle="1" w:styleId="CommentSubjectChar">
    <w:name w:val="Comment Subject Char"/>
    <w:basedOn w:val="CommentTextChar"/>
    <w:link w:val="CommentSubject"/>
    <w:uiPriority w:val="99"/>
    <w:semiHidden/>
    <w:rsid w:val="00385D77"/>
    <w:rPr>
      <w:b/>
      <w:bCs/>
      <w:sz w:val="20"/>
      <w:szCs w:val="20"/>
    </w:rPr>
  </w:style>
  <w:style w:type="paragraph" w:styleId="NormalWeb">
    <w:name w:val="Normal (Web)"/>
    <w:basedOn w:val="Normal"/>
    <w:uiPriority w:val="99"/>
    <w:semiHidden/>
    <w:unhideWhenUsed/>
    <w:rsid w:val="00CB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CB6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8A1AB8"/>
  </w:style>
  <w:style w:type="character" w:styleId="FollowedHyperlink">
    <w:name w:val="FollowedHyperlink"/>
    <w:basedOn w:val="DefaultParagraphFont"/>
    <w:uiPriority w:val="99"/>
    <w:semiHidden/>
    <w:unhideWhenUsed/>
    <w:rsid w:val="0025330E"/>
    <w:rPr>
      <w:color w:val="800080" w:themeColor="followedHyperlink"/>
      <w:u w:val="single"/>
    </w:rPr>
  </w:style>
  <w:style w:type="paragraph" w:customStyle="1" w:styleId="SingleTxtG">
    <w:name w:val="_ Single Txt_G"/>
    <w:basedOn w:val="Normal"/>
    <w:link w:val="SingleTxtGCar"/>
    <w:rsid w:val="00A446B0"/>
    <w:pPr>
      <w:suppressAutoHyphens/>
      <w:spacing w:after="120" w:line="240" w:lineRule="atLeast"/>
      <w:ind w:left="1134" w:right="1134"/>
      <w:jc w:val="both"/>
    </w:pPr>
    <w:rPr>
      <w:rFonts w:ascii="Times New Roman" w:eastAsia="Times New Roman" w:hAnsi="Times New Roman" w:cs="Times New Roman"/>
      <w:sz w:val="20"/>
      <w:szCs w:val="20"/>
      <w:lang w:val="en-US"/>
    </w:rPr>
  </w:style>
  <w:style w:type="character" w:customStyle="1" w:styleId="SingleTxtGCar">
    <w:name w:val="_ Single Txt_G Car"/>
    <w:link w:val="SingleTxtG"/>
    <w:rsid w:val="00A446B0"/>
    <w:rPr>
      <w:rFonts w:ascii="Times New Roman" w:eastAsia="Times New Roman" w:hAnsi="Times New Roman" w:cs="Times New Roman"/>
      <w:sz w:val="20"/>
      <w:szCs w:val="20"/>
      <w:lang w:val="en-US"/>
    </w:rPr>
  </w:style>
  <w:style w:type="paragraph" w:customStyle="1" w:styleId="Default">
    <w:name w:val="Default"/>
    <w:rsid w:val="00FF798C"/>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BB4BD9"/>
    <w:pPr>
      <w:tabs>
        <w:tab w:val="left" w:pos="356"/>
        <w:tab w:val="right" w:leader="dot" w:pos="9060"/>
      </w:tabs>
      <w:spacing w:after="100"/>
    </w:pPr>
  </w:style>
  <w:style w:type="paragraph" w:customStyle="1" w:styleId="indent11">
    <w:name w:val="indent11"/>
    <w:basedOn w:val="Normal"/>
    <w:rsid w:val="00E94324"/>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D0ADD"/>
    <w:rPr>
      <w:color w:val="808080"/>
      <w:shd w:val="clear" w:color="auto" w:fill="E6E6E6"/>
    </w:rPr>
  </w:style>
  <w:style w:type="character" w:customStyle="1" w:styleId="starpage1">
    <w:name w:val="starpage1"/>
    <w:basedOn w:val="DefaultParagraphFont"/>
    <w:rsid w:val="00593FBC"/>
    <w:rPr>
      <w:b/>
      <w:bCs/>
      <w:i/>
      <w:iCs/>
      <w:color w:val="663366"/>
    </w:rPr>
  </w:style>
  <w:style w:type="character" w:customStyle="1" w:styleId="cosearchterm">
    <w:name w:val="co_searchterm"/>
    <w:basedOn w:val="DefaultParagraphFont"/>
    <w:rsid w:val="005B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65">
      <w:bodyDiv w:val="1"/>
      <w:marLeft w:val="0"/>
      <w:marRight w:val="0"/>
      <w:marTop w:val="0"/>
      <w:marBottom w:val="0"/>
      <w:divBdr>
        <w:top w:val="none" w:sz="0" w:space="0" w:color="auto"/>
        <w:left w:val="none" w:sz="0" w:space="0" w:color="auto"/>
        <w:bottom w:val="none" w:sz="0" w:space="0" w:color="auto"/>
        <w:right w:val="none" w:sz="0" w:space="0" w:color="auto"/>
      </w:divBdr>
    </w:div>
    <w:div w:id="59180735">
      <w:bodyDiv w:val="1"/>
      <w:marLeft w:val="0"/>
      <w:marRight w:val="0"/>
      <w:marTop w:val="0"/>
      <w:marBottom w:val="0"/>
      <w:divBdr>
        <w:top w:val="none" w:sz="0" w:space="0" w:color="auto"/>
        <w:left w:val="none" w:sz="0" w:space="0" w:color="auto"/>
        <w:bottom w:val="none" w:sz="0" w:space="0" w:color="auto"/>
        <w:right w:val="none" w:sz="0" w:space="0" w:color="auto"/>
      </w:divBdr>
      <w:divsChild>
        <w:div w:id="587614947">
          <w:marLeft w:val="0"/>
          <w:marRight w:val="0"/>
          <w:marTop w:val="0"/>
          <w:marBottom w:val="0"/>
          <w:divBdr>
            <w:top w:val="none" w:sz="0" w:space="0" w:color="auto"/>
            <w:left w:val="none" w:sz="0" w:space="0" w:color="auto"/>
            <w:bottom w:val="none" w:sz="0" w:space="0" w:color="auto"/>
            <w:right w:val="none" w:sz="0" w:space="0" w:color="auto"/>
          </w:divBdr>
          <w:divsChild>
            <w:div w:id="192574546">
              <w:marLeft w:val="-300"/>
              <w:marRight w:val="0"/>
              <w:marTop w:val="150"/>
              <w:marBottom w:val="0"/>
              <w:divBdr>
                <w:top w:val="none" w:sz="0" w:space="0" w:color="auto"/>
                <w:left w:val="none" w:sz="0" w:space="0" w:color="auto"/>
                <w:bottom w:val="none" w:sz="0" w:space="0" w:color="auto"/>
                <w:right w:val="none" w:sz="0" w:space="0" w:color="auto"/>
              </w:divBdr>
              <w:divsChild>
                <w:div w:id="468089131">
                  <w:marLeft w:val="0"/>
                  <w:marRight w:val="0"/>
                  <w:marTop w:val="0"/>
                  <w:marBottom w:val="0"/>
                  <w:divBdr>
                    <w:top w:val="none" w:sz="0" w:space="0" w:color="auto"/>
                    <w:left w:val="none" w:sz="0" w:space="0" w:color="auto"/>
                    <w:bottom w:val="none" w:sz="0" w:space="0" w:color="auto"/>
                    <w:right w:val="none" w:sz="0" w:space="0" w:color="auto"/>
                  </w:divBdr>
                  <w:divsChild>
                    <w:div w:id="13030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991">
      <w:bodyDiv w:val="1"/>
      <w:marLeft w:val="0"/>
      <w:marRight w:val="0"/>
      <w:marTop w:val="0"/>
      <w:marBottom w:val="0"/>
      <w:divBdr>
        <w:top w:val="none" w:sz="0" w:space="0" w:color="auto"/>
        <w:left w:val="none" w:sz="0" w:space="0" w:color="auto"/>
        <w:bottom w:val="none" w:sz="0" w:space="0" w:color="auto"/>
        <w:right w:val="none" w:sz="0" w:space="0" w:color="auto"/>
      </w:divBdr>
    </w:div>
    <w:div w:id="99642258">
      <w:bodyDiv w:val="1"/>
      <w:marLeft w:val="0"/>
      <w:marRight w:val="0"/>
      <w:marTop w:val="0"/>
      <w:marBottom w:val="0"/>
      <w:divBdr>
        <w:top w:val="none" w:sz="0" w:space="0" w:color="auto"/>
        <w:left w:val="none" w:sz="0" w:space="0" w:color="auto"/>
        <w:bottom w:val="none" w:sz="0" w:space="0" w:color="auto"/>
        <w:right w:val="none" w:sz="0" w:space="0" w:color="auto"/>
      </w:divBdr>
    </w:div>
    <w:div w:id="103234805">
      <w:bodyDiv w:val="1"/>
      <w:marLeft w:val="0"/>
      <w:marRight w:val="0"/>
      <w:marTop w:val="0"/>
      <w:marBottom w:val="0"/>
      <w:divBdr>
        <w:top w:val="none" w:sz="0" w:space="0" w:color="auto"/>
        <w:left w:val="none" w:sz="0" w:space="0" w:color="auto"/>
        <w:bottom w:val="none" w:sz="0" w:space="0" w:color="auto"/>
        <w:right w:val="none" w:sz="0" w:space="0" w:color="auto"/>
      </w:divBdr>
    </w:div>
    <w:div w:id="254480137">
      <w:bodyDiv w:val="1"/>
      <w:marLeft w:val="0"/>
      <w:marRight w:val="0"/>
      <w:marTop w:val="0"/>
      <w:marBottom w:val="0"/>
      <w:divBdr>
        <w:top w:val="none" w:sz="0" w:space="0" w:color="auto"/>
        <w:left w:val="none" w:sz="0" w:space="0" w:color="auto"/>
        <w:bottom w:val="none" w:sz="0" w:space="0" w:color="auto"/>
        <w:right w:val="none" w:sz="0" w:space="0" w:color="auto"/>
      </w:divBdr>
    </w:div>
    <w:div w:id="271742914">
      <w:bodyDiv w:val="1"/>
      <w:marLeft w:val="0"/>
      <w:marRight w:val="0"/>
      <w:marTop w:val="0"/>
      <w:marBottom w:val="0"/>
      <w:divBdr>
        <w:top w:val="none" w:sz="0" w:space="0" w:color="auto"/>
        <w:left w:val="none" w:sz="0" w:space="0" w:color="auto"/>
        <w:bottom w:val="none" w:sz="0" w:space="0" w:color="auto"/>
        <w:right w:val="none" w:sz="0" w:space="0" w:color="auto"/>
      </w:divBdr>
    </w:div>
    <w:div w:id="319235892">
      <w:bodyDiv w:val="1"/>
      <w:marLeft w:val="0"/>
      <w:marRight w:val="0"/>
      <w:marTop w:val="0"/>
      <w:marBottom w:val="0"/>
      <w:divBdr>
        <w:top w:val="none" w:sz="0" w:space="0" w:color="auto"/>
        <w:left w:val="none" w:sz="0" w:space="0" w:color="auto"/>
        <w:bottom w:val="none" w:sz="0" w:space="0" w:color="auto"/>
        <w:right w:val="none" w:sz="0" w:space="0" w:color="auto"/>
      </w:divBdr>
      <w:divsChild>
        <w:div w:id="1319310561">
          <w:marLeft w:val="0"/>
          <w:marRight w:val="0"/>
          <w:marTop w:val="0"/>
          <w:marBottom w:val="0"/>
          <w:divBdr>
            <w:top w:val="none" w:sz="0" w:space="0" w:color="auto"/>
            <w:left w:val="none" w:sz="0" w:space="0" w:color="auto"/>
            <w:bottom w:val="none" w:sz="0" w:space="0" w:color="auto"/>
            <w:right w:val="none" w:sz="0" w:space="0" w:color="auto"/>
          </w:divBdr>
          <w:divsChild>
            <w:div w:id="1355614284">
              <w:marLeft w:val="0"/>
              <w:marRight w:val="0"/>
              <w:marTop w:val="0"/>
              <w:marBottom w:val="0"/>
              <w:divBdr>
                <w:top w:val="none" w:sz="0" w:space="0" w:color="auto"/>
                <w:left w:val="none" w:sz="0" w:space="0" w:color="auto"/>
                <w:bottom w:val="none" w:sz="0" w:space="0" w:color="auto"/>
                <w:right w:val="none" w:sz="0" w:space="0" w:color="auto"/>
              </w:divBdr>
              <w:divsChild>
                <w:div w:id="772479547">
                  <w:marLeft w:val="0"/>
                  <w:marRight w:val="0"/>
                  <w:marTop w:val="0"/>
                  <w:marBottom w:val="0"/>
                  <w:divBdr>
                    <w:top w:val="none" w:sz="0" w:space="0" w:color="auto"/>
                    <w:left w:val="none" w:sz="0" w:space="0" w:color="auto"/>
                    <w:bottom w:val="none" w:sz="0" w:space="0" w:color="auto"/>
                    <w:right w:val="none" w:sz="0" w:space="0" w:color="auto"/>
                  </w:divBdr>
                  <w:divsChild>
                    <w:div w:id="986669925">
                      <w:marLeft w:val="0"/>
                      <w:marRight w:val="0"/>
                      <w:marTop w:val="0"/>
                      <w:marBottom w:val="0"/>
                      <w:divBdr>
                        <w:top w:val="none" w:sz="0" w:space="0" w:color="auto"/>
                        <w:left w:val="none" w:sz="0" w:space="0" w:color="auto"/>
                        <w:bottom w:val="none" w:sz="0" w:space="0" w:color="auto"/>
                        <w:right w:val="none" w:sz="0" w:space="0" w:color="auto"/>
                      </w:divBdr>
                      <w:divsChild>
                        <w:div w:id="1314018001">
                          <w:marLeft w:val="0"/>
                          <w:marRight w:val="0"/>
                          <w:marTop w:val="0"/>
                          <w:marBottom w:val="300"/>
                          <w:divBdr>
                            <w:top w:val="none" w:sz="0" w:space="0" w:color="auto"/>
                            <w:left w:val="none" w:sz="0" w:space="0" w:color="auto"/>
                            <w:bottom w:val="none" w:sz="0" w:space="0" w:color="auto"/>
                            <w:right w:val="none" w:sz="0" w:space="0" w:color="auto"/>
                          </w:divBdr>
                          <w:divsChild>
                            <w:div w:id="664893747">
                              <w:marLeft w:val="0"/>
                              <w:marRight w:val="0"/>
                              <w:marTop w:val="0"/>
                              <w:marBottom w:val="0"/>
                              <w:divBdr>
                                <w:top w:val="none" w:sz="0" w:space="0" w:color="auto"/>
                                <w:left w:val="none" w:sz="0" w:space="0" w:color="auto"/>
                                <w:bottom w:val="none" w:sz="0" w:space="0" w:color="auto"/>
                                <w:right w:val="none" w:sz="0" w:space="0" w:color="auto"/>
                              </w:divBdr>
                              <w:divsChild>
                                <w:div w:id="899025405">
                                  <w:marLeft w:val="0"/>
                                  <w:marRight w:val="0"/>
                                  <w:marTop w:val="0"/>
                                  <w:marBottom w:val="0"/>
                                  <w:divBdr>
                                    <w:top w:val="none" w:sz="0" w:space="0" w:color="auto"/>
                                    <w:left w:val="none" w:sz="0" w:space="0" w:color="auto"/>
                                    <w:bottom w:val="none" w:sz="0" w:space="0" w:color="auto"/>
                                    <w:right w:val="none" w:sz="0" w:space="0" w:color="auto"/>
                                  </w:divBdr>
                                  <w:divsChild>
                                    <w:div w:id="26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4700">
      <w:bodyDiv w:val="1"/>
      <w:marLeft w:val="0"/>
      <w:marRight w:val="0"/>
      <w:marTop w:val="0"/>
      <w:marBottom w:val="0"/>
      <w:divBdr>
        <w:top w:val="none" w:sz="0" w:space="0" w:color="auto"/>
        <w:left w:val="none" w:sz="0" w:space="0" w:color="auto"/>
        <w:bottom w:val="none" w:sz="0" w:space="0" w:color="auto"/>
        <w:right w:val="none" w:sz="0" w:space="0" w:color="auto"/>
      </w:divBdr>
    </w:div>
    <w:div w:id="376662327">
      <w:bodyDiv w:val="1"/>
      <w:marLeft w:val="0"/>
      <w:marRight w:val="0"/>
      <w:marTop w:val="0"/>
      <w:marBottom w:val="0"/>
      <w:divBdr>
        <w:top w:val="none" w:sz="0" w:space="0" w:color="auto"/>
        <w:left w:val="none" w:sz="0" w:space="0" w:color="auto"/>
        <w:bottom w:val="none" w:sz="0" w:space="0" w:color="auto"/>
        <w:right w:val="none" w:sz="0" w:space="0" w:color="auto"/>
      </w:divBdr>
    </w:div>
    <w:div w:id="386995942">
      <w:bodyDiv w:val="1"/>
      <w:marLeft w:val="0"/>
      <w:marRight w:val="0"/>
      <w:marTop w:val="0"/>
      <w:marBottom w:val="0"/>
      <w:divBdr>
        <w:top w:val="none" w:sz="0" w:space="0" w:color="auto"/>
        <w:left w:val="none" w:sz="0" w:space="0" w:color="auto"/>
        <w:bottom w:val="none" w:sz="0" w:space="0" w:color="auto"/>
        <w:right w:val="none" w:sz="0" w:space="0" w:color="auto"/>
      </w:divBdr>
    </w:div>
    <w:div w:id="420370255">
      <w:bodyDiv w:val="1"/>
      <w:marLeft w:val="0"/>
      <w:marRight w:val="0"/>
      <w:marTop w:val="0"/>
      <w:marBottom w:val="0"/>
      <w:divBdr>
        <w:top w:val="none" w:sz="0" w:space="0" w:color="auto"/>
        <w:left w:val="none" w:sz="0" w:space="0" w:color="auto"/>
        <w:bottom w:val="none" w:sz="0" w:space="0" w:color="auto"/>
        <w:right w:val="none" w:sz="0" w:space="0" w:color="auto"/>
      </w:divBdr>
    </w:div>
    <w:div w:id="446703730">
      <w:bodyDiv w:val="1"/>
      <w:marLeft w:val="0"/>
      <w:marRight w:val="0"/>
      <w:marTop w:val="0"/>
      <w:marBottom w:val="0"/>
      <w:divBdr>
        <w:top w:val="none" w:sz="0" w:space="0" w:color="auto"/>
        <w:left w:val="none" w:sz="0" w:space="0" w:color="auto"/>
        <w:bottom w:val="none" w:sz="0" w:space="0" w:color="auto"/>
        <w:right w:val="none" w:sz="0" w:space="0" w:color="auto"/>
      </w:divBdr>
    </w:div>
    <w:div w:id="458454153">
      <w:bodyDiv w:val="1"/>
      <w:marLeft w:val="0"/>
      <w:marRight w:val="0"/>
      <w:marTop w:val="0"/>
      <w:marBottom w:val="0"/>
      <w:divBdr>
        <w:top w:val="none" w:sz="0" w:space="0" w:color="auto"/>
        <w:left w:val="none" w:sz="0" w:space="0" w:color="auto"/>
        <w:bottom w:val="none" w:sz="0" w:space="0" w:color="auto"/>
        <w:right w:val="none" w:sz="0" w:space="0" w:color="auto"/>
      </w:divBdr>
      <w:divsChild>
        <w:div w:id="42676168">
          <w:marLeft w:val="0"/>
          <w:marRight w:val="0"/>
          <w:marTop w:val="0"/>
          <w:marBottom w:val="0"/>
          <w:divBdr>
            <w:top w:val="none" w:sz="0" w:space="0" w:color="auto"/>
            <w:left w:val="none" w:sz="0" w:space="0" w:color="auto"/>
            <w:bottom w:val="none" w:sz="0" w:space="0" w:color="auto"/>
            <w:right w:val="none" w:sz="0" w:space="0" w:color="auto"/>
          </w:divBdr>
          <w:divsChild>
            <w:div w:id="1894149798">
              <w:marLeft w:val="0"/>
              <w:marRight w:val="0"/>
              <w:marTop w:val="0"/>
              <w:marBottom w:val="0"/>
              <w:divBdr>
                <w:top w:val="none" w:sz="0" w:space="0" w:color="auto"/>
                <w:left w:val="none" w:sz="0" w:space="0" w:color="auto"/>
                <w:bottom w:val="none" w:sz="0" w:space="0" w:color="auto"/>
                <w:right w:val="none" w:sz="0" w:space="0" w:color="auto"/>
              </w:divBdr>
              <w:divsChild>
                <w:div w:id="1905918238">
                  <w:marLeft w:val="0"/>
                  <w:marRight w:val="0"/>
                  <w:marTop w:val="0"/>
                  <w:marBottom w:val="0"/>
                  <w:divBdr>
                    <w:top w:val="none" w:sz="0" w:space="0" w:color="auto"/>
                    <w:left w:val="none" w:sz="0" w:space="0" w:color="auto"/>
                    <w:bottom w:val="none" w:sz="0" w:space="0" w:color="auto"/>
                    <w:right w:val="none" w:sz="0" w:space="0" w:color="auto"/>
                  </w:divBdr>
                  <w:divsChild>
                    <w:div w:id="1323460551">
                      <w:marLeft w:val="0"/>
                      <w:marRight w:val="0"/>
                      <w:marTop w:val="0"/>
                      <w:marBottom w:val="0"/>
                      <w:divBdr>
                        <w:top w:val="none" w:sz="0" w:space="0" w:color="auto"/>
                        <w:left w:val="none" w:sz="0" w:space="0" w:color="auto"/>
                        <w:bottom w:val="none" w:sz="0" w:space="0" w:color="auto"/>
                        <w:right w:val="none" w:sz="0" w:space="0" w:color="auto"/>
                      </w:divBdr>
                      <w:divsChild>
                        <w:div w:id="721056748">
                          <w:marLeft w:val="0"/>
                          <w:marRight w:val="0"/>
                          <w:marTop w:val="0"/>
                          <w:marBottom w:val="0"/>
                          <w:divBdr>
                            <w:top w:val="none" w:sz="0" w:space="0" w:color="auto"/>
                            <w:left w:val="none" w:sz="0" w:space="0" w:color="auto"/>
                            <w:bottom w:val="none" w:sz="0" w:space="0" w:color="auto"/>
                            <w:right w:val="none" w:sz="0" w:space="0" w:color="auto"/>
                          </w:divBdr>
                          <w:divsChild>
                            <w:div w:id="812335787">
                              <w:marLeft w:val="0"/>
                              <w:marRight w:val="0"/>
                              <w:marTop w:val="0"/>
                              <w:marBottom w:val="0"/>
                              <w:divBdr>
                                <w:top w:val="none" w:sz="0" w:space="0" w:color="auto"/>
                                <w:left w:val="none" w:sz="0" w:space="0" w:color="auto"/>
                                <w:bottom w:val="none" w:sz="0" w:space="0" w:color="auto"/>
                                <w:right w:val="none" w:sz="0" w:space="0" w:color="auto"/>
                              </w:divBdr>
                              <w:divsChild>
                                <w:div w:id="1410345798">
                                  <w:marLeft w:val="0"/>
                                  <w:marRight w:val="0"/>
                                  <w:marTop w:val="0"/>
                                  <w:marBottom w:val="0"/>
                                  <w:divBdr>
                                    <w:top w:val="none" w:sz="0" w:space="0" w:color="auto"/>
                                    <w:left w:val="none" w:sz="0" w:space="0" w:color="auto"/>
                                    <w:bottom w:val="none" w:sz="0" w:space="0" w:color="auto"/>
                                    <w:right w:val="none" w:sz="0" w:space="0" w:color="auto"/>
                                  </w:divBdr>
                                </w:div>
                              </w:divsChild>
                            </w:div>
                            <w:div w:id="14013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2702">
      <w:bodyDiv w:val="1"/>
      <w:marLeft w:val="0"/>
      <w:marRight w:val="0"/>
      <w:marTop w:val="0"/>
      <w:marBottom w:val="0"/>
      <w:divBdr>
        <w:top w:val="none" w:sz="0" w:space="0" w:color="auto"/>
        <w:left w:val="none" w:sz="0" w:space="0" w:color="auto"/>
        <w:bottom w:val="none" w:sz="0" w:space="0" w:color="auto"/>
        <w:right w:val="none" w:sz="0" w:space="0" w:color="auto"/>
      </w:divBdr>
      <w:divsChild>
        <w:div w:id="390620718">
          <w:marLeft w:val="547"/>
          <w:marRight w:val="0"/>
          <w:marTop w:val="96"/>
          <w:marBottom w:val="0"/>
          <w:divBdr>
            <w:top w:val="none" w:sz="0" w:space="0" w:color="auto"/>
            <w:left w:val="none" w:sz="0" w:space="0" w:color="auto"/>
            <w:bottom w:val="none" w:sz="0" w:space="0" w:color="auto"/>
            <w:right w:val="none" w:sz="0" w:space="0" w:color="auto"/>
          </w:divBdr>
        </w:div>
        <w:div w:id="872812105">
          <w:marLeft w:val="547"/>
          <w:marRight w:val="0"/>
          <w:marTop w:val="96"/>
          <w:marBottom w:val="0"/>
          <w:divBdr>
            <w:top w:val="none" w:sz="0" w:space="0" w:color="auto"/>
            <w:left w:val="none" w:sz="0" w:space="0" w:color="auto"/>
            <w:bottom w:val="none" w:sz="0" w:space="0" w:color="auto"/>
            <w:right w:val="none" w:sz="0" w:space="0" w:color="auto"/>
          </w:divBdr>
        </w:div>
      </w:divsChild>
    </w:div>
    <w:div w:id="507334116">
      <w:bodyDiv w:val="1"/>
      <w:marLeft w:val="0"/>
      <w:marRight w:val="0"/>
      <w:marTop w:val="0"/>
      <w:marBottom w:val="0"/>
      <w:divBdr>
        <w:top w:val="none" w:sz="0" w:space="0" w:color="auto"/>
        <w:left w:val="none" w:sz="0" w:space="0" w:color="auto"/>
        <w:bottom w:val="none" w:sz="0" w:space="0" w:color="auto"/>
        <w:right w:val="none" w:sz="0" w:space="0" w:color="auto"/>
      </w:divBdr>
    </w:div>
    <w:div w:id="508759415">
      <w:bodyDiv w:val="1"/>
      <w:marLeft w:val="0"/>
      <w:marRight w:val="0"/>
      <w:marTop w:val="0"/>
      <w:marBottom w:val="0"/>
      <w:divBdr>
        <w:top w:val="none" w:sz="0" w:space="0" w:color="auto"/>
        <w:left w:val="none" w:sz="0" w:space="0" w:color="auto"/>
        <w:bottom w:val="none" w:sz="0" w:space="0" w:color="auto"/>
        <w:right w:val="none" w:sz="0" w:space="0" w:color="auto"/>
      </w:divBdr>
    </w:div>
    <w:div w:id="634456154">
      <w:bodyDiv w:val="1"/>
      <w:marLeft w:val="375"/>
      <w:marRight w:val="375"/>
      <w:marTop w:val="75"/>
      <w:marBottom w:val="75"/>
      <w:divBdr>
        <w:top w:val="none" w:sz="0" w:space="0" w:color="auto"/>
        <w:left w:val="none" w:sz="0" w:space="0" w:color="auto"/>
        <w:bottom w:val="none" w:sz="0" w:space="0" w:color="auto"/>
        <w:right w:val="none" w:sz="0" w:space="0" w:color="auto"/>
      </w:divBdr>
      <w:divsChild>
        <w:div w:id="1503810377">
          <w:marLeft w:val="0"/>
          <w:marRight w:val="0"/>
          <w:marTop w:val="0"/>
          <w:marBottom w:val="0"/>
          <w:divBdr>
            <w:top w:val="none" w:sz="0" w:space="0" w:color="auto"/>
            <w:left w:val="none" w:sz="0" w:space="0" w:color="auto"/>
            <w:bottom w:val="none" w:sz="0" w:space="0" w:color="auto"/>
            <w:right w:val="none" w:sz="0" w:space="0" w:color="auto"/>
          </w:divBdr>
          <w:divsChild>
            <w:div w:id="556821253">
              <w:marLeft w:val="0"/>
              <w:marRight w:val="0"/>
              <w:marTop w:val="0"/>
              <w:marBottom w:val="0"/>
              <w:divBdr>
                <w:top w:val="none" w:sz="0" w:space="0" w:color="auto"/>
                <w:left w:val="none" w:sz="0" w:space="0" w:color="auto"/>
                <w:bottom w:val="none" w:sz="0" w:space="0" w:color="auto"/>
                <w:right w:val="none" w:sz="0" w:space="0" w:color="auto"/>
              </w:divBdr>
              <w:divsChild>
                <w:div w:id="1528762113">
                  <w:marLeft w:val="0"/>
                  <w:marRight w:val="0"/>
                  <w:marTop w:val="0"/>
                  <w:marBottom w:val="0"/>
                  <w:divBdr>
                    <w:top w:val="none" w:sz="0" w:space="0" w:color="auto"/>
                    <w:left w:val="none" w:sz="0" w:space="0" w:color="auto"/>
                    <w:bottom w:val="none" w:sz="0" w:space="0" w:color="auto"/>
                    <w:right w:val="none" w:sz="0" w:space="0" w:color="auto"/>
                  </w:divBdr>
                  <w:divsChild>
                    <w:div w:id="7246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2566794">
      <w:bodyDiv w:val="1"/>
      <w:marLeft w:val="0"/>
      <w:marRight w:val="0"/>
      <w:marTop w:val="0"/>
      <w:marBottom w:val="0"/>
      <w:divBdr>
        <w:top w:val="none" w:sz="0" w:space="0" w:color="auto"/>
        <w:left w:val="none" w:sz="0" w:space="0" w:color="auto"/>
        <w:bottom w:val="none" w:sz="0" w:space="0" w:color="auto"/>
        <w:right w:val="none" w:sz="0" w:space="0" w:color="auto"/>
      </w:divBdr>
      <w:divsChild>
        <w:div w:id="434831684">
          <w:marLeft w:val="0"/>
          <w:marRight w:val="0"/>
          <w:marTop w:val="0"/>
          <w:marBottom w:val="0"/>
          <w:divBdr>
            <w:top w:val="none" w:sz="0" w:space="0" w:color="auto"/>
            <w:left w:val="none" w:sz="0" w:space="0" w:color="auto"/>
            <w:bottom w:val="none" w:sz="0" w:space="0" w:color="auto"/>
            <w:right w:val="none" w:sz="0" w:space="0" w:color="auto"/>
          </w:divBdr>
          <w:divsChild>
            <w:div w:id="1524898131">
              <w:marLeft w:val="0"/>
              <w:marRight w:val="0"/>
              <w:marTop w:val="0"/>
              <w:marBottom w:val="0"/>
              <w:divBdr>
                <w:top w:val="none" w:sz="0" w:space="0" w:color="auto"/>
                <w:left w:val="none" w:sz="0" w:space="0" w:color="auto"/>
                <w:bottom w:val="none" w:sz="0" w:space="0" w:color="auto"/>
                <w:right w:val="none" w:sz="0" w:space="0" w:color="auto"/>
              </w:divBdr>
              <w:divsChild>
                <w:div w:id="888304997">
                  <w:marLeft w:val="0"/>
                  <w:marRight w:val="0"/>
                  <w:marTop w:val="0"/>
                  <w:marBottom w:val="0"/>
                  <w:divBdr>
                    <w:top w:val="none" w:sz="0" w:space="0" w:color="auto"/>
                    <w:left w:val="none" w:sz="0" w:space="0" w:color="auto"/>
                    <w:bottom w:val="none" w:sz="0" w:space="0" w:color="auto"/>
                    <w:right w:val="none" w:sz="0" w:space="0" w:color="auto"/>
                  </w:divBdr>
                  <w:divsChild>
                    <w:div w:id="2003197616">
                      <w:marLeft w:val="0"/>
                      <w:marRight w:val="0"/>
                      <w:marTop w:val="0"/>
                      <w:marBottom w:val="0"/>
                      <w:divBdr>
                        <w:top w:val="none" w:sz="0" w:space="0" w:color="auto"/>
                        <w:left w:val="none" w:sz="0" w:space="0" w:color="auto"/>
                        <w:bottom w:val="none" w:sz="0" w:space="0" w:color="auto"/>
                        <w:right w:val="none" w:sz="0" w:space="0" w:color="auto"/>
                      </w:divBdr>
                      <w:divsChild>
                        <w:div w:id="1825704000">
                          <w:marLeft w:val="0"/>
                          <w:marRight w:val="0"/>
                          <w:marTop w:val="0"/>
                          <w:marBottom w:val="0"/>
                          <w:divBdr>
                            <w:top w:val="none" w:sz="0" w:space="0" w:color="auto"/>
                            <w:left w:val="none" w:sz="0" w:space="0" w:color="auto"/>
                            <w:bottom w:val="none" w:sz="0" w:space="0" w:color="auto"/>
                            <w:right w:val="none" w:sz="0" w:space="0" w:color="auto"/>
                          </w:divBdr>
                          <w:divsChild>
                            <w:div w:id="167209287">
                              <w:marLeft w:val="0"/>
                              <w:marRight w:val="0"/>
                              <w:marTop w:val="0"/>
                              <w:marBottom w:val="0"/>
                              <w:divBdr>
                                <w:top w:val="none" w:sz="0" w:space="0" w:color="auto"/>
                                <w:left w:val="none" w:sz="0" w:space="0" w:color="auto"/>
                                <w:bottom w:val="none" w:sz="0" w:space="0" w:color="auto"/>
                                <w:right w:val="none" w:sz="0" w:space="0" w:color="auto"/>
                              </w:divBdr>
                              <w:divsChild>
                                <w:div w:id="992367725">
                                  <w:marLeft w:val="0"/>
                                  <w:marRight w:val="0"/>
                                  <w:marTop w:val="0"/>
                                  <w:marBottom w:val="0"/>
                                  <w:divBdr>
                                    <w:top w:val="none" w:sz="0" w:space="0" w:color="auto"/>
                                    <w:left w:val="none" w:sz="0" w:space="0" w:color="auto"/>
                                    <w:bottom w:val="none" w:sz="0" w:space="0" w:color="auto"/>
                                    <w:right w:val="none" w:sz="0" w:space="0" w:color="auto"/>
                                  </w:divBdr>
                                  <w:divsChild>
                                    <w:div w:id="1178275128">
                                      <w:marLeft w:val="0"/>
                                      <w:marRight w:val="0"/>
                                      <w:marTop w:val="0"/>
                                      <w:marBottom w:val="0"/>
                                      <w:divBdr>
                                        <w:top w:val="none" w:sz="0" w:space="0" w:color="auto"/>
                                        <w:left w:val="none" w:sz="0" w:space="0" w:color="auto"/>
                                        <w:bottom w:val="none" w:sz="0" w:space="0" w:color="auto"/>
                                        <w:right w:val="none" w:sz="0" w:space="0" w:color="auto"/>
                                      </w:divBdr>
                                      <w:divsChild>
                                        <w:div w:id="1871606163">
                                          <w:marLeft w:val="0"/>
                                          <w:marRight w:val="0"/>
                                          <w:marTop w:val="0"/>
                                          <w:marBottom w:val="0"/>
                                          <w:divBdr>
                                            <w:top w:val="none" w:sz="0" w:space="0" w:color="auto"/>
                                            <w:left w:val="none" w:sz="0" w:space="0" w:color="auto"/>
                                            <w:bottom w:val="none" w:sz="0" w:space="0" w:color="auto"/>
                                            <w:right w:val="none" w:sz="0" w:space="0" w:color="auto"/>
                                          </w:divBdr>
                                          <w:divsChild>
                                            <w:div w:id="554387821">
                                              <w:marLeft w:val="0"/>
                                              <w:marRight w:val="0"/>
                                              <w:marTop w:val="0"/>
                                              <w:marBottom w:val="0"/>
                                              <w:divBdr>
                                                <w:top w:val="none" w:sz="0" w:space="0" w:color="auto"/>
                                                <w:left w:val="none" w:sz="0" w:space="0" w:color="auto"/>
                                                <w:bottom w:val="none" w:sz="0" w:space="0" w:color="auto"/>
                                                <w:right w:val="none" w:sz="0" w:space="0" w:color="auto"/>
                                              </w:divBdr>
                                              <w:divsChild>
                                                <w:div w:id="451635452">
                                                  <w:marLeft w:val="0"/>
                                                  <w:marRight w:val="0"/>
                                                  <w:marTop w:val="0"/>
                                                  <w:marBottom w:val="0"/>
                                                  <w:divBdr>
                                                    <w:top w:val="none" w:sz="0" w:space="0" w:color="auto"/>
                                                    <w:left w:val="none" w:sz="0" w:space="0" w:color="auto"/>
                                                    <w:bottom w:val="none" w:sz="0" w:space="0" w:color="auto"/>
                                                    <w:right w:val="none" w:sz="0" w:space="0" w:color="auto"/>
                                                  </w:divBdr>
                                                  <w:divsChild>
                                                    <w:div w:id="9937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688320">
      <w:bodyDiv w:val="1"/>
      <w:marLeft w:val="0"/>
      <w:marRight w:val="0"/>
      <w:marTop w:val="0"/>
      <w:marBottom w:val="0"/>
      <w:divBdr>
        <w:top w:val="none" w:sz="0" w:space="0" w:color="auto"/>
        <w:left w:val="none" w:sz="0" w:space="0" w:color="auto"/>
        <w:bottom w:val="none" w:sz="0" w:space="0" w:color="auto"/>
        <w:right w:val="none" w:sz="0" w:space="0" w:color="auto"/>
      </w:divBdr>
    </w:div>
    <w:div w:id="809978766">
      <w:bodyDiv w:val="1"/>
      <w:marLeft w:val="0"/>
      <w:marRight w:val="0"/>
      <w:marTop w:val="0"/>
      <w:marBottom w:val="0"/>
      <w:divBdr>
        <w:top w:val="none" w:sz="0" w:space="0" w:color="auto"/>
        <w:left w:val="none" w:sz="0" w:space="0" w:color="auto"/>
        <w:bottom w:val="none" w:sz="0" w:space="0" w:color="auto"/>
        <w:right w:val="none" w:sz="0" w:space="0" w:color="auto"/>
      </w:divBdr>
    </w:div>
    <w:div w:id="837844739">
      <w:bodyDiv w:val="1"/>
      <w:marLeft w:val="0"/>
      <w:marRight w:val="0"/>
      <w:marTop w:val="0"/>
      <w:marBottom w:val="0"/>
      <w:divBdr>
        <w:top w:val="none" w:sz="0" w:space="0" w:color="auto"/>
        <w:left w:val="none" w:sz="0" w:space="0" w:color="auto"/>
        <w:bottom w:val="none" w:sz="0" w:space="0" w:color="auto"/>
        <w:right w:val="none" w:sz="0" w:space="0" w:color="auto"/>
      </w:divBdr>
    </w:div>
    <w:div w:id="881868302">
      <w:bodyDiv w:val="1"/>
      <w:marLeft w:val="0"/>
      <w:marRight w:val="0"/>
      <w:marTop w:val="0"/>
      <w:marBottom w:val="0"/>
      <w:divBdr>
        <w:top w:val="none" w:sz="0" w:space="0" w:color="auto"/>
        <w:left w:val="none" w:sz="0" w:space="0" w:color="auto"/>
        <w:bottom w:val="none" w:sz="0" w:space="0" w:color="auto"/>
        <w:right w:val="none" w:sz="0" w:space="0" w:color="auto"/>
      </w:divBdr>
    </w:div>
    <w:div w:id="901868179">
      <w:bodyDiv w:val="1"/>
      <w:marLeft w:val="0"/>
      <w:marRight w:val="0"/>
      <w:marTop w:val="0"/>
      <w:marBottom w:val="0"/>
      <w:divBdr>
        <w:top w:val="none" w:sz="0" w:space="0" w:color="auto"/>
        <w:left w:val="none" w:sz="0" w:space="0" w:color="auto"/>
        <w:bottom w:val="none" w:sz="0" w:space="0" w:color="auto"/>
        <w:right w:val="none" w:sz="0" w:space="0" w:color="auto"/>
      </w:divBdr>
      <w:divsChild>
        <w:div w:id="1667241396">
          <w:marLeft w:val="0"/>
          <w:marRight w:val="0"/>
          <w:marTop w:val="0"/>
          <w:marBottom w:val="0"/>
          <w:divBdr>
            <w:top w:val="none" w:sz="0" w:space="0" w:color="auto"/>
            <w:left w:val="none" w:sz="0" w:space="0" w:color="auto"/>
            <w:bottom w:val="none" w:sz="0" w:space="0" w:color="auto"/>
            <w:right w:val="none" w:sz="0" w:space="0" w:color="auto"/>
          </w:divBdr>
          <w:divsChild>
            <w:div w:id="1062483244">
              <w:marLeft w:val="0"/>
              <w:marRight w:val="0"/>
              <w:marTop w:val="0"/>
              <w:marBottom w:val="0"/>
              <w:divBdr>
                <w:top w:val="none" w:sz="0" w:space="0" w:color="auto"/>
                <w:left w:val="none" w:sz="0" w:space="0" w:color="auto"/>
                <w:bottom w:val="none" w:sz="0" w:space="0" w:color="auto"/>
                <w:right w:val="none" w:sz="0" w:space="0" w:color="auto"/>
              </w:divBdr>
              <w:divsChild>
                <w:div w:id="1304430340">
                  <w:marLeft w:val="0"/>
                  <w:marRight w:val="0"/>
                  <w:marTop w:val="0"/>
                  <w:marBottom w:val="0"/>
                  <w:divBdr>
                    <w:top w:val="none" w:sz="0" w:space="0" w:color="auto"/>
                    <w:left w:val="none" w:sz="0" w:space="0" w:color="auto"/>
                    <w:bottom w:val="none" w:sz="0" w:space="0" w:color="auto"/>
                    <w:right w:val="none" w:sz="0" w:space="0" w:color="auto"/>
                  </w:divBdr>
                  <w:divsChild>
                    <w:div w:id="101459355">
                      <w:marLeft w:val="0"/>
                      <w:marRight w:val="0"/>
                      <w:marTop w:val="0"/>
                      <w:marBottom w:val="0"/>
                      <w:divBdr>
                        <w:top w:val="none" w:sz="0" w:space="0" w:color="auto"/>
                        <w:left w:val="none" w:sz="0" w:space="0" w:color="auto"/>
                        <w:bottom w:val="none" w:sz="0" w:space="0" w:color="auto"/>
                        <w:right w:val="none" w:sz="0" w:space="0" w:color="auto"/>
                      </w:divBdr>
                      <w:divsChild>
                        <w:div w:id="1865095186">
                          <w:marLeft w:val="0"/>
                          <w:marRight w:val="0"/>
                          <w:marTop w:val="0"/>
                          <w:marBottom w:val="0"/>
                          <w:divBdr>
                            <w:top w:val="none" w:sz="0" w:space="0" w:color="auto"/>
                            <w:left w:val="none" w:sz="0" w:space="0" w:color="auto"/>
                            <w:bottom w:val="none" w:sz="0" w:space="0" w:color="auto"/>
                            <w:right w:val="none" w:sz="0" w:space="0" w:color="auto"/>
                          </w:divBdr>
                          <w:divsChild>
                            <w:div w:id="651834364">
                              <w:marLeft w:val="0"/>
                              <w:marRight w:val="0"/>
                              <w:marTop w:val="0"/>
                              <w:marBottom w:val="0"/>
                              <w:divBdr>
                                <w:top w:val="none" w:sz="0" w:space="0" w:color="auto"/>
                                <w:left w:val="none" w:sz="0" w:space="0" w:color="auto"/>
                                <w:bottom w:val="none" w:sz="0" w:space="0" w:color="auto"/>
                                <w:right w:val="none" w:sz="0" w:space="0" w:color="auto"/>
                              </w:divBdr>
                              <w:divsChild>
                                <w:div w:id="18683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92841">
      <w:bodyDiv w:val="1"/>
      <w:marLeft w:val="0"/>
      <w:marRight w:val="0"/>
      <w:marTop w:val="0"/>
      <w:marBottom w:val="0"/>
      <w:divBdr>
        <w:top w:val="none" w:sz="0" w:space="0" w:color="auto"/>
        <w:left w:val="none" w:sz="0" w:space="0" w:color="auto"/>
        <w:bottom w:val="none" w:sz="0" w:space="0" w:color="auto"/>
        <w:right w:val="none" w:sz="0" w:space="0" w:color="auto"/>
      </w:divBdr>
    </w:div>
    <w:div w:id="1024097253">
      <w:bodyDiv w:val="1"/>
      <w:marLeft w:val="375"/>
      <w:marRight w:val="375"/>
      <w:marTop w:val="75"/>
      <w:marBottom w:val="75"/>
      <w:divBdr>
        <w:top w:val="none" w:sz="0" w:space="0" w:color="auto"/>
        <w:left w:val="none" w:sz="0" w:space="0" w:color="auto"/>
        <w:bottom w:val="none" w:sz="0" w:space="0" w:color="auto"/>
        <w:right w:val="none" w:sz="0" w:space="0" w:color="auto"/>
      </w:divBdr>
      <w:divsChild>
        <w:div w:id="706877817">
          <w:marLeft w:val="0"/>
          <w:marRight w:val="0"/>
          <w:marTop w:val="0"/>
          <w:marBottom w:val="0"/>
          <w:divBdr>
            <w:top w:val="none" w:sz="0" w:space="0" w:color="auto"/>
            <w:left w:val="none" w:sz="0" w:space="0" w:color="auto"/>
            <w:bottom w:val="none" w:sz="0" w:space="0" w:color="auto"/>
            <w:right w:val="none" w:sz="0" w:space="0" w:color="auto"/>
          </w:divBdr>
          <w:divsChild>
            <w:div w:id="1512136461">
              <w:marLeft w:val="0"/>
              <w:marRight w:val="0"/>
              <w:marTop w:val="0"/>
              <w:marBottom w:val="0"/>
              <w:divBdr>
                <w:top w:val="none" w:sz="0" w:space="0" w:color="auto"/>
                <w:left w:val="none" w:sz="0" w:space="0" w:color="auto"/>
                <w:bottom w:val="none" w:sz="0" w:space="0" w:color="auto"/>
                <w:right w:val="none" w:sz="0" w:space="0" w:color="auto"/>
              </w:divBdr>
              <w:divsChild>
                <w:div w:id="1829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322">
      <w:bodyDiv w:val="1"/>
      <w:marLeft w:val="0"/>
      <w:marRight w:val="0"/>
      <w:marTop w:val="0"/>
      <w:marBottom w:val="0"/>
      <w:divBdr>
        <w:top w:val="none" w:sz="0" w:space="0" w:color="auto"/>
        <w:left w:val="none" w:sz="0" w:space="0" w:color="auto"/>
        <w:bottom w:val="none" w:sz="0" w:space="0" w:color="auto"/>
        <w:right w:val="none" w:sz="0" w:space="0" w:color="auto"/>
      </w:divBdr>
    </w:div>
    <w:div w:id="1087532039">
      <w:bodyDiv w:val="1"/>
      <w:marLeft w:val="0"/>
      <w:marRight w:val="0"/>
      <w:marTop w:val="0"/>
      <w:marBottom w:val="0"/>
      <w:divBdr>
        <w:top w:val="none" w:sz="0" w:space="0" w:color="auto"/>
        <w:left w:val="none" w:sz="0" w:space="0" w:color="auto"/>
        <w:bottom w:val="none" w:sz="0" w:space="0" w:color="auto"/>
        <w:right w:val="none" w:sz="0" w:space="0" w:color="auto"/>
      </w:divBdr>
    </w:div>
    <w:div w:id="1109163243">
      <w:bodyDiv w:val="1"/>
      <w:marLeft w:val="0"/>
      <w:marRight w:val="0"/>
      <w:marTop w:val="0"/>
      <w:marBottom w:val="0"/>
      <w:divBdr>
        <w:top w:val="none" w:sz="0" w:space="0" w:color="auto"/>
        <w:left w:val="none" w:sz="0" w:space="0" w:color="auto"/>
        <w:bottom w:val="none" w:sz="0" w:space="0" w:color="auto"/>
        <w:right w:val="none" w:sz="0" w:space="0" w:color="auto"/>
      </w:divBdr>
    </w:div>
    <w:div w:id="1110903019">
      <w:bodyDiv w:val="1"/>
      <w:marLeft w:val="0"/>
      <w:marRight w:val="0"/>
      <w:marTop w:val="0"/>
      <w:marBottom w:val="0"/>
      <w:divBdr>
        <w:top w:val="none" w:sz="0" w:space="0" w:color="auto"/>
        <w:left w:val="none" w:sz="0" w:space="0" w:color="auto"/>
        <w:bottom w:val="none" w:sz="0" w:space="0" w:color="auto"/>
        <w:right w:val="none" w:sz="0" w:space="0" w:color="auto"/>
      </w:divBdr>
    </w:div>
    <w:div w:id="1128207924">
      <w:bodyDiv w:val="1"/>
      <w:marLeft w:val="0"/>
      <w:marRight w:val="0"/>
      <w:marTop w:val="0"/>
      <w:marBottom w:val="0"/>
      <w:divBdr>
        <w:top w:val="none" w:sz="0" w:space="0" w:color="auto"/>
        <w:left w:val="none" w:sz="0" w:space="0" w:color="auto"/>
        <w:bottom w:val="none" w:sz="0" w:space="0" w:color="auto"/>
        <w:right w:val="none" w:sz="0" w:space="0" w:color="auto"/>
      </w:divBdr>
    </w:div>
    <w:div w:id="1134524625">
      <w:bodyDiv w:val="1"/>
      <w:marLeft w:val="0"/>
      <w:marRight w:val="0"/>
      <w:marTop w:val="0"/>
      <w:marBottom w:val="0"/>
      <w:divBdr>
        <w:top w:val="none" w:sz="0" w:space="0" w:color="auto"/>
        <w:left w:val="none" w:sz="0" w:space="0" w:color="auto"/>
        <w:bottom w:val="none" w:sz="0" w:space="0" w:color="auto"/>
        <w:right w:val="none" w:sz="0" w:space="0" w:color="auto"/>
      </w:divBdr>
    </w:div>
    <w:div w:id="1153327194">
      <w:bodyDiv w:val="1"/>
      <w:marLeft w:val="0"/>
      <w:marRight w:val="0"/>
      <w:marTop w:val="0"/>
      <w:marBottom w:val="0"/>
      <w:divBdr>
        <w:top w:val="none" w:sz="0" w:space="0" w:color="auto"/>
        <w:left w:val="none" w:sz="0" w:space="0" w:color="auto"/>
        <w:bottom w:val="none" w:sz="0" w:space="0" w:color="auto"/>
        <w:right w:val="none" w:sz="0" w:space="0" w:color="auto"/>
      </w:divBdr>
    </w:div>
    <w:div w:id="1189367839">
      <w:bodyDiv w:val="1"/>
      <w:marLeft w:val="0"/>
      <w:marRight w:val="0"/>
      <w:marTop w:val="0"/>
      <w:marBottom w:val="0"/>
      <w:divBdr>
        <w:top w:val="none" w:sz="0" w:space="0" w:color="auto"/>
        <w:left w:val="none" w:sz="0" w:space="0" w:color="auto"/>
        <w:bottom w:val="none" w:sz="0" w:space="0" w:color="auto"/>
        <w:right w:val="none" w:sz="0" w:space="0" w:color="auto"/>
      </w:divBdr>
    </w:div>
    <w:div w:id="1191262035">
      <w:bodyDiv w:val="1"/>
      <w:marLeft w:val="0"/>
      <w:marRight w:val="0"/>
      <w:marTop w:val="0"/>
      <w:marBottom w:val="0"/>
      <w:divBdr>
        <w:top w:val="none" w:sz="0" w:space="0" w:color="auto"/>
        <w:left w:val="none" w:sz="0" w:space="0" w:color="auto"/>
        <w:bottom w:val="none" w:sz="0" w:space="0" w:color="auto"/>
        <w:right w:val="none" w:sz="0" w:space="0" w:color="auto"/>
      </w:divBdr>
      <w:divsChild>
        <w:div w:id="512764152">
          <w:marLeft w:val="0"/>
          <w:marRight w:val="0"/>
          <w:marTop w:val="0"/>
          <w:marBottom w:val="0"/>
          <w:divBdr>
            <w:top w:val="none" w:sz="0" w:space="0" w:color="auto"/>
            <w:left w:val="none" w:sz="0" w:space="0" w:color="auto"/>
            <w:bottom w:val="none" w:sz="0" w:space="0" w:color="auto"/>
            <w:right w:val="none" w:sz="0" w:space="0" w:color="auto"/>
          </w:divBdr>
        </w:div>
      </w:divsChild>
    </w:div>
    <w:div w:id="1255823495">
      <w:bodyDiv w:val="1"/>
      <w:marLeft w:val="0"/>
      <w:marRight w:val="0"/>
      <w:marTop w:val="0"/>
      <w:marBottom w:val="0"/>
      <w:divBdr>
        <w:top w:val="none" w:sz="0" w:space="0" w:color="auto"/>
        <w:left w:val="none" w:sz="0" w:space="0" w:color="auto"/>
        <w:bottom w:val="none" w:sz="0" w:space="0" w:color="auto"/>
        <w:right w:val="none" w:sz="0" w:space="0" w:color="auto"/>
      </w:divBdr>
    </w:div>
    <w:div w:id="1261372240">
      <w:bodyDiv w:val="1"/>
      <w:marLeft w:val="0"/>
      <w:marRight w:val="0"/>
      <w:marTop w:val="0"/>
      <w:marBottom w:val="0"/>
      <w:divBdr>
        <w:top w:val="none" w:sz="0" w:space="0" w:color="auto"/>
        <w:left w:val="none" w:sz="0" w:space="0" w:color="auto"/>
        <w:bottom w:val="none" w:sz="0" w:space="0" w:color="auto"/>
        <w:right w:val="none" w:sz="0" w:space="0" w:color="auto"/>
      </w:divBdr>
      <w:divsChild>
        <w:div w:id="1975406589">
          <w:marLeft w:val="0"/>
          <w:marRight w:val="0"/>
          <w:marTop w:val="0"/>
          <w:marBottom w:val="0"/>
          <w:divBdr>
            <w:top w:val="none" w:sz="0" w:space="0" w:color="auto"/>
            <w:left w:val="none" w:sz="0" w:space="0" w:color="auto"/>
            <w:bottom w:val="none" w:sz="0" w:space="0" w:color="auto"/>
            <w:right w:val="none" w:sz="0" w:space="0" w:color="auto"/>
          </w:divBdr>
          <w:divsChild>
            <w:div w:id="458691798">
              <w:marLeft w:val="0"/>
              <w:marRight w:val="0"/>
              <w:marTop w:val="0"/>
              <w:marBottom w:val="0"/>
              <w:divBdr>
                <w:top w:val="none" w:sz="0" w:space="0" w:color="auto"/>
                <w:left w:val="none" w:sz="0" w:space="0" w:color="auto"/>
                <w:bottom w:val="none" w:sz="0" w:space="0" w:color="auto"/>
                <w:right w:val="none" w:sz="0" w:space="0" w:color="auto"/>
              </w:divBdr>
              <w:divsChild>
                <w:div w:id="1635525261">
                  <w:marLeft w:val="0"/>
                  <w:marRight w:val="0"/>
                  <w:marTop w:val="0"/>
                  <w:marBottom w:val="0"/>
                  <w:divBdr>
                    <w:top w:val="none" w:sz="0" w:space="0" w:color="auto"/>
                    <w:left w:val="none" w:sz="0" w:space="0" w:color="auto"/>
                    <w:bottom w:val="none" w:sz="0" w:space="0" w:color="auto"/>
                    <w:right w:val="none" w:sz="0" w:space="0" w:color="auto"/>
                  </w:divBdr>
                  <w:divsChild>
                    <w:div w:id="1234393570">
                      <w:marLeft w:val="0"/>
                      <w:marRight w:val="0"/>
                      <w:marTop w:val="0"/>
                      <w:marBottom w:val="0"/>
                      <w:divBdr>
                        <w:top w:val="none" w:sz="0" w:space="0" w:color="auto"/>
                        <w:left w:val="none" w:sz="0" w:space="0" w:color="auto"/>
                        <w:bottom w:val="none" w:sz="0" w:space="0" w:color="auto"/>
                        <w:right w:val="none" w:sz="0" w:space="0" w:color="auto"/>
                      </w:divBdr>
                      <w:divsChild>
                        <w:div w:id="546260522">
                          <w:marLeft w:val="0"/>
                          <w:marRight w:val="0"/>
                          <w:marTop w:val="0"/>
                          <w:marBottom w:val="0"/>
                          <w:divBdr>
                            <w:top w:val="none" w:sz="0" w:space="0" w:color="auto"/>
                            <w:left w:val="none" w:sz="0" w:space="0" w:color="auto"/>
                            <w:bottom w:val="none" w:sz="0" w:space="0" w:color="auto"/>
                            <w:right w:val="none" w:sz="0" w:space="0" w:color="auto"/>
                          </w:divBdr>
                          <w:divsChild>
                            <w:div w:id="966548160">
                              <w:marLeft w:val="0"/>
                              <w:marRight w:val="0"/>
                              <w:marTop w:val="0"/>
                              <w:marBottom w:val="0"/>
                              <w:divBdr>
                                <w:top w:val="none" w:sz="0" w:space="0" w:color="auto"/>
                                <w:left w:val="none" w:sz="0" w:space="0" w:color="auto"/>
                                <w:bottom w:val="none" w:sz="0" w:space="0" w:color="auto"/>
                                <w:right w:val="none" w:sz="0" w:space="0" w:color="auto"/>
                              </w:divBdr>
                              <w:divsChild>
                                <w:div w:id="314576645">
                                  <w:marLeft w:val="0"/>
                                  <w:marRight w:val="0"/>
                                  <w:marTop w:val="0"/>
                                  <w:marBottom w:val="0"/>
                                  <w:divBdr>
                                    <w:top w:val="none" w:sz="0" w:space="0" w:color="auto"/>
                                    <w:left w:val="none" w:sz="0" w:space="0" w:color="auto"/>
                                    <w:bottom w:val="none" w:sz="0" w:space="0" w:color="auto"/>
                                    <w:right w:val="none" w:sz="0" w:space="0" w:color="auto"/>
                                  </w:divBdr>
                                  <w:divsChild>
                                    <w:div w:id="851410328">
                                      <w:marLeft w:val="0"/>
                                      <w:marRight w:val="0"/>
                                      <w:marTop w:val="0"/>
                                      <w:marBottom w:val="0"/>
                                      <w:divBdr>
                                        <w:top w:val="none" w:sz="0" w:space="0" w:color="auto"/>
                                        <w:left w:val="none" w:sz="0" w:space="0" w:color="auto"/>
                                        <w:bottom w:val="none" w:sz="0" w:space="0" w:color="auto"/>
                                        <w:right w:val="none" w:sz="0" w:space="0" w:color="auto"/>
                                      </w:divBdr>
                                    </w:div>
                                    <w:div w:id="1436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988607">
      <w:bodyDiv w:val="1"/>
      <w:marLeft w:val="0"/>
      <w:marRight w:val="0"/>
      <w:marTop w:val="0"/>
      <w:marBottom w:val="0"/>
      <w:divBdr>
        <w:top w:val="none" w:sz="0" w:space="0" w:color="auto"/>
        <w:left w:val="none" w:sz="0" w:space="0" w:color="auto"/>
        <w:bottom w:val="none" w:sz="0" w:space="0" w:color="auto"/>
        <w:right w:val="none" w:sz="0" w:space="0" w:color="auto"/>
      </w:divBdr>
    </w:div>
    <w:div w:id="1286883239">
      <w:bodyDiv w:val="1"/>
      <w:marLeft w:val="0"/>
      <w:marRight w:val="0"/>
      <w:marTop w:val="0"/>
      <w:marBottom w:val="0"/>
      <w:divBdr>
        <w:top w:val="none" w:sz="0" w:space="0" w:color="auto"/>
        <w:left w:val="none" w:sz="0" w:space="0" w:color="auto"/>
        <w:bottom w:val="none" w:sz="0" w:space="0" w:color="auto"/>
        <w:right w:val="none" w:sz="0" w:space="0" w:color="auto"/>
      </w:divBdr>
    </w:div>
    <w:div w:id="1352298294">
      <w:bodyDiv w:val="1"/>
      <w:marLeft w:val="0"/>
      <w:marRight w:val="0"/>
      <w:marTop w:val="0"/>
      <w:marBottom w:val="0"/>
      <w:divBdr>
        <w:top w:val="none" w:sz="0" w:space="0" w:color="auto"/>
        <w:left w:val="none" w:sz="0" w:space="0" w:color="auto"/>
        <w:bottom w:val="none" w:sz="0" w:space="0" w:color="auto"/>
        <w:right w:val="none" w:sz="0" w:space="0" w:color="auto"/>
      </w:divBdr>
    </w:div>
    <w:div w:id="1380478420">
      <w:bodyDiv w:val="1"/>
      <w:marLeft w:val="0"/>
      <w:marRight w:val="0"/>
      <w:marTop w:val="0"/>
      <w:marBottom w:val="0"/>
      <w:divBdr>
        <w:top w:val="none" w:sz="0" w:space="0" w:color="auto"/>
        <w:left w:val="none" w:sz="0" w:space="0" w:color="auto"/>
        <w:bottom w:val="none" w:sz="0" w:space="0" w:color="auto"/>
        <w:right w:val="none" w:sz="0" w:space="0" w:color="auto"/>
      </w:divBdr>
    </w:div>
    <w:div w:id="1451782300">
      <w:bodyDiv w:val="1"/>
      <w:marLeft w:val="0"/>
      <w:marRight w:val="0"/>
      <w:marTop w:val="0"/>
      <w:marBottom w:val="0"/>
      <w:divBdr>
        <w:top w:val="none" w:sz="0" w:space="0" w:color="auto"/>
        <w:left w:val="none" w:sz="0" w:space="0" w:color="auto"/>
        <w:bottom w:val="none" w:sz="0" w:space="0" w:color="auto"/>
        <w:right w:val="none" w:sz="0" w:space="0" w:color="auto"/>
      </w:divBdr>
    </w:div>
    <w:div w:id="1455516096">
      <w:bodyDiv w:val="1"/>
      <w:marLeft w:val="0"/>
      <w:marRight w:val="0"/>
      <w:marTop w:val="0"/>
      <w:marBottom w:val="0"/>
      <w:divBdr>
        <w:top w:val="none" w:sz="0" w:space="0" w:color="auto"/>
        <w:left w:val="none" w:sz="0" w:space="0" w:color="auto"/>
        <w:bottom w:val="none" w:sz="0" w:space="0" w:color="auto"/>
        <w:right w:val="none" w:sz="0" w:space="0" w:color="auto"/>
      </w:divBdr>
    </w:div>
    <w:div w:id="1458714926">
      <w:bodyDiv w:val="1"/>
      <w:marLeft w:val="0"/>
      <w:marRight w:val="0"/>
      <w:marTop w:val="0"/>
      <w:marBottom w:val="0"/>
      <w:divBdr>
        <w:top w:val="none" w:sz="0" w:space="0" w:color="auto"/>
        <w:left w:val="none" w:sz="0" w:space="0" w:color="auto"/>
        <w:bottom w:val="none" w:sz="0" w:space="0" w:color="auto"/>
        <w:right w:val="none" w:sz="0" w:space="0" w:color="auto"/>
      </w:divBdr>
      <w:divsChild>
        <w:div w:id="60450423">
          <w:marLeft w:val="720"/>
          <w:marRight w:val="0"/>
          <w:marTop w:val="0"/>
          <w:marBottom w:val="0"/>
          <w:divBdr>
            <w:top w:val="none" w:sz="0" w:space="0" w:color="auto"/>
            <w:left w:val="none" w:sz="0" w:space="0" w:color="auto"/>
            <w:bottom w:val="none" w:sz="0" w:space="0" w:color="auto"/>
            <w:right w:val="none" w:sz="0" w:space="0" w:color="auto"/>
          </w:divBdr>
        </w:div>
        <w:div w:id="99377945">
          <w:marLeft w:val="0"/>
          <w:marRight w:val="0"/>
          <w:marTop w:val="0"/>
          <w:marBottom w:val="0"/>
          <w:divBdr>
            <w:top w:val="none" w:sz="0" w:space="0" w:color="auto"/>
            <w:left w:val="none" w:sz="0" w:space="0" w:color="auto"/>
            <w:bottom w:val="none" w:sz="0" w:space="0" w:color="auto"/>
            <w:right w:val="none" w:sz="0" w:space="0" w:color="auto"/>
          </w:divBdr>
        </w:div>
        <w:div w:id="116149539">
          <w:marLeft w:val="720"/>
          <w:marRight w:val="0"/>
          <w:marTop w:val="0"/>
          <w:marBottom w:val="0"/>
          <w:divBdr>
            <w:top w:val="none" w:sz="0" w:space="0" w:color="auto"/>
            <w:left w:val="none" w:sz="0" w:space="0" w:color="auto"/>
            <w:bottom w:val="none" w:sz="0" w:space="0" w:color="auto"/>
            <w:right w:val="none" w:sz="0" w:space="0" w:color="auto"/>
          </w:divBdr>
        </w:div>
        <w:div w:id="171653060">
          <w:marLeft w:val="0"/>
          <w:marRight w:val="0"/>
          <w:marTop w:val="0"/>
          <w:marBottom w:val="0"/>
          <w:divBdr>
            <w:top w:val="none" w:sz="0" w:space="0" w:color="auto"/>
            <w:left w:val="none" w:sz="0" w:space="0" w:color="auto"/>
            <w:bottom w:val="none" w:sz="0" w:space="0" w:color="auto"/>
            <w:right w:val="none" w:sz="0" w:space="0" w:color="auto"/>
          </w:divBdr>
        </w:div>
        <w:div w:id="186139258">
          <w:marLeft w:val="1080"/>
          <w:marRight w:val="0"/>
          <w:marTop w:val="0"/>
          <w:marBottom w:val="0"/>
          <w:divBdr>
            <w:top w:val="none" w:sz="0" w:space="0" w:color="auto"/>
            <w:left w:val="none" w:sz="0" w:space="0" w:color="auto"/>
            <w:bottom w:val="none" w:sz="0" w:space="0" w:color="auto"/>
            <w:right w:val="none" w:sz="0" w:space="0" w:color="auto"/>
          </w:divBdr>
        </w:div>
        <w:div w:id="188029187">
          <w:marLeft w:val="720"/>
          <w:marRight w:val="0"/>
          <w:marTop w:val="0"/>
          <w:marBottom w:val="0"/>
          <w:divBdr>
            <w:top w:val="none" w:sz="0" w:space="0" w:color="auto"/>
            <w:left w:val="none" w:sz="0" w:space="0" w:color="auto"/>
            <w:bottom w:val="none" w:sz="0" w:space="0" w:color="auto"/>
            <w:right w:val="none" w:sz="0" w:space="0" w:color="auto"/>
          </w:divBdr>
        </w:div>
        <w:div w:id="195847310">
          <w:marLeft w:val="0"/>
          <w:marRight w:val="0"/>
          <w:marTop w:val="0"/>
          <w:marBottom w:val="0"/>
          <w:divBdr>
            <w:top w:val="none" w:sz="0" w:space="0" w:color="auto"/>
            <w:left w:val="none" w:sz="0" w:space="0" w:color="auto"/>
            <w:bottom w:val="none" w:sz="0" w:space="0" w:color="auto"/>
            <w:right w:val="none" w:sz="0" w:space="0" w:color="auto"/>
          </w:divBdr>
        </w:div>
        <w:div w:id="204147977">
          <w:marLeft w:val="0"/>
          <w:marRight w:val="0"/>
          <w:marTop w:val="0"/>
          <w:marBottom w:val="0"/>
          <w:divBdr>
            <w:top w:val="none" w:sz="0" w:space="0" w:color="auto"/>
            <w:left w:val="none" w:sz="0" w:space="0" w:color="auto"/>
            <w:bottom w:val="none" w:sz="0" w:space="0" w:color="auto"/>
            <w:right w:val="none" w:sz="0" w:space="0" w:color="auto"/>
          </w:divBdr>
        </w:div>
        <w:div w:id="209417968">
          <w:marLeft w:val="0"/>
          <w:marRight w:val="0"/>
          <w:marTop w:val="0"/>
          <w:marBottom w:val="0"/>
          <w:divBdr>
            <w:top w:val="none" w:sz="0" w:space="0" w:color="auto"/>
            <w:left w:val="none" w:sz="0" w:space="0" w:color="auto"/>
            <w:bottom w:val="none" w:sz="0" w:space="0" w:color="auto"/>
            <w:right w:val="none" w:sz="0" w:space="0" w:color="auto"/>
          </w:divBdr>
        </w:div>
        <w:div w:id="246117113">
          <w:marLeft w:val="720"/>
          <w:marRight w:val="0"/>
          <w:marTop w:val="0"/>
          <w:marBottom w:val="0"/>
          <w:divBdr>
            <w:top w:val="none" w:sz="0" w:space="0" w:color="auto"/>
            <w:left w:val="none" w:sz="0" w:space="0" w:color="auto"/>
            <w:bottom w:val="none" w:sz="0" w:space="0" w:color="auto"/>
            <w:right w:val="none" w:sz="0" w:space="0" w:color="auto"/>
          </w:divBdr>
        </w:div>
        <w:div w:id="289946295">
          <w:marLeft w:val="0"/>
          <w:marRight w:val="0"/>
          <w:marTop w:val="0"/>
          <w:marBottom w:val="0"/>
          <w:divBdr>
            <w:top w:val="none" w:sz="0" w:space="0" w:color="auto"/>
            <w:left w:val="none" w:sz="0" w:space="0" w:color="auto"/>
            <w:bottom w:val="none" w:sz="0" w:space="0" w:color="auto"/>
            <w:right w:val="none" w:sz="0" w:space="0" w:color="auto"/>
          </w:divBdr>
        </w:div>
        <w:div w:id="323315576">
          <w:marLeft w:val="0"/>
          <w:marRight w:val="0"/>
          <w:marTop w:val="0"/>
          <w:marBottom w:val="0"/>
          <w:divBdr>
            <w:top w:val="none" w:sz="0" w:space="0" w:color="auto"/>
            <w:left w:val="none" w:sz="0" w:space="0" w:color="auto"/>
            <w:bottom w:val="none" w:sz="0" w:space="0" w:color="auto"/>
            <w:right w:val="none" w:sz="0" w:space="0" w:color="auto"/>
          </w:divBdr>
        </w:div>
        <w:div w:id="337123746">
          <w:marLeft w:val="0"/>
          <w:marRight w:val="0"/>
          <w:marTop w:val="0"/>
          <w:marBottom w:val="0"/>
          <w:divBdr>
            <w:top w:val="none" w:sz="0" w:space="0" w:color="auto"/>
            <w:left w:val="none" w:sz="0" w:space="0" w:color="auto"/>
            <w:bottom w:val="none" w:sz="0" w:space="0" w:color="auto"/>
            <w:right w:val="none" w:sz="0" w:space="0" w:color="auto"/>
          </w:divBdr>
        </w:div>
        <w:div w:id="354699145">
          <w:marLeft w:val="0"/>
          <w:marRight w:val="0"/>
          <w:marTop w:val="0"/>
          <w:marBottom w:val="0"/>
          <w:divBdr>
            <w:top w:val="none" w:sz="0" w:space="0" w:color="auto"/>
            <w:left w:val="none" w:sz="0" w:space="0" w:color="auto"/>
            <w:bottom w:val="none" w:sz="0" w:space="0" w:color="auto"/>
            <w:right w:val="none" w:sz="0" w:space="0" w:color="auto"/>
          </w:divBdr>
        </w:div>
        <w:div w:id="391083287">
          <w:marLeft w:val="720"/>
          <w:marRight w:val="0"/>
          <w:marTop w:val="0"/>
          <w:marBottom w:val="0"/>
          <w:divBdr>
            <w:top w:val="none" w:sz="0" w:space="0" w:color="auto"/>
            <w:left w:val="none" w:sz="0" w:space="0" w:color="auto"/>
            <w:bottom w:val="none" w:sz="0" w:space="0" w:color="auto"/>
            <w:right w:val="none" w:sz="0" w:space="0" w:color="auto"/>
          </w:divBdr>
        </w:div>
        <w:div w:id="451486934">
          <w:marLeft w:val="720"/>
          <w:marRight w:val="0"/>
          <w:marTop w:val="0"/>
          <w:marBottom w:val="0"/>
          <w:divBdr>
            <w:top w:val="none" w:sz="0" w:space="0" w:color="auto"/>
            <w:left w:val="none" w:sz="0" w:space="0" w:color="auto"/>
            <w:bottom w:val="none" w:sz="0" w:space="0" w:color="auto"/>
            <w:right w:val="none" w:sz="0" w:space="0" w:color="auto"/>
          </w:divBdr>
        </w:div>
        <w:div w:id="490022074">
          <w:marLeft w:val="0"/>
          <w:marRight w:val="0"/>
          <w:marTop w:val="0"/>
          <w:marBottom w:val="0"/>
          <w:divBdr>
            <w:top w:val="none" w:sz="0" w:space="0" w:color="auto"/>
            <w:left w:val="none" w:sz="0" w:space="0" w:color="auto"/>
            <w:bottom w:val="none" w:sz="0" w:space="0" w:color="auto"/>
            <w:right w:val="none" w:sz="0" w:space="0" w:color="auto"/>
          </w:divBdr>
        </w:div>
        <w:div w:id="514466359">
          <w:marLeft w:val="0"/>
          <w:marRight w:val="0"/>
          <w:marTop w:val="0"/>
          <w:marBottom w:val="0"/>
          <w:divBdr>
            <w:top w:val="none" w:sz="0" w:space="0" w:color="auto"/>
            <w:left w:val="none" w:sz="0" w:space="0" w:color="auto"/>
            <w:bottom w:val="none" w:sz="0" w:space="0" w:color="auto"/>
            <w:right w:val="none" w:sz="0" w:space="0" w:color="auto"/>
          </w:divBdr>
        </w:div>
        <w:div w:id="525607676">
          <w:marLeft w:val="720"/>
          <w:marRight w:val="0"/>
          <w:marTop w:val="0"/>
          <w:marBottom w:val="0"/>
          <w:divBdr>
            <w:top w:val="none" w:sz="0" w:space="0" w:color="auto"/>
            <w:left w:val="none" w:sz="0" w:space="0" w:color="auto"/>
            <w:bottom w:val="none" w:sz="0" w:space="0" w:color="auto"/>
            <w:right w:val="none" w:sz="0" w:space="0" w:color="auto"/>
          </w:divBdr>
        </w:div>
        <w:div w:id="530804994">
          <w:marLeft w:val="720"/>
          <w:marRight w:val="0"/>
          <w:marTop w:val="0"/>
          <w:marBottom w:val="0"/>
          <w:divBdr>
            <w:top w:val="none" w:sz="0" w:space="0" w:color="auto"/>
            <w:left w:val="none" w:sz="0" w:space="0" w:color="auto"/>
            <w:bottom w:val="none" w:sz="0" w:space="0" w:color="auto"/>
            <w:right w:val="none" w:sz="0" w:space="0" w:color="auto"/>
          </w:divBdr>
        </w:div>
        <w:div w:id="546331846">
          <w:marLeft w:val="720"/>
          <w:marRight w:val="0"/>
          <w:marTop w:val="0"/>
          <w:marBottom w:val="0"/>
          <w:divBdr>
            <w:top w:val="none" w:sz="0" w:space="0" w:color="auto"/>
            <w:left w:val="none" w:sz="0" w:space="0" w:color="auto"/>
            <w:bottom w:val="none" w:sz="0" w:space="0" w:color="auto"/>
            <w:right w:val="none" w:sz="0" w:space="0" w:color="auto"/>
          </w:divBdr>
        </w:div>
        <w:div w:id="547228268">
          <w:marLeft w:val="0"/>
          <w:marRight w:val="0"/>
          <w:marTop w:val="0"/>
          <w:marBottom w:val="0"/>
          <w:divBdr>
            <w:top w:val="none" w:sz="0" w:space="0" w:color="auto"/>
            <w:left w:val="none" w:sz="0" w:space="0" w:color="auto"/>
            <w:bottom w:val="none" w:sz="0" w:space="0" w:color="auto"/>
            <w:right w:val="none" w:sz="0" w:space="0" w:color="auto"/>
          </w:divBdr>
        </w:div>
        <w:div w:id="597368382">
          <w:marLeft w:val="0"/>
          <w:marRight w:val="0"/>
          <w:marTop w:val="0"/>
          <w:marBottom w:val="0"/>
          <w:divBdr>
            <w:top w:val="none" w:sz="0" w:space="0" w:color="auto"/>
            <w:left w:val="none" w:sz="0" w:space="0" w:color="auto"/>
            <w:bottom w:val="none" w:sz="0" w:space="0" w:color="auto"/>
            <w:right w:val="none" w:sz="0" w:space="0" w:color="auto"/>
          </w:divBdr>
        </w:div>
        <w:div w:id="606733906">
          <w:marLeft w:val="0"/>
          <w:marRight w:val="0"/>
          <w:marTop w:val="0"/>
          <w:marBottom w:val="0"/>
          <w:divBdr>
            <w:top w:val="none" w:sz="0" w:space="0" w:color="auto"/>
            <w:left w:val="none" w:sz="0" w:space="0" w:color="auto"/>
            <w:bottom w:val="none" w:sz="0" w:space="0" w:color="auto"/>
            <w:right w:val="none" w:sz="0" w:space="0" w:color="auto"/>
          </w:divBdr>
        </w:div>
        <w:div w:id="690650615">
          <w:marLeft w:val="720"/>
          <w:marRight w:val="0"/>
          <w:marTop w:val="0"/>
          <w:marBottom w:val="0"/>
          <w:divBdr>
            <w:top w:val="none" w:sz="0" w:space="0" w:color="auto"/>
            <w:left w:val="none" w:sz="0" w:space="0" w:color="auto"/>
            <w:bottom w:val="none" w:sz="0" w:space="0" w:color="auto"/>
            <w:right w:val="none" w:sz="0" w:space="0" w:color="auto"/>
          </w:divBdr>
        </w:div>
        <w:div w:id="714547944">
          <w:marLeft w:val="720"/>
          <w:marRight w:val="0"/>
          <w:marTop w:val="0"/>
          <w:marBottom w:val="0"/>
          <w:divBdr>
            <w:top w:val="none" w:sz="0" w:space="0" w:color="auto"/>
            <w:left w:val="none" w:sz="0" w:space="0" w:color="auto"/>
            <w:bottom w:val="none" w:sz="0" w:space="0" w:color="auto"/>
            <w:right w:val="none" w:sz="0" w:space="0" w:color="auto"/>
          </w:divBdr>
        </w:div>
        <w:div w:id="718673824">
          <w:marLeft w:val="0"/>
          <w:marRight w:val="0"/>
          <w:marTop w:val="0"/>
          <w:marBottom w:val="0"/>
          <w:divBdr>
            <w:top w:val="none" w:sz="0" w:space="0" w:color="auto"/>
            <w:left w:val="none" w:sz="0" w:space="0" w:color="auto"/>
            <w:bottom w:val="none" w:sz="0" w:space="0" w:color="auto"/>
            <w:right w:val="none" w:sz="0" w:space="0" w:color="auto"/>
          </w:divBdr>
        </w:div>
        <w:div w:id="730494536">
          <w:marLeft w:val="720"/>
          <w:marRight w:val="0"/>
          <w:marTop w:val="0"/>
          <w:marBottom w:val="0"/>
          <w:divBdr>
            <w:top w:val="none" w:sz="0" w:space="0" w:color="auto"/>
            <w:left w:val="none" w:sz="0" w:space="0" w:color="auto"/>
            <w:bottom w:val="none" w:sz="0" w:space="0" w:color="auto"/>
            <w:right w:val="none" w:sz="0" w:space="0" w:color="auto"/>
          </w:divBdr>
        </w:div>
        <w:div w:id="777919234">
          <w:marLeft w:val="720"/>
          <w:marRight w:val="0"/>
          <w:marTop w:val="0"/>
          <w:marBottom w:val="0"/>
          <w:divBdr>
            <w:top w:val="none" w:sz="0" w:space="0" w:color="auto"/>
            <w:left w:val="none" w:sz="0" w:space="0" w:color="auto"/>
            <w:bottom w:val="none" w:sz="0" w:space="0" w:color="auto"/>
            <w:right w:val="none" w:sz="0" w:space="0" w:color="auto"/>
          </w:divBdr>
        </w:div>
        <w:div w:id="787435590">
          <w:marLeft w:val="720"/>
          <w:marRight w:val="0"/>
          <w:marTop w:val="0"/>
          <w:marBottom w:val="0"/>
          <w:divBdr>
            <w:top w:val="none" w:sz="0" w:space="0" w:color="auto"/>
            <w:left w:val="none" w:sz="0" w:space="0" w:color="auto"/>
            <w:bottom w:val="none" w:sz="0" w:space="0" w:color="auto"/>
            <w:right w:val="none" w:sz="0" w:space="0" w:color="auto"/>
          </w:divBdr>
        </w:div>
        <w:div w:id="808782820">
          <w:marLeft w:val="0"/>
          <w:marRight w:val="0"/>
          <w:marTop w:val="0"/>
          <w:marBottom w:val="0"/>
          <w:divBdr>
            <w:top w:val="none" w:sz="0" w:space="0" w:color="auto"/>
            <w:left w:val="none" w:sz="0" w:space="0" w:color="auto"/>
            <w:bottom w:val="none" w:sz="0" w:space="0" w:color="auto"/>
            <w:right w:val="none" w:sz="0" w:space="0" w:color="auto"/>
          </w:divBdr>
        </w:div>
        <w:div w:id="874582055">
          <w:marLeft w:val="0"/>
          <w:marRight w:val="0"/>
          <w:marTop w:val="0"/>
          <w:marBottom w:val="0"/>
          <w:divBdr>
            <w:top w:val="none" w:sz="0" w:space="0" w:color="auto"/>
            <w:left w:val="none" w:sz="0" w:space="0" w:color="auto"/>
            <w:bottom w:val="none" w:sz="0" w:space="0" w:color="auto"/>
            <w:right w:val="none" w:sz="0" w:space="0" w:color="auto"/>
          </w:divBdr>
        </w:div>
        <w:div w:id="881400074">
          <w:marLeft w:val="0"/>
          <w:marRight w:val="0"/>
          <w:marTop w:val="0"/>
          <w:marBottom w:val="0"/>
          <w:divBdr>
            <w:top w:val="none" w:sz="0" w:space="0" w:color="auto"/>
            <w:left w:val="none" w:sz="0" w:space="0" w:color="auto"/>
            <w:bottom w:val="none" w:sz="0" w:space="0" w:color="auto"/>
            <w:right w:val="none" w:sz="0" w:space="0" w:color="auto"/>
          </w:divBdr>
        </w:div>
        <w:div w:id="943850197">
          <w:marLeft w:val="360"/>
          <w:marRight w:val="0"/>
          <w:marTop w:val="0"/>
          <w:marBottom w:val="0"/>
          <w:divBdr>
            <w:top w:val="none" w:sz="0" w:space="0" w:color="auto"/>
            <w:left w:val="none" w:sz="0" w:space="0" w:color="auto"/>
            <w:bottom w:val="none" w:sz="0" w:space="0" w:color="auto"/>
            <w:right w:val="none" w:sz="0" w:space="0" w:color="auto"/>
          </w:divBdr>
        </w:div>
        <w:div w:id="951478119">
          <w:marLeft w:val="720"/>
          <w:marRight w:val="0"/>
          <w:marTop w:val="0"/>
          <w:marBottom w:val="0"/>
          <w:divBdr>
            <w:top w:val="none" w:sz="0" w:space="0" w:color="auto"/>
            <w:left w:val="none" w:sz="0" w:space="0" w:color="auto"/>
            <w:bottom w:val="none" w:sz="0" w:space="0" w:color="auto"/>
            <w:right w:val="none" w:sz="0" w:space="0" w:color="auto"/>
          </w:divBdr>
        </w:div>
        <w:div w:id="1019621019">
          <w:marLeft w:val="0"/>
          <w:marRight w:val="0"/>
          <w:marTop w:val="0"/>
          <w:marBottom w:val="0"/>
          <w:divBdr>
            <w:top w:val="none" w:sz="0" w:space="0" w:color="auto"/>
            <w:left w:val="none" w:sz="0" w:space="0" w:color="auto"/>
            <w:bottom w:val="none" w:sz="0" w:space="0" w:color="auto"/>
            <w:right w:val="none" w:sz="0" w:space="0" w:color="auto"/>
          </w:divBdr>
        </w:div>
        <w:div w:id="1056005597">
          <w:marLeft w:val="0"/>
          <w:marRight w:val="0"/>
          <w:marTop w:val="0"/>
          <w:marBottom w:val="0"/>
          <w:divBdr>
            <w:top w:val="none" w:sz="0" w:space="0" w:color="auto"/>
            <w:left w:val="none" w:sz="0" w:space="0" w:color="auto"/>
            <w:bottom w:val="none" w:sz="0" w:space="0" w:color="auto"/>
            <w:right w:val="none" w:sz="0" w:space="0" w:color="auto"/>
          </w:divBdr>
        </w:div>
        <w:div w:id="1093939710">
          <w:marLeft w:val="720"/>
          <w:marRight w:val="0"/>
          <w:marTop w:val="0"/>
          <w:marBottom w:val="0"/>
          <w:divBdr>
            <w:top w:val="none" w:sz="0" w:space="0" w:color="auto"/>
            <w:left w:val="none" w:sz="0" w:space="0" w:color="auto"/>
            <w:bottom w:val="none" w:sz="0" w:space="0" w:color="auto"/>
            <w:right w:val="none" w:sz="0" w:space="0" w:color="auto"/>
          </w:divBdr>
        </w:div>
        <w:div w:id="1113524428">
          <w:marLeft w:val="720"/>
          <w:marRight w:val="0"/>
          <w:marTop w:val="0"/>
          <w:marBottom w:val="0"/>
          <w:divBdr>
            <w:top w:val="none" w:sz="0" w:space="0" w:color="auto"/>
            <w:left w:val="none" w:sz="0" w:space="0" w:color="auto"/>
            <w:bottom w:val="none" w:sz="0" w:space="0" w:color="auto"/>
            <w:right w:val="none" w:sz="0" w:space="0" w:color="auto"/>
          </w:divBdr>
        </w:div>
        <w:div w:id="1126116406">
          <w:marLeft w:val="720"/>
          <w:marRight w:val="0"/>
          <w:marTop w:val="0"/>
          <w:marBottom w:val="0"/>
          <w:divBdr>
            <w:top w:val="none" w:sz="0" w:space="0" w:color="auto"/>
            <w:left w:val="none" w:sz="0" w:space="0" w:color="auto"/>
            <w:bottom w:val="none" w:sz="0" w:space="0" w:color="auto"/>
            <w:right w:val="none" w:sz="0" w:space="0" w:color="auto"/>
          </w:divBdr>
        </w:div>
        <w:div w:id="1130322564">
          <w:marLeft w:val="0"/>
          <w:marRight w:val="0"/>
          <w:marTop w:val="0"/>
          <w:marBottom w:val="0"/>
          <w:divBdr>
            <w:top w:val="none" w:sz="0" w:space="0" w:color="auto"/>
            <w:left w:val="none" w:sz="0" w:space="0" w:color="auto"/>
            <w:bottom w:val="none" w:sz="0" w:space="0" w:color="auto"/>
            <w:right w:val="none" w:sz="0" w:space="0" w:color="auto"/>
          </w:divBdr>
        </w:div>
        <w:div w:id="1135440792">
          <w:marLeft w:val="0"/>
          <w:marRight w:val="0"/>
          <w:marTop w:val="0"/>
          <w:marBottom w:val="0"/>
          <w:divBdr>
            <w:top w:val="none" w:sz="0" w:space="0" w:color="auto"/>
            <w:left w:val="none" w:sz="0" w:space="0" w:color="auto"/>
            <w:bottom w:val="none" w:sz="0" w:space="0" w:color="auto"/>
            <w:right w:val="none" w:sz="0" w:space="0" w:color="auto"/>
          </w:divBdr>
        </w:div>
        <w:div w:id="1143304307">
          <w:marLeft w:val="720"/>
          <w:marRight w:val="0"/>
          <w:marTop w:val="0"/>
          <w:marBottom w:val="0"/>
          <w:divBdr>
            <w:top w:val="none" w:sz="0" w:space="0" w:color="auto"/>
            <w:left w:val="none" w:sz="0" w:space="0" w:color="auto"/>
            <w:bottom w:val="none" w:sz="0" w:space="0" w:color="auto"/>
            <w:right w:val="none" w:sz="0" w:space="0" w:color="auto"/>
          </w:divBdr>
        </w:div>
        <w:div w:id="1228540770">
          <w:marLeft w:val="0"/>
          <w:marRight w:val="0"/>
          <w:marTop w:val="0"/>
          <w:marBottom w:val="0"/>
          <w:divBdr>
            <w:top w:val="none" w:sz="0" w:space="0" w:color="auto"/>
            <w:left w:val="none" w:sz="0" w:space="0" w:color="auto"/>
            <w:bottom w:val="none" w:sz="0" w:space="0" w:color="auto"/>
            <w:right w:val="none" w:sz="0" w:space="0" w:color="auto"/>
          </w:divBdr>
        </w:div>
        <w:div w:id="1249193395">
          <w:marLeft w:val="720"/>
          <w:marRight w:val="0"/>
          <w:marTop w:val="0"/>
          <w:marBottom w:val="0"/>
          <w:divBdr>
            <w:top w:val="none" w:sz="0" w:space="0" w:color="auto"/>
            <w:left w:val="none" w:sz="0" w:space="0" w:color="auto"/>
            <w:bottom w:val="none" w:sz="0" w:space="0" w:color="auto"/>
            <w:right w:val="none" w:sz="0" w:space="0" w:color="auto"/>
          </w:divBdr>
        </w:div>
        <w:div w:id="1251618460">
          <w:marLeft w:val="0"/>
          <w:marRight w:val="0"/>
          <w:marTop w:val="0"/>
          <w:marBottom w:val="0"/>
          <w:divBdr>
            <w:top w:val="none" w:sz="0" w:space="0" w:color="auto"/>
            <w:left w:val="none" w:sz="0" w:space="0" w:color="auto"/>
            <w:bottom w:val="none" w:sz="0" w:space="0" w:color="auto"/>
            <w:right w:val="none" w:sz="0" w:space="0" w:color="auto"/>
          </w:divBdr>
        </w:div>
        <w:div w:id="1255671116">
          <w:marLeft w:val="0"/>
          <w:marRight w:val="0"/>
          <w:marTop w:val="0"/>
          <w:marBottom w:val="0"/>
          <w:divBdr>
            <w:top w:val="none" w:sz="0" w:space="0" w:color="auto"/>
            <w:left w:val="none" w:sz="0" w:space="0" w:color="auto"/>
            <w:bottom w:val="none" w:sz="0" w:space="0" w:color="auto"/>
            <w:right w:val="none" w:sz="0" w:space="0" w:color="auto"/>
          </w:divBdr>
        </w:div>
        <w:div w:id="1312565831">
          <w:marLeft w:val="0"/>
          <w:marRight w:val="0"/>
          <w:marTop w:val="0"/>
          <w:marBottom w:val="0"/>
          <w:divBdr>
            <w:top w:val="none" w:sz="0" w:space="0" w:color="auto"/>
            <w:left w:val="none" w:sz="0" w:space="0" w:color="auto"/>
            <w:bottom w:val="none" w:sz="0" w:space="0" w:color="auto"/>
            <w:right w:val="none" w:sz="0" w:space="0" w:color="auto"/>
          </w:divBdr>
        </w:div>
        <w:div w:id="1329210964">
          <w:marLeft w:val="1080"/>
          <w:marRight w:val="0"/>
          <w:marTop w:val="0"/>
          <w:marBottom w:val="0"/>
          <w:divBdr>
            <w:top w:val="none" w:sz="0" w:space="0" w:color="auto"/>
            <w:left w:val="none" w:sz="0" w:space="0" w:color="auto"/>
            <w:bottom w:val="none" w:sz="0" w:space="0" w:color="auto"/>
            <w:right w:val="none" w:sz="0" w:space="0" w:color="auto"/>
          </w:divBdr>
        </w:div>
        <w:div w:id="1405302337">
          <w:marLeft w:val="0"/>
          <w:marRight w:val="0"/>
          <w:marTop w:val="0"/>
          <w:marBottom w:val="0"/>
          <w:divBdr>
            <w:top w:val="none" w:sz="0" w:space="0" w:color="auto"/>
            <w:left w:val="none" w:sz="0" w:space="0" w:color="auto"/>
            <w:bottom w:val="none" w:sz="0" w:space="0" w:color="auto"/>
            <w:right w:val="none" w:sz="0" w:space="0" w:color="auto"/>
          </w:divBdr>
        </w:div>
        <w:div w:id="1435058328">
          <w:marLeft w:val="0"/>
          <w:marRight w:val="0"/>
          <w:marTop w:val="0"/>
          <w:marBottom w:val="0"/>
          <w:divBdr>
            <w:top w:val="none" w:sz="0" w:space="0" w:color="auto"/>
            <w:left w:val="none" w:sz="0" w:space="0" w:color="auto"/>
            <w:bottom w:val="none" w:sz="0" w:space="0" w:color="auto"/>
            <w:right w:val="none" w:sz="0" w:space="0" w:color="auto"/>
          </w:divBdr>
        </w:div>
        <w:div w:id="1458645314">
          <w:marLeft w:val="0"/>
          <w:marRight w:val="0"/>
          <w:marTop w:val="0"/>
          <w:marBottom w:val="0"/>
          <w:divBdr>
            <w:top w:val="none" w:sz="0" w:space="0" w:color="auto"/>
            <w:left w:val="none" w:sz="0" w:space="0" w:color="auto"/>
            <w:bottom w:val="none" w:sz="0" w:space="0" w:color="auto"/>
            <w:right w:val="none" w:sz="0" w:space="0" w:color="auto"/>
          </w:divBdr>
        </w:div>
        <w:div w:id="1467577091">
          <w:marLeft w:val="720"/>
          <w:marRight w:val="0"/>
          <w:marTop w:val="0"/>
          <w:marBottom w:val="0"/>
          <w:divBdr>
            <w:top w:val="none" w:sz="0" w:space="0" w:color="auto"/>
            <w:left w:val="none" w:sz="0" w:space="0" w:color="auto"/>
            <w:bottom w:val="none" w:sz="0" w:space="0" w:color="auto"/>
            <w:right w:val="none" w:sz="0" w:space="0" w:color="auto"/>
          </w:divBdr>
        </w:div>
        <w:div w:id="1477717598">
          <w:marLeft w:val="0"/>
          <w:marRight w:val="0"/>
          <w:marTop w:val="0"/>
          <w:marBottom w:val="0"/>
          <w:divBdr>
            <w:top w:val="none" w:sz="0" w:space="0" w:color="auto"/>
            <w:left w:val="none" w:sz="0" w:space="0" w:color="auto"/>
            <w:bottom w:val="none" w:sz="0" w:space="0" w:color="auto"/>
            <w:right w:val="none" w:sz="0" w:space="0" w:color="auto"/>
          </w:divBdr>
        </w:div>
        <w:div w:id="1477798623">
          <w:marLeft w:val="720"/>
          <w:marRight w:val="0"/>
          <w:marTop w:val="0"/>
          <w:marBottom w:val="0"/>
          <w:divBdr>
            <w:top w:val="none" w:sz="0" w:space="0" w:color="auto"/>
            <w:left w:val="none" w:sz="0" w:space="0" w:color="auto"/>
            <w:bottom w:val="none" w:sz="0" w:space="0" w:color="auto"/>
            <w:right w:val="none" w:sz="0" w:space="0" w:color="auto"/>
          </w:divBdr>
        </w:div>
        <w:div w:id="1511217410">
          <w:marLeft w:val="0"/>
          <w:marRight w:val="0"/>
          <w:marTop w:val="0"/>
          <w:marBottom w:val="0"/>
          <w:divBdr>
            <w:top w:val="none" w:sz="0" w:space="0" w:color="auto"/>
            <w:left w:val="none" w:sz="0" w:space="0" w:color="auto"/>
            <w:bottom w:val="none" w:sz="0" w:space="0" w:color="auto"/>
            <w:right w:val="none" w:sz="0" w:space="0" w:color="auto"/>
          </w:divBdr>
        </w:div>
        <w:div w:id="1522932290">
          <w:marLeft w:val="0"/>
          <w:marRight w:val="0"/>
          <w:marTop w:val="0"/>
          <w:marBottom w:val="0"/>
          <w:divBdr>
            <w:top w:val="none" w:sz="0" w:space="0" w:color="auto"/>
            <w:left w:val="none" w:sz="0" w:space="0" w:color="auto"/>
            <w:bottom w:val="none" w:sz="0" w:space="0" w:color="auto"/>
            <w:right w:val="none" w:sz="0" w:space="0" w:color="auto"/>
          </w:divBdr>
        </w:div>
        <w:div w:id="1527599065">
          <w:marLeft w:val="720"/>
          <w:marRight w:val="0"/>
          <w:marTop w:val="0"/>
          <w:marBottom w:val="0"/>
          <w:divBdr>
            <w:top w:val="none" w:sz="0" w:space="0" w:color="auto"/>
            <w:left w:val="none" w:sz="0" w:space="0" w:color="auto"/>
            <w:bottom w:val="none" w:sz="0" w:space="0" w:color="auto"/>
            <w:right w:val="none" w:sz="0" w:space="0" w:color="auto"/>
          </w:divBdr>
        </w:div>
        <w:div w:id="1527670797">
          <w:marLeft w:val="0"/>
          <w:marRight w:val="0"/>
          <w:marTop w:val="0"/>
          <w:marBottom w:val="0"/>
          <w:divBdr>
            <w:top w:val="none" w:sz="0" w:space="0" w:color="auto"/>
            <w:left w:val="none" w:sz="0" w:space="0" w:color="auto"/>
            <w:bottom w:val="none" w:sz="0" w:space="0" w:color="auto"/>
            <w:right w:val="none" w:sz="0" w:space="0" w:color="auto"/>
          </w:divBdr>
        </w:div>
        <w:div w:id="1665350635">
          <w:marLeft w:val="1080"/>
          <w:marRight w:val="0"/>
          <w:marTop w:val="0"/>
          <w:marBottom w:val="0"/>
          <w:divBdr>
            <w:top w:val="none" w:sz="0" w:space="0" w:color="auto"/>
            <w:left w:val="none" w:sz="0" w:space="0" w:color="auto"/>
            <w:bottom w:val="none" w:sz="0" w:space="0" w:color="auto"/>
            <w:right w:val="none" w:sz="0" w:space="0" w:color="auto"/>
          </w:divBdr>
        </w:div>
        <w:div w:id="1691570398">
          <w:marLeft w:val="1080"/>
          <w:marRight w:val="0"/>
          <w:marTop w:val="0"/>
          <w:marBottom w:val="0"/>
          <w:divBdr>
            <w:top w:val="none" w:sz="0" w:space="0" w:color="auto"/>
            <w:left w:val="none" w:sz="0" w:space="0" w:color="auto"/>
            <w:bottom w:val="none" w:sz="0" w:space="0" w:color="auto"/>
            <w:right w:val="none" w:sz="0" w:space="0" w:color="auto"/>
          </w:divBdr>
        </w:div>
        <w:div w:id="1699962946">
          <w:marLeft w:val="0"/>
          <w:marRight w:val="0"/>
          <w:marTop w:val="0"/>
          <w:marBottom w:val="0"/>
          <w:divBdr>
            <w:top w:val="none" w:sz="0" w:space="0" w:color="auto"/>
            <w:left w:val="none" w:sz="0" w:space="0" w:color="auto"/>
            <w:bottom w:val="none" w:sz="0" w:space="0" w:color="auto"/>
            <w:right w:val="none" w:sz="0" w:space="0" w:color="auto"/>
          </w:divBdr>
        </w:div>
        <w:div w:id="1712614114">
          <w:marLeft w:val="0"/>
          <w:marRight w:val="0"/>
          <w:marTop w:val="0"/>
          <w:marBottom w:val="0"/>
          <w:divBdr>
            <w:top w:val="none" w:sz="0" w:space="0" w:color="auto"/>
            <w:left w:val="none" w:sz="0" w:space="0" w:color="auto"/>
            <w:bottom w:val="none" w:sz="0" w:space="0" w:color="auto"/>
            <w:right w:val="none" w:sz="0" w:space="0" w:color="auto"/>
          </w:divBdr>
        </w:div>
        <w:div w:id="1717663458">
          <w:marLeft w:val="720"/>
          <w:marRight w:val="0"/>
          <w:marTop w:val="0"/>
          <w:marBottom w:val="0"/>
          <w:divBdr>
            <w:top w:val="none" w:sz="0" w:space="0" w:color="auto"/>
            <w:left w:val="none" w:sz="0" w:space="0" w:color="auto"/>
            <w:bottom w:val="none" w:sz="0" w:space="0" w:color="auto"/>
            <w:right w:val="none" w:sz="0" w:space="0" w:color="auto"/>
          </w:divBdr>
        </w:div>
        <w:div w:id="1770156046">
          <w:marLeft w:val="1080"/>
          <w:marRight w:val="0"/>
          <w:marTop w:val="0"/>
          <w:marBottom w:val="0"/>
          <w:divBdr>
            <w:top w:val="none" w:sz="0" w:space="0" w:color="auto"/>
            <w:left w:val="none" w:sz="0" w:space="0" w:color="auto"/>
            <w:bottom w:val="none" w:sz="0" w:space="0" w:color="auto"/>
            <w:right w:val="none" w:sz="0" w:space="0" w:color="auto"/>
          </w:divBdr>
        </w:div>
        <w:div w:id="1834103710">
          <w:marLeft w:val="1080"/>
          <w:marRight w:val="0"/>
          <w:marTop w:val="0"/>
          <w:marBottom w:val="0"/>
          <w:divBdr>
            <w:top w:val="none" w:sz="0" w:space="0" w:color="auto"/>
            <w:left w:val="none" w:sz="0" w:space="0" w:color="auto"/>
            <w:bottom w:val="none" w:sz="0" w:space="0" w:color="auto"/>
            <w:right w:val="none" w:sz="0" w:space="0" w:color="auto"/>
          </w:divBdr>
        </w:div>
        <w:div w:id="1850948068">
          <w:marLeft w:val="1080"/>
          <w:marRight w:val="0"/>
          <w:marTop w:val="0"/>
          <w:marBottom w:val="0"/>
          <w:divBdr>
            <w:top w:val="none" w:sz="0" w:space="0" w:color="auto"/>
            <w:left w:val="none" w:sz="0" w:space="0" w:color="auto"/>
            <w:bottom w:val="none" w:sz="0" w:space="0" w:color="auto"/>
            <w:right w:val="none" w:sz="0" w:space="0" w:color="auto"/>
          </w:divBdr>
        </w:div>
        <w:div w:id="1852600700">
          <w:marLeft w:val="720"/>
          <w:marRight w:val="0"/>
          <w:marTop w:val="0"/>
          <w:marBottom w:val="0"/>
          <w:divBdr>
            <w:top w:val="none" w:sz="0" w:space="0" w:color="auto"/>
            <w:left w:val="none" w:sz="0" w:space="0" w:color="auto"/>
            <w:bottom w:val="none" w:sz="0" w:space="0" w:color="auto"/>
            <w:right w:val="none" w:sz="0" w:space="0" w:color="auto"/>
          </w:divBdr>
        </w:div>
        <w:div w:id="1863516616">
          <w:marLeft w:val="0"/>
          <w:marRight w:val="0"/>
          <w:marTop w:val="0"/>
          <w:marBottom w:val="0"/>
          <w:divBdr>
            <w:top w:val="none" w:sz="0" w:space="0" w:color="auto"/>
            <w:left w:val="none" w:sz="0" w:space="0" w:color="auto"/>
            <w:bottom w:val="none" w:sz="0" w:space="0" w:color="auto"/>
            <w:right w:val="none" w:sz="0" w:space="0" w:color="auto"/>
          </w:divBdr>
        </w:div>
        <w:div w:id="1884437061">
          <w:marLeft w:val="720"/>
          <w:marRight w:val="0"/>
          <w:marTop w:val="0"/>
          <w:marBottom w:val="0"/>
          <w:divBdr>
            <w:top w:val="none" w:sz="0" w:space="0" w:color="auto"/>
            <w:left w:val="none" w:sz="0" w:space="0" w:color="auto"/>
            <w:bottom w:val="none" w:sz="0" w:space="0" w:color="auto"/>
            <w:right w:val="none" w:sz="0" w:space="0" w:color="auto"/>
          </w:divBdr>
        </w:div>
        <w:div w:id="1890221531">
          <w:marLeft w:val="720"/>
          <w:marRight w:val="0"/>
          <w:marTop w:val="0"/>
          <w:marBottom w:val="0"/>
          <w:divBdr>
            <w:top w:val="none" w:sz="0" w:space="0" w:color="auto"/>
            <w:left w:val="none" w:sz="0" w:space="0" w:color="auto"/>
            <w:bottom w:val="none" w:sz="0" w:space="0" w:color="auto"/>
            <w:right w:val="none" w:sz="0" w:space="0" w:color="auto"/>
          </w:divBdr>
        </w:div>
        <w:div w:id="1909681569">
          <w:marLeft w:val="0"/>
          <w:marRight w:val="0"/>
          <w:marTop w:val="0"/>
          <w:marBottom w:val="0"/>
          <w:divBdr>
            <w:top w:val="none" w:sz="0" w:space="0" w:color="auto"/>
            <w:left w:val="none" w:sz="0" w:space="0" w:color="auto"/>
            <w:bottom w:val="none" w:sz="0" w:space="0" w:color="auto"/>
            <w:right w:val="none" w:sz="0" w:space="0" w:color="auto"/>
          </w:divBdr>
        </w:div>
        <w:div w:id="1911037724">
          <w:marLeft w:val="720"/>
          <w:marRight w:val="0"/>
          <w:marTop w:val="0"/>
          <w:marBottom w:val="0"/>
          <w:divBdr>
            <w:top w:val="none" w:sz="0" w:space="0" w:color="auto"/>
            <w:left w:val="none" w:sz="0" w:space="0" w:color="auto"/>
            <w:bottom w:val="none" w:sz="0" w:space="0" w:color="auto"/>
            <w:right w:val="none" w:sz="0" w:space="0" w:color="auto"/>
          </w:divBdr>
        </w:div>
        <w:div w:id="1957635017">
          <w:marLeft w:val="1080"/>
          <w:marRight w:val="0"/>
          <w:marTop w:val="0"/>
          <w:marBottom w:val="0"/>
          <w:divBdr>
            <w:top w:val="none" w:sz="0" w:space="0" w:color="auto"/>
            <w:left w:val="none" w:sz="0" w:space="0" w:color="auto"/>
            <w:bottom w:val="none" w:sz="0" w:space="0" w:color="auto"/>
            <w:right w:val="none" w:sz="0" w:space="0" w:color="auto"/>
          </w:divBdr>
        </w:div>
        <w:div w:id="1958366975">
          <w:marLeft w:val="720"/>
          <w:marRight w:val="0"/>
          <w:marTop w:val="0"/>
          <w:marBottom w:val="0"/>
          <w:divBdr>
            <w:top w:val="none" w:sz="0" w:space="0" w:color="auto"/>
            <w:left w:val="none" w:sz="0" w:space="0" w:color="auto"/>
            <w:bottom w:val="none" w:sz="0" w:space="0" w:color="auto"/>
            <w:right w:val="none" w:sz="0" w:space="0" w:color="auto"/>
          </w:divBdr>
        </w:div>
        <w:div w:id="1961640647">
          <w:marLeft w:val="0"/>
          <w:marRight w:val="0"/>
          <w:marTop w:val="0"/>
          <w:marBottom w:val="0"/>
          <w:divBdr>
            <w:top w:val="none" w:sz="0" w:space="0" w:color="auto"/>
            <w:left w:val="none" w:sz="0" w:space="0" w:color="auto"/>
            <w:bottom w:val="none" w:sz="0" w:space="0" w:color="auto"/>
            <w:right w:val="none" w:sz="0" w:space="0" w:color="auto"/>
          </w:divBdr>
        </w:div>
        <w:div w:id="1962689086">
          <w:marLeft w:val="0"/>
          <w:marRight w:val="0"/>
          <w:marTop w:val="0"/>
          <w:marBottom w:val="0"/>
          <w:divBdr>
            <w:top w:val="none" w:sz="0" w:space="0" w:color="auto"/>
            <w:left w:val="none" w:sz="0" w:space="0" w:color="auto"/>
            <w:bottom w:val="none" w:sz="0" w:space="0" w:color="auto"/>
            <w:right w:val="none" w:sz="0" w:space="0" w:color="auto"/>
          </w:divBdr>
        </w:div>
        <w:div w:id="2005401744">
          <w:marLeft w:val="0"/>
          <w:marRight w:val="0"/>
          <w:marTop w:val="0"/>
          <w:marBottom w:val="0"/>
          <w:divBdr>
            <w:top w:val="none" w:sz="0" w:space="0" w:color="auto"/>
            <w:left w:val="none" w:sz="0" w:space="0" w:color="auto"/>
            <w:bottom w:val="none" w:sz="0" w:space="0" w:color="auto"/>
            <w:right w:val="none" w:sz="0" w:space="0" w:color="auto"/>
          </w:divBdr>
        </w:div>
        <w:div w:id="2038777211">
          <w:marLeft w:val="720"/>
          <w:marRight w:val="0"/>
          <w:marTop w:val="0"/>
          <w:marBottom w:val="0"/>
          <w:divBdr>
            <w:top w:val="none" w:sz="0" w:space="0" w:color="auto"/>
            <w:left w:val="none" w:sz="0" w:space="0" w:color="auto"/>
            <w:bottom w:val="none" w:sz="0" w:space="0" w:color="auto"/>
            <w:right w:val="none" w:sz="0" w:space="0" w:color="auto"/>
          </w:divBdr>
        </w:div>
        <w:div w:id="2063629269">
          <w:marLeft w:val="0"/>
          <w:marRight w:val="0"/>
          <w:marTop w:val="0"/>
          <w:marBottom w:val="0"/>
          <w:divBdr>
            <w:top w:val="none" w:sz="0" w:space="0" w:color="auto"/>
            <w:left w:val="none" w:sz="0" w:space="0" w:color="auto"/>
            <w:bottom w:val="none" w:sz="0" w:space="0" w:color="auto"/>
            <w:right w:val="none" w:sz="0" w:space="0" w:color="auto"/>
          </w:divBdr>
        </w:div>
        <w:div w:id="2072187324">
          <w:marLeft w:val="0"/>
          <w:marRight w:val="0"/>
          <w:marTop w:val="0"/>
          <w:marBottom w:val="0"/>
          <w:divBdr>
            <w:top w:val="none" w:sz="0" w:space="0" w:color="auto"/>
            <w:left w:val="none" w:sz="0" w:space="0" w:color="auto"/>
            <w:bottom w:val="none" w:sz="0" w:space="0" w:color="auto"/>
            <w:right w:val="none" w:sz="0" w:space="0" w:color="auto"/>
          </w:divBdr>
        </w:div>
        <w:div w:id="2127776746">
          <w:marLeft w:val="0"/>
          <w:marRight w:val="0"/>
          <w:marTop w:val="0"/>
          <w:marBottom w:val="0"/>
          <w:divBdr>
            <w:top w:val="none" w:sz="0" w:space="0" w:color="auto"/>
            <w:left w:val="none" w:sz="0" w:space="0" w:color="auto"/>
            <w:bottom w:val="none" w:sz="0" w:space="0" w:color="auto"/>
            <w:right w:val="none" w:sz="0" w:space="0" w:color="auto"/>
          </w:divBdr>
        </w:div>
      </w:divsChild>
    </w:div>
    <w:div w:id="1467702388">
      <w:bodyDiv w:val="1"/>
      <w:marLeft w:val="0"/>
      <w:marRight w:val="0"/>
      <w:marTop w:val="0"/>
      <w:marBottom w:val="0"/>
      <w:divBdr>
        <w:top w:val="none" w:sz="0" w:space="0" w:color="auto"/>
        <w:left w:val="none" w:sz="0" w:space="0" w:color="auto"/>
        <w:bottom w:val="none" w:sz="0" w:space="0" w:color="auto"/>
        <w:right w:val="none" w:sz="0" w:space="0" w:color="auto"/>
      </w:divBdr>
    </w:div>
    <w:div w:id="1572232470">
      <w:bodyDiv w:val="1"/>
      <w:marLeft w:val="0"/>
      <w:marRight w:val="0"/>
      <w:marTop w:val="0"/>
      <w:marBottom w:val="0"/>
      <w:divBdr>
        <w:top w:val="none" w:sz="0" w:space="0" w:color="auto"/>
        <w:left w:val="none" w:sz="0" w:space="0" w:color="auto"/>
        <w:bottom w:val="none" w:sz="0" w:space="0" w:color="auto"/>
        <w:right w:val="none" w:sz="0" w:space="0" w:color="auto"/>
      </w:divBdr>
    </w:div>
    <w:div w:id="1572276813">
      <w:bodyDiv w:val="1"/>
      <w:marLeft w:val="0"/>
      <w:marRight w:val="0"/>
      <w:marTop w:val="0"/>
      <w:marBottom w:val="0"/>
      <w:divBdr>
        <w:top w:val="none" w:sz="0" w:space="0" w:color="auto"/>
        <w:left w:val="none" w:sz="0" w:space="0" w:color="auto"/>
        <w:bottom w:val="none" w:sz="0" w:space="0" w:color="auto"/>
        <w:right w:val="none" w:sz="0" w:space="0" w:color="auto"/>
      </w:divBdr>
      <w:divsChild>
        <w:div w:id="1227111791">
          <w:marLeft w:val="0"/>
          <w:marRight w:val="0"/>
          <w:marTop w:val="0"/>
          <w:marBottom w:val="0"/>
          <w:divBdr>
            <w:top w:val="none" w:sz="0" w:space="0" w:color="auto"/>
            <w:left w:val="none" w:sz="0" w:space="0" w:color="auto"/>
            <w:bottom w:val="none" w:sz="0" w:space="0" w:color="auto"/>
            <w:right w:val="none" w:sz="0" w:space="0" w:color="auto"/>
          </w:divBdr>
          <w:divsChild>
            <w:div w:id="1715041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6238820">
      <w:bodyDiv w:val="1"/>
      <w:marLeft w:val="0"/>
      <w:marRight w:val="0"/>
      <w:marTop w:val="0"/>
      <w:marBottom w:val="0"/>
      <w:divBdr>
        <w:top w:val="none" w:sz="0" w:space="0" w:color="auto"/>
        <w:left w:val="none" w:sz="0" w:space="0" w:color="auto"/>
        <w:bottom w:val="none" w:sz="0" w:space="0" w:color="auto"/>
        <w:right w:val="none" w:sz="0" w:space="0" w:color="auto"/>
      </w:divBdr>
    </w:div>
    <w:div w:id="1586180931">
      <w:bodyDiv w:val="1"/>
      <w:marLeft w:val="0"/>
      <w:marRight w:val="0"/>
      <w:marTop w:val="0"/>
      <w:marBottom w:val="0"/>
      <w:divBdr>
        <w:top w:val="none" w:sz="0" w:space="0" w:color="auto"/>
        <w:left w:val="none" w:sz="0" w:space="0" w:color="auto"/>
        <w:bottom w:val="none" w:sz="0" w:space="0" w:color="auto"/>
        <w:right w:val="none" w:sz="0" w:space="0" w:color="auto"/>
      </w:divBdr>
    </w:div>
    <w:div w:id="1691951171">
      <w:bodyDiv w:val="1"/>
      <w:marLeft w:val="0"/>
      <w:marRight w:val="0"/>
      <w:marTop w:val="0"/>
      <w:marBottom w:val="0"/>
      <w:divBdr>
        <w:top w:val="none" w:sz="0" w:space="0" w:color="auto"/>
        <w:left w:val="none" w:sz="0" w:space="0" w:color="auto"/>
        <w:bottom w:val="none" w:sz="0" w:space="0" w:color="auto"/>
        <w:right w:val="none" w:sz="0" w:space="0" w:color="auto"/>
      </w:divBdr>
    </w:div>
    <w:div w:id="1692561746">
      <w:bodyDiv w:val="1"/>
      <w:marLeft w:val="0"/>
      <w:marRight w:val="0"/>
      <w:marTop w:val="0"/>
      <w:marBottom w:val="0"/>
      <w:divBdr>
        <w:top w:val="none" w:sz="0" w:space="0" w:color="auto"/>
        <w:left w:val="none" w:sz="0" w:space="0" w:color="auto"/>
        <w:bottom w:val="none" w:sz="0" w:space="0" w:color="auto"/>
        <w:right w:val="none" w:sz="0" w:space="0" w:color="auto"/>
      </w:divBdr>
    </w:div>
    <w:div w:id="1822841539">
      <w:bodyDiv w:val="1"/>
      <w:marLeft w:val="0"/>
      <w:marRight w:val="0"/>
      <w:marTop w:val="0"/>
      <w:marBottom w:val="0"/>
      <w:divBdr>
        <w:top w:val="none" w:sz="0" w:space="0" w:color="auto"/>
        <w:left w:val="none" w:sz="0" w:space="0" w:color="auto"/>
        <w:bottom w:val="none" w:sz="0" w:space="0" w:color="auto"/>
        <w:right w:val="none" w:sz="0" w:space="0" w:color="auto"/>
      </w:divBdr>
    </w:div>
    <w:div w:id="1882278928">
      <w:bodyDiv w:val="1"/>
      <w:marLeft w:val="0"/>
      <w:marRight w:val="0"/>
      <w:marTop w:val="0"/>
      <w:marBottom w:val="0"/>
      <w:divBdr>
        <w:top w:val="none" w:sz="0" w:space="0" w:color="auto"/>
        <w:left w:val="none" w:sz="0" w:space="0" w:color="auto"/>
        <w:bottom w:val="none" w:sz="0" w:space="0" w:color="auto"/>
        <w:right w:val="none" w:sz="0" w:space="0" w:color="auto"/>
      </w:divBdr>
    </w:div>
    <w:div w:id="1956867281">
      <w:bodyDiv w:val="1"/>
      <w:marLeft w:val="0"/>
      <w:marRight w:val="0"/>
      <w:marTop w:val="0"/>
      <w:marBottom w:val="0"/>
      <w:divBdr>
        <w:top w:val="none" w:sz="0" w:space="0" w:color="auto"/>
        <w:left w:val="none" w:sz="0" w:space="0" w:color="auto"/>
        <w:bottom w:val="none" w:sz="0" w:space="0" w:color="auto"/>
        <w:right w:val="none" w:sz="0" w:space="0" w:color="auto"/>
      </w:divBdr>
    </w:div>
    <w:div w:id="1984263754">
      <w:bodyDiv w:val="1"/>
      <w:marLeft w:val="0"/>
      <w:marRight w:val="0"/>
      <w:marTop w:val="0"/>
      <w:marBottom w:val="0"/>
      <w:divBdr>
        <w:top w:val="none" w:sz="0" w:space="0" w:color="auto"/>
        <w:left w:val="none" w:sz="0" w:space="0" w:color="auto"/>
        <w:bottom w:val="none" w:sz="0" w:space="0" w:color="auto"/>
        <w:right w:val="none" w:sz="0" w:space="0" w:color="auto"/>
      </w:divBdr>
    </w:div>
    <w:div w:id="2023580305">
      <w:bodyDiv w:val="1"/>
      <w:marLeft w:val="0"/>
      <w:marRight w:val="0"/>
      <w:marTop w:val="0"/>
      <w:marBottom w:val="0"/>
      <w:divBdr>
        <w:top w:val="none" w:sz="0" w:space="0" w:color="auto"/>
        <w:left w:val="none" w:sz="0" w:space="0" w:color="auto"/>
        <w:bottom w:val="none" w:sz="0" w:space="0" w:color="auto"/>
        <w:right w:val="none" w:sz="0" w:space="0" w:color="auto"/>
      </w:divBdr>
    </w:div>
    <w:div w:id="2029331501">
      <w:bodyDiv w:val="1"/>
      <w:marLeft w:val="0"/>
      <w:marRight w:val="0"/>
      <w:marTop w:val="0"/>
      <w:marBottom w:val="0"/>
      <w:divBdr>
        <w:top w:val="none" w:sz="0" w:space="0" w:color="auto"/>
        <w:left w:val="none" w:sz="0" w:space="0" w:color="auto"/>
        <w:bottom w:val="none" w:sz="0" w:space="0" w:color="auto"/>
        <w:right w:val="none" w:sz="0" w:space="0" w:color="auto"/>
      </w:divBdr>
    </w:div>
    <w:div w:id="21246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uk/courts/rcj-rolls-building/administrative-court/listing-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law.org.uk/" TargetMode="External"/><Relationship Id="rId5" Type="http://schemas.openxmlformats.org/officeDocument/2006/relationships/numbering" Target="numbering.xml"/><Relationship Id="rId15" Type="http://schemas.openxmlformats.org/officeDocument/2006/relationships/hyperlink" Target="https://uk.westlaw.com/Document/IC8D0E8506D6811E7A4E2FB3F3A87D032/View/FullText.html?originationContext=document&amp;transitionType=DocumentItem&amp;contextData=(sc.DocLi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urts-tribunals/administrative-cou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iicl.org/files/2223_skeleton_arguments_guide.pdf" TargetMode="External"/><Relationship Id="rId1" Type="http://schemas.openxmlformats.org/officeDocument/2006/relationships/hyperlink" Target="https://assets.publishing.service.gov.uk/government/uploads/system/uploads/attachment_data/file/540585/administrative-court-fee-increa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assouf_threec\AppData\Local\Microsoft\Windows\Temporary%20Internet%20Files\Content.Outlook\WIPQZ65S\Memo%20Template.dotm" TargetMode="External"/></Relationships>
</file>

<file path=word/theme/theme1.xml><?xml version="1.0" encoding="utf-8"?>
<a:theme xmlns:a="http://schemas.openxmlformats.org/drawingml/2006/main" name="Office Theme">
  <a:themeElements>
    <a:clrScheme name="3C">
      <a:dk1>
        <a:sysClr val="windowText" lastClr="000000"/>
      </a:dk1>
      <a:lt1>
        <a:sysClr val="window" lastClr="FFFFFF"/>
      </a:lt1>
      <a:dk2>
        <a:srgbClr val="000000"/>
      </a:dk2>
      <a:lt2>
        <a:srgbClr val="FFFFFF"/>
      </a:lt2>
      <a:accent1>
        <a:srgbClr val="90825D"/>
      </a:accent1>
      <a:accent2>
        <a:srgbClr val="777877"/>
      </a:accent2>
      <a:accent3>
        <a:srgbClr val="C8C1AE"/>
      </a:accent3>
      <a:accent4>
        <a:srgbClr val="BBBCBB"/>
      </a:accent4>
      <a:accent5>
        <a:srgbClr val="E9E6DF"/>
      </a:accent5>
      <a:accent6>
        <a:srgbClr val="E4E4E4"/>
      </a:accent6>
      <a:hlink>
        <a:srgbClr val="0000FF"/>
      </a:hlink>
      <a:folHlink>
        <a:srgbClr val="800080"/>
      </a:folHlink>
    </a:clrScheme>
    <a:fontScheme name="3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1195293F6FC52C49A04E15A225B2C007" ma:contentTypeVersion="13" ma:contentTypeDescription="Create a new document." ma:contentTypeScope="" ma:versionID="699b1fcfb19a5285d92a57fe0a42f5b4">
  <xsd:schema xmlns:xsd="http://www.w3.org/2001/XMLSchema" xmlns:xs="http://www.w3.org/2001/XMLSchema" xmlns:p="http://schemas.microsoft.com/office/2006/metadata/properties" xmlns:ns3="af44e7f2-c1fe-4955-8fa6-2580ee676e9a" xmlns:ns4="8b388229-5e0c-4c92-a915-1ee92feaefe7" targetNamespace="http://schemas.microsoft.com/office/2006/metadata/properties" ma:root="true" ma:fieldsID="c495af3c2180303fec9b552dd9f59e00" ns3:_="" ns4:_="">
    <xsd:import namespace="af44e7f2-c1fe-4955-8fa6-2580ee676e9a"/>
    <xsd:import namespace="8b388229-5e0c-4c92-a915-1ee92feaef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e7f2-c1fe-4955-8fa6-2580ee676e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88229-5e0c-4c92-a915-1ee92feaef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382AF-2A51-48BC-B7B4-F9C8D81C0398}">
  <ds:schemaRefs>
    <ds:schemaRef ds:uri="http://schemas.openxmlformats.org/officeDocument/2006/bibliography"/>
  </ds:schemaRefs>
</ds:datastoreItem>
</file>

<file path=customXml/itemProps2.xml><?xml version="1.0" encoding="utf-8"?>
<ds:datastoreItem xmlns:ds="http://schemas.openxmlformats.org/officeDocument/2006/customXml" ds:itemID="{6F433727-14EE-41A2-813F-B644B8F1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e7f2-c1fe-4955-8fa6-2580ee676e9a"/>
    <ds:schemaRef ds:uri="8b388229-5e0c-4c92-a915-1ee92feae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15C40-04E2-421E-A1D6-1FA2B1C3C93C}">
  <ds:schemaRefs>
    <ds:schemaRef ds:uri="http://schemas.microsoft.com/sharepoint/v3/contenttype/forms"/>
  </ds:schemaRefs>
</ds:datastoreItem>
</file>

<file path=customXml/itemProps4.xml><?xml version="1.0" encoding="utf-8"?>
<ds:datastoreItem xmlns:ds="http://schemas.openxmlformats.org/officeDocument/2006/customXml" ds:itemID="{FC940C06-EDF2-4446-B4C0-DF0B240549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Template.dotm</Template>
  <TotalTime>95</TotalTime>
  <Pages>1</Pages>
  <Words>9197</Words>
  <Characters>52423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Wassouf</dc:creator>
  <cp:keywords/>
  <dc:description/>
  <cp:lastModifiedBy>Leonie Hirst</cp:lastModifiedBy>
  <cp:revision>5</cp:revision>
  <cp:lastPrinted>2019-12-19T08:38:00Z</cp:lastPrinted>
  <dcterms:created xsi:type="dcterms:W3CDTF">2021-11-30T09:48:00Z</dcterms:created>
  <dcterms:modified xsi:type="dcterms:W3CDTF">2021-11-30T15:23:00Z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PathToINIFile">
    <vt:lpwstr>TC_Global.ini</vt:lpwstr>
  </property>
  <property fmtid="{D5CDD505-2E9C-101B-9397-08002B2CF9AE}" pid="3" name="MS_Version">
    <vt:lpwstr>1.0.2</vt:lpwstr>
  </property>
  <property fmtid="{D5CDD505-2E9C-101B-9397-08002B2CF9AE}" pid="4" name="ContentTypeId">
    <vt:lpwstr>0x0101001195293F6FC52C49A04E15A225B2C007</vt:lpwstr>
  </property>
</Properties>
</file>